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97" w:type="dxa"/>
        <w:tblInd w:w="-112" w:type="dxa"/>
        <w:tblCellMar>
          <w:top w:w="33" w:type="dxa"/>
          <w:left w:w="112" w:type="dxa"/>
          <w:bottom w:w="0" w:type="dxa"/>
          <w:right w:w="56" w:type="dxa"/>
        </w:tblCellMar>
        <w:tblLook w:val="04A0" w:firstRow="1" w:lastRow="0" w:firstColumn="1" w:lastColumn="0" w:noHBand="0" w:noVBand="1"/>
      </w:tblPr>
      <w:tblGrid>
        <w:gridCol w:w="9297"/>
      </w:tblGrid>
      <w:tr w:rsidR="006C145C">
        <w:trPr>
          <w:trHeight w:val="8005"/>
        </w:trPr>
        <w:tc>
          <w:tcPr>
            <w:tcW w:w="9297" w:type="dxa"/>
            <w:tcBorders>
              <w:top w:val="single" w:sz="4" w:space="0" w:color="1F497D"/>
              <w:left w:val="single" w:sz="4" w:space="0" w:color="1F497D"/>
              <w:bottom w:val="single" w:sz="4" w:space="0" w:color="1F497D"/>
              <w:right w:val="single" w:sz="4" w:space="0" w:color="1F497D"/>
            </w:tcBorders>
            <w:shd w:val="clear" w:color="auto" w:fill="FFFFCC"/>
          </w:tcPr>
          <w:p w:rsidR="006C145C" w:rsidRDefault="00C62E5A">
            <w:pPr>
              <w:spacing w:after="134"/>
            </w:pPr>
            <w:bookmarkStart w:id="0" w:name="_GoBack"/>
            <w:bookmarkEnd w:id="0"/>
            <w:r>
              <w:rPr>
                <w:rFonts w:ascii="Arial" w:eastAsia="Arial" w:hAnsi="Arial" w:cs="Arial"/>
                <w:b/>
                <w:i/>
                <w:sz w:val="20"/>
              </w:rPr>
              <w:t xml:space="preserve">NOTAS EXPLICATIVAS </w:t>
            </w:r>
          </w:p>
          <w:p w:rsidR="006C145C" w:rsidRDefault="00C62E5A">
            <w:pPr>
              <w:spacing w:after="120" w:line="277" w:lineRule="auto"/>
              <w:ind w:right="62"/>
              <w:jc w:val="both"/>
            </w:pPr>
            <w:r>
              <w:rPr>
                <w:rFonts w:ascii="Arial" w:eastAsia="Arial" w:hAnsi="Arial" w:cs="Arial"/>
                <w:i/>
                <w:sz w:val="20"/>
              </w:rPr>
              <w:t>Os itens deste modelo de Edital, destacados em vermelho itálico, devem ser preenchidos ou adotados pelo órgão ou entidade pública licitante, de acordo com as peculiaridades do objeto da licitação e critérios de oportunidade e conveniência, cuidando-se para</w:t>
            </w:r>
            <w:r>
              <w:rPr>
                <w:rFonts w:ascii="Arial" w:eastAsia="Arial" w:hAnsi="Arial" w:cs="Arial"/>
                <w:i/>
                <w:sz w:val="20"/>
              </w:rPr>
              <w:t xml:space="preserve"> que sejam reproduzidas as mesmas definições nos demais instrumentos da licitação, para que não conflitem</w:t>
            </w:r>
            <w:r>
              <w:rPr>
                <w:rFonts w:ascii="Arial" w:eastAsia="Arial" w:hAnsi="Arial" w:cs="Arial"/>
                <w:i/>
                <w:color w:val="00B0F0"/>
                <w:sz w:val="20"/>
              </w:rPr>
              <w:t xml:space="preserve">.  </w:t>
            </w:r>
          </w:p>
          <w:p w:rsidR="006C145C" w:rsidRDefault="00C62E5A">
            <w:pPr>
              <w:spacing w:after="119" w:line="277" w:lineRule="auto"/>
              <w:ind w:right="58"/>
              <w:jc w:val="both"/>
            </w:pPr>
            <w:r>
              <w:rPr>
                <w:rFonts w:ascii="Arial" w:eastAsia="Arial" w:hAnsi="Arial" w:cs="Arial"/>
                <w:i/>
                <w:sz w:val="20"/>
              </w:rPr>
              <w:t>Trata-se de modelo de edital e nos termos do art. 35 da Instrução Normativa SEGES/MP n. 5/2017 o referido modelo deverá ser utilizado no que couber</w:t>
            </w:r>
            <w:r>
              <w:rPr>
                <w:rFonts w:ascii="Arial" w:eastAsia="Arial" w:hAnsi="Arial" w:cs="Arial"/>
                <w:i/>
                <w:sz w:val="20"/>
              </w:rPr>
              <w:t xml:space="preserve">. Para as alterações, deve ser apresentada justificativa, nos termos do art. 35, §1º da referida IN. Eventuais sugestões de alteração de texto do referido modelo de edital poderão ser encaminhadas ao e-mail: cgu.licitacoes@agu.gov.br.  </w:t>
            </w:r>
          </w:p>
          <w:p w:rsidR="006C145C" w:rsidRDefault="00C62E5A">
            <w:pPr>
              <w:spacing w:after="119" w:line="278" w:lineRule="auto"/>
              <w:ind w:right="60"/>
              <w:jc w:val="both"/>
            </w:pPr>
            <w:r>
              <w:rPr>
                <w:rFonts w:ascii="Arial" w:eastAsia="Arial" w:hAnsi="Arial" w:cs="Arial"/>
                <w:i/>
                <w:sz w:val="20"/>
              </w:rPr>
              <w:t>Alguns itens recebe</w:t>
            </w:r>
            <w:r>
              <w:rPr>
                <w:rFonts w:ascii="Arial" w:eastAsia="Arial" w:hAnsi="Arial" w:cs="Arial"/>
                <w:i/>
                <w:sz w:val="20"/>
              </w:rPr>
              <w:t xml:space="preserve">ram notas explicativas destacadas para compreensão do agente ou setor responsável pela elaboração das minutas referentes à licitação, que deverão ser suprimidas quando da finalização do documento. </w:t>
            </w:r>
          </w:p>
          <w:p w:rsidR="006C145C" w:rsidRDefault="00C62E5A">
            <w:pPr>
              <w:spacing w:after="122" w:line="277" w:lineRule="auto"/>
              <w:ind w:right="65"/>
              <w:jc w:val="both"/>
            </w:pPr>
            <w:r>
              <w:rPr>
                <w:rFonts w:ascii="Arial" w:eastAsia="Arial" w:hAnsi="Arial" w:cs="Arial"/>
                <w:i/>
                <w:sz w:val="20"/>
              </w:rPr>
              <w:t>Os Órgãos Assessorados deverão manter as notas de rodapé d</w:t>
            </w:r>
            <w:r>
              <w:rPr>
                <w:rFonts w:ascii="Arial" w:eastAsia="Arial" w:hAnsi="Arial" w:cs="Arial"/>
                <w:i/>
                <w:sz w:val="20"/>
              </w:rPr>
              <w:t>os modelos utilizados para a elaboração das minutas e demais anexos, a fim de que os Órgãos Consultivos, ao examinarem os documentos, estejam certos de que dos modelos são os corretos. A versão final do texto, após aprovada pelo órgão consultivo, deverá ex</w:t>
            </w:r>
            <w:r>
              <w:rPr>
                <w:rFonts w:ascii="Arial" w:eastAsia="Arial" w:hAnsi="Arial" w:cs="Arial"/>
                <w:i/>
                <w:sz w:val="20"/>
              </w:rPr>
              <w:t xml:space="preserve">cluir a referida nota. </w:t>
            </w:r>
          </w:p>
          <w:p w:rsidR="006C145C" w:rsidRDefault="00C62E5A">
            <w:pPr>
              <w:spacing w:after="120" w:line="277" w:lineRule="auto"/>
              <w:jc w:val="both"/>
            </w:pPr>
            <w:r>
              <w:rPr>
                <w:rFonts w:ascii="Arial" w:eastAsia="Arial" w:hAnsi="Arial" w:cs="Arial"/>
                <w:b/>
                <w:i/>
                <w:sz w:val="20"/>
              </w:rPr>
              <w:t xml:space="preserve">Sistema de Cores: </w:t>
            </w:r>
            <w:r>
              <w:rPr>
                <w:rFonts w:ascii="Arial" w:eastAsia="Arial" w:hAnsi="Arial" w:cs="Arial"/>
                <w:i/>
                <w:sz w:val="20"/>
              </w:rPr>
              <w:t xml:space="preserve">Para facilitar o ajuste do edital ao tipo de contratação, algumas cláusulas foram destacadas com cores distintas, devendo ser removidas ou mantidas em cada caso da seguinte forma: </w:t>
            </w:r>
          </w:p>
          <w:tbl>
            <w:tblPr>
              <w:tblStyle w:val="TableGrid"/>
              <w:tblpPr w:vertAnchor="text" w:tblpX="112" w:tblpY="259"/>
              <w:tblOverlap w:val="never"/>
              <w:tblW w:w="499" w:type="dxa"/>
              <w:tblInd w:w="0" w:type="dxa"/>
              <w:tblCellMar>
                <w:top w:w="5" w:type="dxa"/>
                <w:left w:w="0" w:type="dxa"/>
                <w:bottom w:w="0" w:type="dxa"/>
                <w:right w:w="0" w:type="dxa"/>
              </w:tblCellMar>
              <w:tblLook w:val="04A0" w:firstRow="1" w:lastRow="0" w:firstColumn="1" w:lastColumn="0" w:noHBand="0" w:noVBand="1"/>
            </w:tblPr>
            <w:tblGrid>
              <w:gridCol w:w="501"/>
            </w:tblGrid>
            <w:tr w:rsidR="006C145C">
              <w:trPr>
                <w:trHeight w:val="230"/>
              </w:trPr>
              <w:tc>
                <w:tcPr>
                  <w:tcW w:w="499" w:type="dxa"/>
                  <w:tcBorders>
                    <w:top w:val="nil"/>
                    <w:left w:val="nil"/>
                    <w:bottom w:val="nil"/>
                    <w:right w:val="nil"/>
                  </w:tcBorders>
                  <w:shd w:val="clear" w:color="auto" w:fill="00FF00"/>
                </w:tcPr>
                <w:p w:rsidR="006C145C" w:rsidRDefault="00C62E5A">
                  <w:pPr>
                    <w:spacing w:after="0"/>
                    <w:jc w:val="both"/>
                  </w:pPr>
                  <w:r>
                    <w:rPr>
                      <w:rFonts w:ascii="Arial" w:eastAsia="Arial" w:hAnsi="Arial" w:cs="Arial"/>
                      <w:i/>
                      <w:sz w:val="20"/>
                    </w:rPr>
                    <w:t>verde</w:t>
                  </w:r>
                </w:p>
              </w:tc>
            </w:tr>
          </w:tbl>
          <w:p w:rsidR="006C145C" w:rsidRDefault="00C62E5A">
            <w:pPr>
              <w:numPr>
                <w:ilvl w:val="0"/>
                <w:numId w:val="59"/>
              </w:numPr>
              <w:spacing w:after="120" w:line="277" w:lineRule="auto"/>
              <w:ind w:hanging="149"/>
              <w:jc w:val="both"/>
            </w:pPr>
            <w:r>
              <w:rPr>
                <w:rFonts w:ascii="Arial" w:eastAsia="Arial" w:hAnsi="Arial" w:cs="Arial"/>
                <w:i/>
                <w:sz w:val="20"/>
              </w:rPr>
              <w:t xml:space="preserve">Se não for permitida a participação de cooperativas, exclua todas as disposições destacadas em . Se for permitida a participação de cooperativas, elas devem ser mantidas. </w:t>
            </w:r>
          </w:p>
          <w:p w:rsidR="006C145C" w:rsidRDefault="00C62E5A">
            <w:pPr>
              <w:numPr>
                <w:ilvl w:val="0"/>
                <w:numId w:val="59"/>
              </w:numPr>
              <w:spacing w:after="118" w:line="279" w:lineRule="auto"/>
              <w:ind w:hanging="149"/>
              <w:jc w:val="both"/>
            </w:pPr>
            <w:r>
              <w:rPr>
                <w:rFonts w:ascii="Arial" w:eastAsia="Arial" w:hAnsi="Arial" w:cs="Arial"/>
                <w:i/>
                <w:sz w:val="20"/>
              </w:rPr>
              <w:t>Se não for utilizado o sistema de registro de preços, exclua todas as disposições de</w:t>
            </w:r>
            <w:r>
              <w:rPr>
                <w:rFonts w:ascii="Arial" w:eastAsia="Arial" w:hAnsi="Arial" w:cs="Arial"/>
                <w:i/>
                <w:sz w:val="20"/>
              </w:rPr>
              <w:t xml:space="preserve">stacadas em </w:t>
            </w:r>
            <w:r>
              <w:rPr>
                <w:rFonts w:ascii="Arial" w:eastAsia="Arial" w:hAnsi="Arial" w:cs="Arial"/>
                <w:i/>
                <w:sz w:val="20"/>
                <w:shd w:val="clear" w:color="auto" w:fill="00FFFF"/>
              </w:rPr>
              <w:t>azul</w:t>
            </w:r>
            <w:r>
              <w:rPr>
                <w:rFonts w:ascii="Arial" w:eastAsia="Arial" w:hAnsi="Arial" w:cs="Arial"/>
                <w:i/>
                <w:sz w:val="20"/>
              </w:rPr>
              <w:t xml:space="preserve">. Se for adotado o SRP, mantenha tais cláusulas. </w:t>
            </w:r>
          </w:p>
          <w:p w:rsidR="006C145C" w:rsidRDefault="00C62E5A">
            <w:pPr>
              <w:numPr>
                <w:ilvl w:val="0"/>
                <w:numId w:val="59"/>
              </w:numPr>
              <w:spacing w:after="17"/>
              <w:ind w:hanging="149"/>
              <w:jc w:val="both"/>
            </w:pPr>
            <w:r>
              <w:rPr>
                <w:rFonts w:ascii="Arial" w:eastAsia="Arial" w:hAnsi="Arial" w:cs="Arial"/>
                <w:i/>
                <w:sz w:val="20"/>
              </w:rPr>
              <w:t xml:space="preserve">Se não for exigida a subcontratação obrigatória de ME e EPP, prevista no artigo 7º do Decreto n. </w:t>
            </w:r>
          </w:p>
          <w:tbl>
            <w:tblPr>
              <w:tblStyle w:val="TableGrid"/>
              <w:tblpPr w:vertAnchor="text" w:tblpX="5169" w:tblpY="-5"/>
              <w:tblOverlap w:val="never"/>
              <w:tblW w:w="468" w:type="dxa"/>
              <w:tblInd w:w="0" w:type="dxa"/>
              <w:tblCellMar>
                <w:top w:w="5" w:type="dxa"/>
                <w:left w:w="0" w:type="dxa"/>
                <w:bottom w:w="0" w:type="dxa"/>
                <w:right w:w="2" w:type="dxa"/>
              </w:tblCellMar>
              <w:tblLook w:val="04A0" w:firstRow="1" w:lastRow="0" w:firstColumn="1" w:lastColumn="0" w:noHBand="0" w:noVBand="1"/>
            </w:tblPr>
            <w:tblGrid>
              <w:gridCol w:w="469"/>
            </w:tblGrid>
            <w:tr w:rsidR="006C145C">
              <w:trPr>
                <w:trHeight w:val="231"/>
              </w:trPr>
              <w:tc>
                <w:tcPr>
                  <w:tcW w:w="468" w:type="dxa"/>
                  <w:tcBorders>
                    <w:top w:val="nil"/>
                    <w:left w:val="nil"/>
                    <w:bottom w:val="nil"/>
                    <w:right w:val="nil"/>
                  </w:tcBorders>
                  <w:shd w:val="clear" w:color="auto" w:fill="D3D3D3"/>
                </w:tcPr>
                <w:p w:rsidR="006C145C" w:rsidRDefault="00C62E5A">
                  <w:pPr>
                    <w:spacing w:after="0"/>
                    <w:jc w:val="both"/>
                  </w:pPr>
                  <w:r>
                    <w:rPr>
                      <w:rFonts w:ascii="Arial" w:eastAsia="Arial" w:hAnsi="Arial" w:cs="Arial"/>
                      <w:i/>
                      <w:sz w:val="20"/>
                    </w:rPr>
                    <w:t>cinza</w:t>
                  </w:r>
                </w:p>
              </w:tc>
            </w:tr>
          </w:tbl>
          <w:p w:rsidR="006C145C" w:rsidRDefault="00C62E5A">
            <w:pPr>
              <w:spacing w:after="122" w:line="277" w:lineRule="auto"/>
            </w:pPr>
            <w:r>
              <w:rPr>
                <w:rFonts w:ascii="Arial" w:eastAsia="Arial" w:hAnsi="Arial" w:cs="Arial"/>
                <w:i/>
                <w:sz w:val="20"/>
              </w:rPr>
              <w:t>8.538/</w:t>
            </w:r>
            <w:r>
              <w:rPr>
                <w:rFonts w:ascii="Arial" w:eastAsia="Arial" w:hAnsi="Arial" w:cs="Arial"/>
                <w:i/>
                <w:sz w:val="20"/>
              </w:rPr>
              <w:t xml:space="preserve">2015, exclua todas as disposições destacadas em . Se for exigida subcontratação de ME e EPP, com fundamento no referido dispositivo, mantenha tais previsões. </w:t>
            </w:r>
          </w:p>
          <w:p w:rsidR="006C145C" w:rsidRDefault="00C62E5A">
            <w:pPr>
              <w:spacing w:after="0"/>
            </w:pPr>
            <w:r>
              <w:rPr>
                <w:rFonts w:ascii="Arial" w:eastAsia="Arial" w:hAnsi="Arial" w:cs="Arial"/>
                <w:i/>
                <w:sz w:val="20"/>
              </w:rPr>
              <w:t xml:space="preserve">As demais cláusulas facultativas estão em </w:t>
            </w:r>
            <w:r>
              <w:rPr>
                <w:rFonts w:ascii="Arial" w:eastAsia="Arial" w:hAnsi="Arial" w:cs="Arial"/>
                <w:i/>
                <w:color w:val="FF0000"/>
                <w:sz w:val="20"/>
              </w:rPr>
              <w:t>vermelho</w:t>
            </w:r>
            <w:r>
              <w:rPr>
                <w:rFonts w:ascii="Arial" w:eastAsia="Arial" w:hAnsi="Arial" w:cs="Arial"/>
                <w:i/>
                <w:sz w:val="20"/>
              </w:rPr>
              <w:t xml:space="preserve">, devendo ser consideradas individualmente. </w:t>
            </w:r>
          </w:p>
        </w:tc>
      </w:tr>
    </w:tbl>
    <w:p w:rsidR="006C145C" w:rsidRDefault="00C62E5A">
      <w:pPr>
        <w:spacing w:after="0"/>
      </w:pPr>
      <w:r>
        <w:rPr>
          <w:rFonts w:ascii="Arial" w:eastAsia="Arial" w:hAnsi="Arial" w:cs="Arial"/>
          <w:sz w:val="20"/>
        </w:rPr>
        <w:t xml:space="preserve"> </w:t>
      </w:r>
    </w:p>
    <w:p w:rsidR="006C145C" w:rsidRDefault="00C62E5A">
      <w:pPr>
        <w:spacing w:after="169"/>
      </w:pPr>
      <w:r>
        <w:rPr>
          <w:rFonts w:ascii="Arial" w:eastAsia="Arial" w:hAnsi="Arial" w:cs="Arial"/>
          <w:b/>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tabs>
          <w:tab w:val="center" w:pos="4368"/>
        </w:tabs>
        <w:spacing w:after="27" w:line="250" w:lineRule="auto"/>
        <w:ind w:left="-15" w:right="44"/>
        <w:jc w:val="both"/>
      </w:pPr>
      <w:r>
        <w:rPr>
          <w:rFonts w:ascii="Arial" w:eastAsia="Arial" w:hAnsi="Arial" w:cs="Arial"/>
          <w:i/>
          <w:sz w:val="20"/>
        </w:rPr>
        <w:t xml:space="preserve"> </w:t>
      </w:r>
      <w:r>
        <w:rPr>
          <w:rFonts w:ascii="Arial" w:eastAsia="Arial" w:hAnsi="Arial" w:cs="Arial"/>
          <w:i/>
          <w:sz w:val="20"/>
        </w:rPr>
        <w:tab/>
      </w:r>
      <w:r>
        <w:rPr>
          <w:rFonts w:ascii="Arial" w:eastAsia="Arial" w:hAnsi="Arial" w:cs="Arial"/>
          <w:b/>
          <w:sz w:val="20"/>
        </w:rPr>
        <w:t xml:space="preserve">MODELO DE EDITAL – SERVIÇOS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27" w:line="250" w:lineRule="auto"/>
        <w:ind w:left="-5" w:right="44" w:hanging="10"/>
        <w:jc w:val="both"/>
      </w:pPr>
      <w:r>
        <w:rPr>
          <w:rFonts w:ascii="Arial" w:eastAsia="Arial" w:hAnsi="Arial" w:cs="Arial"/>
          <w:b/>
          <w:sz w:val="20"/>
        </w:rPr>
        <w:t xml:space="preserve">PRESTAÇÃO DE SERVIÇOS COM DISPONIBILIZAÇÃO DE MÃO DE OBRA EM REGIME DE DEDICAÇÃO EXCLUSIVA </w:t>
      </w:r>
    </w:p>
    <w:p w:rsidR="006C145C" w:rsidRDefault="00C62E5A">
      <w:pPr>
        <w:spacing w:after="221"/>
      </w:pPr>
      <w:r>
        <w:rPr>
          <w:rFonts w:ascii="Arial" w:eastAsia="Arial" w:hAnsi="Arial" w:cs="Arial"/>
          <w:sz w:val="20"/>
        </w:rPr>
        <w:t xml:space="preserve"> </w:t>
      </w:r>
    </w:p>
    <w:p w:rsidR="006C145C" w:rsidRDefault="00C62E5A">
      <w:pPr>
        <w:spacing w:after="257"/>
        <w:ind w:left="23"/>
        <w:jc w:val="center"/>
      </w:pPr>
      <w:r>
        <w:rPr>
          <w:rFonts w:ascii="Arial" w:eastAsia="Arial" w:hAnsi="Arial" w:cs="Arial"/>
          <w:b/>
          <w:sz w:val="20"/>
        </w:rPr>
        <w:t xml:space="preserve"> </w:t>
      </w:r>
    </w:p>
    <w:p w:rsidR="006C145C" w:rsidRDefault="00C62E5A">
      <w:pPr>
        <w:spacing w:after="257"/>
        <w:ind w:left="23"/>
        <w:jc w:val="center"/>
      </w:pPr>
      <w:r>
        <w:rPr>
          <w:rFonts w:ascii="Arial" w:eastAsia="Arial" w:hAnsi="Arial" w:cs="Arial"/>
          <w:b/>
          <w:sz w:val="20"/>
        </w:rPr>
        <w:t xml:space="preserve"> </w:t>
      </w:r>
    </w:p>
    <w:p w:rsidR="006C145C" w:rsidRDefault="00C62E5A">
      <w:pPr>
        <w:spacing w:after="257"/>
        <w:ind w:left="23"/>
        <w:jc w:val="center"/>
      </w:pPr>
      <w:r>
        <w:rPr>
          <w:rFonts w:ascii="Arial" w:eastAsia="Arial" w:hAnsi="Arial" w:cs="Arial"/>
          <w:b/>
          <w:sz w:val="20"/>
        </w:rPr>
        <w:t xml:space="preserve"> </w:t>
      </w:r>
    </w:p>
    <w:p w:rsidR="006C145C" w:rsidRDefault="00C62E5A">
      <w:pPr>
        <w:spacing w:after="259"/>
        <w:ind w:left="23"/>
        <w:jc w:val="center"/>
      </w:pPr>
      <w:r>
        <w:rPr>
          <w:rFonts w:ascii="Arial" w:eastAsia="Arial" w:hAnsi="Arial" w:cs="Arial"/>
          <w:b/>
          <w:sz w:val="20"/>
        </w:rPr>
        <w:t xml:space="preserve"> </w:t>
      </w:r>
    </w:p>
    <w:p w:rsidR="006C145C" w:rsidRDefault="00C62E5A">
      <w:pPr>
        <w:spacing w:after="257"/>
        <w:ind w:left="23"/>
        <w:jc w:val="center"/>
      </w:pPr>
      <w:r>
        <w:rPr>
          <w:rFonts w:ascii="Arial" w:eastAsia="Arial" w:hAnsi="Arial" w:cs="Arial"/>
          <w:b/>
          <w:sz w:val="20"/>
        </w:rPr>
        <w:t xml:space="preserve"> </w:t>
      </w:r>
    </w:p>
    <w:p w:rsidR="006C145C" w:rsidRDefault="00C62E5A">
      <w:pPr>
        <w:spacing w:after="257"/>
        <w:ind w:left="23"/>
        <w:jc w:val="center"/>
      </w:pPr>
      <w:r>
        <w:rPr>
          <w:rFonts w:ascii="Arial" w:eastAsia="Arial" w:hAnsi="Arial" w:cs="Arial"/>
          <w:b/>
          <w:sz w:val="20"/>
        </w:rPr>
        <w:t xml:space="preserve"> </w:t>
      </w:r>
    </w:p>
    <w:p w:rsidR="006C145C" w:rsidRDefault="00C62E5A">
      <w:pPr>
        <w:spacing w:after="257"/>
        <w:ind w:left="23"/>
        <w:jc w:val="center"/>
      </w:pPr>
      <w:r>
        <w:rPr>
          <w:rFonts w:ascii="Arial" w:eastAsia="Arial" w:hAnsi="Arial" w:cs="Arial"/>
          <w:b/>
          <w:sz w:val="20"/>
        </w:rPr>
        <w:t xml:space="preserve"> </w:t>
      </w:r>
    </w:p>
    <w:p w:rsidR="006C145C" w:rsidRDefault="00C62E5A">
      <w:pPr>
        <w:spacing w:after="0"/>
        <w:ind w:left="23"/>
        <w:jc w:val="center"/>
      </w:pPr>
      <w:r>
        <w:rPr>
          <w:rFonts w:ascii="Arial" w:eastAsia="Arial" w:hAnsi="Arial" w:cs="Arial"/>
          <w:b/>
          <w:sz w:val="20"/>
        </w:rPr>
        <w:lastRenderedPageBreak/>
        <w:t xml:space="preserve"> </w:t>
      </w:r>
    </w:p>
    <w:p w:rsidR="006C145C" w:rsidRDefault="00C62E5A">
      <w:pPr>
        <w:spacing w:after="0"/>
        <w:ind w:left="1070"/>
        <w:jc w:val="center"/>
      </w:pPr>
      <w:r>
        <w:rPr>
          <w:noProof/>
        </w:rPr>
        <w:drawing>
          <wp:inline distT="0" distB="0" distL="0" distR="0">
            <wp:extent cx="822960" cy="822960"/>
            <wp:effectExtent l="0" t="0" r="0" b="0"/>
            <wp:docPr id="407" name="Picture 407"/>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7"/>
                    <a:stretch>
                      <a:fillRect/>
                    </a:stretch>
                  </pic:blipFill>
                  <pic:spPr>
                    <a:xfrm>
                      <a:off x="0" y="0"/>
                      <a:ext cx="822960" cy="822960"/>
                    </a:xfrm>
                    <a:prstGeom prst="rect">
                      <a:avLst/>
                    </a:prstGeom>
                  </pic:spPr>
                </pic:pic>
              </a:graphicData>
            </a:graphic>
          </wp:inline>
        </w:drawing>
      </w:r>
      <w:r>
        <w:rPr>
          <w:rFonts w:ascii="Arial" w:eastAsia="Arial" w:hAnsi="Arial" w:cs="Arial"/>
          <w:b/>
          <w:i/>
          <w:color w:val="FF0000"/>
          <w:sz w:val="20"/>
        </w:rPr>
        <w:t xml:space="preserve"> </w:t>
      </w:r>
    </w:p>
    <w:p w:rsidR="006C145C" w:rsidRDefault="00C62E5A">
      <w:pPr>
        <w:spacing w:after="0" w:line="265" w:lineRule="auto"/>
        <w:ind w:left="1020" w:hanging="10"/>
        <w:jc w:val="center"/>
      </w:pPr>
      <w:r>
        <w:rPr>
          <w:rFonts w:ascii="Arial" w:eastAsia="Arial" w:hAnsi="Arial" w:cs="Arial"/>
          <w:b/>
          <w:sz w:val="20"/>
        </w:rPr>
        <w:t xml:space="preserve">REPÚBLICA FEDERATIVA DO BRASIL MINISTÉRIO DA INFRAESTRUTURA </w:t>
      </w:r>
    </w:p>
    <w:p w:rsidR="006C145C" w:rsidRDefault="00C62E5A">
      <w:pPr>
        <w:spacing w:after="0"/>
        <w:ind w:left="10" w:right="48" w:hanging="10"/>
        <w:jc w:val="right"/>
      </w:pPr>
      <w:r>
        <w:rPr>
          <w:rFonts w:ascii="Arial" w:eastAsia="Arial" w:hAnsi="Arial" w:cs="Arial"/>
          <w:b/>
          <w:sz w:val="20"/>
        </w:rPr>
        <w:t xml:space="preserve">DEPARTAMENTO NACIONAL DE INFRAESTRUTURA DE TRANSPORTES </w:t>
      </w:r>
    </w:p>
    <w:p w:rsidR="006C145C" w:rsidRDefault="00C62E5A">
      <w:pPr>
        <w:pStyle w:val="Ttulo1"/>
        <w:spacing w:after="0"/>
      </w:pPr>
      <w:r>
        <w:t xml:space="preserve">SUPERINTENDÊNCIA REGIONAL NO ESTADO ________ </w:t>
      </w:r>
    </w:p>
    <w:p w:rsidR="006C145C" w:rsidRDefault="00C62E5A">
      <w:pPr>
        <w:spacing w:after="17"/>
        <w:ind w:left="1070"/>
        <w:jc w:val="center"/>
      </w:pPr>
      <w:r>
        <w:rPr>
          <w:rFonts w:ascii="Arial" w:eastAsia="Arial" w:hAnsi="Arial" w:cs="Arial"/>
          <w:b/>
          <w:i/>
          <w:color w:val="FF0000"/>
          <w:sz w:val="20"/>
        </w:rPr>
        <w:t xml:space="preserve"> </w:t>
      </w:r>
    </w:p>
    <w:p w:rsidR="006C145C" w:rsidRDefault="00C62E5A">
      <w:pPr>
        <w:spacing w:after="17"/>
        <w:ind w:left="1070"/>
        <w:jc w:val="center"/>
      </w:pPr>
      <w:r>
        <w:rPr>
          <w:rFonts w:ascii="Arial" w:eastAsia="Arial" w:hAnsi="Arial" w:cs="Arial"/>
          <w:b/>
          <w:i/>
          <w:color w:val="FF0000"/>
          <w:sz w:val="20"/>
        </w:rPr>
        <w:t xml:space="preserve"> </w:t>
      </w:r>
    </w:p>
    <w:p w:rsidR="006C145C" w:rsidRDefault="00C62E5A">
      <w:pPr>
        <w:spacing w:after="0"/>
      </w:pPr>
      <w:r>
        <w:rPr>
          <w:rFonts w:ascii="Arial" w:eastAsia="Arial" w:hAnsi="Arial" w:cs="Arial"/>
          <w:sz w:val="20"/>
        </w:rPr>
        <w:t xml:space="preserve"> </w:t>
      </w:r>
    </w:p>
    <w:tbl>
      <w:tblPr>
        <w:tblStyle w:val="TableGrid"/>
        <w:tblW w:w="8982" w:type="dxa"/>
        <w:tblInd w:w="50" w:type="dxa"/>
        <w:tblCellMar>
          <w:top w:w="282" w:type="dxa"/>
          <w:left w:w="377" w:type="dxa"/>
          <w:bottom w:w="0" w:type="dxa"/>
          <w:right w:w="115" w:type="dxa"/>
        </w:tblCellMar>
        <w:tblLook w:val="04A0" w:firstRow="1" w:lastRow="0" w:firstColumn="1" w:lastColumn="0" w:noHBand="0" w:noVBand="1"/>
      </w:tblPr>
      <w:tblGrid>
        <w:gridCol w:w="8982"/>
      </w:tblGrid>
      <w:tr w:rsidR="006C145C">
        <w:trPr>
          <w:trHeight w:val="742"/>
        </w:trPr>
        <w:tc>
          <w:tcPr>
            <w:tcW w:w="8982" w:type="dxa"/>
            <w:tcBorders>
              <w:top w:val="double" w:sz="15" w:space="0" w:color="000000"/>
              <w:left w:val="double" w:sz="15" w:space="0" w:color="000000"/>
              <w:bottom w:val="double" w:sz="15" w:space="0" w:color="000000"/>
              <w:right w:val="double" w:sz="15" w:space="0" w:color="000000"/>
            </w:tcBorders>
            <w:vAlign w:val="center"/>
          </w:tcPr>
          <w:p w:rsidR="006C145C" w:rsidRDefault="00C62E5A">
            <w:pPr>
              <w:spacing w:after="0"/>
              <w:ind w:right="274"/>
              <w:jc w:val="center"/>
            </w:pPr>
            <w:r>
              <w:rPr>
                <w:rFonts w:ascii="Arial" w:eastAsia="Arial" w:hAnsi="Arial" w:cs="Arial"/>
                <w:b/>
                <w:color w:val="FF0000"/>
                <w:sz w:val="20"/>
              </w:rPr>
              <w:t xml:space="preserve">MINUTA DE </w:t>
            </w:r>
            <w:r>
              <w:rPr>
                <w:rFonts w:ascii="Arial" w:eastAsia="Arial" w:hAnsi="Arial" w:cs="Arial"/>
                <w:b/>
                <w:sz w:val="20"/>
              </w:rPr>
              <w:t xml:space="preserve">EDITAL PREGÃO ELETRÔNICO Nº ……../……-…. </w:t>
            </w:r>
          </w:p>
        </w:tc>
      </w:tr>
      <w:tr w:rsidR="006C145C">
        <w:trPr>
          <w:trHeight w:val="3262"/>
        </w:trPr>
        <w:tc>
          <w:tcPr>
            <w:tcW w:w="8982" w:type="dxa"/>
            <w:tcBorders>
              <w:top w:val="double" w:sz="15" w:space="0" w:color="000000"/>
              <w:left w:val="double" w:sz="15" w:space="0" w:color="000000"/>
              <w:bottom w:val="double" w:sz="15" w:space="0" w:color="000000"/>
              <w:right w:val="double" w:sz="15" w:space="0" w:color="000000"/>
            </w:tcBorders>
            <w:vAlign w:val="center"/>
          </w:tcPr>
          <w:p w:rsidR="006C145C" w:rsidRDefault="00C62E5A">
            <w:pPr>
              <w:spacing w:after="96"/>
            </w:pPr>
            <w:r>
              <w:rPr>
                <w:rFonts w:ascii="Arial" w:eastAsia="Arial" w:hAnsi="Arial" w:cs="Arial"/>
                <w:b/>
                <w:sz w:val="20"/>
              </w:rPr>
              <w:t xml:space="preserve">OBJETO: ………………………………………………………........ </w:t>
            </w:r>
          </w:p>
          <w:p w:rsidR="006C145C" w:rsidRDefault="00C62E5A">
            <w:pPr>
              <w:spacing w:after="98"/>
            </w:pPr>
            <w:r>
              <w:rPr>
                <w:rFonts w:ascii="Arial" w:eastAsia="Arial" w:hAnsi="Arial" w:cs="Arial"/>
                <w:b/>
                <w:sz w:val="20"/>
              </w:rPr>
              <w:t>…………………………………………………………………………………………………………</w:t>
            </w:r>
          </w:p>
          <w:p w:rsidR="006C145C" w:rsidRDefault="00C62E5A">
            <w:pPr>
              <w:spacing w:after="133"/>
            </w:pPr>
            <w:r>
              <w:rPr>
                <w:rFonts w:ascii="Arial" w:eastAsia="Arial" w:hAnsi="Arial" w:cs="Arial"/>
                <w:b/>
                <w:sz w:val="20"/>
              </w:rPr>
              <w:t>…………………………………………………………………………………………………………</w:t>
            </w:r>
          </w:p>
          <w:p w:rsidR="006C145C" w:rsidRDefault="00C62E5A">
            <w:pPr>
              <w:spacing w:after="0"/>
            </w:pPr>
            <w:r>
              <w:rPr>
                <w:rFonts w:ascii="Arial" w:eastAsia="Arial" w:hAnsi="Arial" w:cs="Arial"/>
                <w:b/>
                <w:sz w:val="20"/>
              </w:rPr>
              <w:t>………………………………………………………….………………………</w:t>
            </w:r>
            <w:r>
              <w:rPr>
                <w:rFonts w:ascii="Arial" w:eastAsia="Arial" w:hAnsi="Arial" w:cs="Arial"/>
                <w:sz w:val="20"/>
              </w:rPr>
              <w:t xml:space="preserve"> </w:t>
            </w:r>
          </w:p>
        </w:tc>
      </w:tr>
      <w:tr w:rsidR="006C145C">
        <w:trPr>
          <w:trHeight w:val="2640"/>
        </w:trPr>
        <w:tc>
          <w:tcPr>
            <w:tcW w:w="8982" w:type="dxa"/>
            <w:tcBorders>
              <w:top w:val="double" w:sz="15" w:space="0" w:color="000000"/>
              <w:left w:val="double" w:sz="15" w:space="0" w:color="000000"/>
              <w:bottom w:val="double" w:sz="15" w:space="0" w:color="000000"/>
              <w:right w:val="double" w:sz="15" w:space="0" w:color="000000"/>
            </w:tcBorders>
          </w:tcPr>
          <w:p w:rsidR="006C145C" w:rsidRDefault="00C62E5A">
            <w:pPr>
              <w:spacing w:after="132"/>
            </w:pPr>
            <w:r>
              <w:rPr>
                <w:rFonts w:ascii="Arial" w:eastAsia="Arial" w:hAnsi="Arial" w:cs="Arial"/>
                <w:b/>
                <w:sz w:val="20"/>
                <w:u w:val="single" w:color="000000"/>
              </w:rPr>
              <w:t>DADOS DO PREGÃO</w:t>
            </w:r>
            <w:r>
              <w:rPr>
                <w:rFonts w:ascii="Arial" w:eastAsia="Arial" w:hAnsi="Arial" w:cs="Arial"/>
                <w:b/>
                <w:sz w:val="20"/>
              </w:rPr>
              <w:t xml:space="preserve"> </w:t>
            </w:r>
          </w:p>
          <w:p w:rsidR="006C145C" w:rsidRDefault="00C62E5A">
            <w:pPr>
              <w:spacing w:after="133"/>
            </w:pPr>
            <w:r>
              <w:rPr>
                <w:rFonts w:ascii="Arial" w:eastAsia="Arial" w:hAnsi="Arial" w:cs="Arial"/>
                <w:b/>
                <w:sz w:val="20"/>
              </w:rPr>
              <w:t xml:space="preserve">DATA: …./…./…. – ….:…. h </w:t>
            </w:r>
          </w:p>
          <w:p w:rsidR="006C145C" w:rsidRDefault="00C62E5A">
            <w:pPr>
              <w:spacing w:after="131"/>
            </w:pPr>
            <w:r>
              <w:rPr>
                <w:rFonts w:ascii="Arial" w:eastAsia="Arial" w:hAnsi="Arial" w:cs="Arial"/>
                <w:b/>
                <w:sz w:val="20"/>
              </w:rPr>
              <w:t xml:space="preserve">CRITÉRIO DE JULGAMENTO: ………………… </w:t>
            </w:r>
          </w:p>
          <w:p w:rsidR="006C145C" w:rsidRDefault="00C62E5A">
            <w:pPr>
              <w:spacing w:after="133"/>
            </w:pPr>
            <w:r>
              <w:rPr>
                <w:rFonts w:ascii="Arial" w:eastAsia="Arial" w:hAnsi="Arial" w:cs="Arial"/>
                <w:b/>
                <w:sz w:val="20"/>
              </w:rPr>
              <w:t xml:space="preserve">VALOR ESTIMADO: ………………………………. </w:t>
            </w:r>
          </w:p>
          <w:p w:rsidR="006C145C" w:rsidRDefault="00C62E5A">
            <w:pPr>
              <w:spacing w:after="0"/>
            </w:pPr>
            <w:r>
              <w:rPr>
                <w:rFonts w:ascii="Arial" w:eastAsia="Arial" w:hAnsi="Arial" w:cs="Arial"/>
                <w:b/>
                <w:sz w:val="20"/>
              </w:rPr>
              <w:t xml:space="preserve">PRAZO DE VALIDADE DA PROPOSTA: ………... </w:t>
            </w:r>
          </w:p>
        </w:tc>
      </w:tr>
      <w:tr w:rsidR="006C145C">
        <w:trPr>
          <w:trHeight w:val="2302"/>
        </w:trPr>
        <w:tc>
          <w:tcPr>
            <w:tcW w:w="8982" w:type="dxa"/>
            <w:tcBorders>
              <w:top w:val="double" w:sz="15" w:space="0" w:color="000000"/>
              <w:left w:val="double" w:sz="15" w:space="0" w:color="000000"/>
              <w:bottom w:val="double" w:sz="15" w:space="0" w:color="000000"/>
              <w:right w:val="double" w:sz="15" w:space="0" w:color="000000"/>
            </w:tcBorders>
            <w:vAlign w:val="center"/>
          </w:tcPr>
          <w:p w:rsidR="006C145C" w:rsidRDefault="00C62E5A">
            <w:pPr>
              <w:spacing w:after="2" w:line="239" w:lineRule="auto"/>
              <w:ind w:left="90" w:right="308"/>
              <w:jc w:val="center"/>
            </w:pPr>
            <w:r>
              <w:rPr>
                <w:rFonts w:ascii="Arial" w:eastAsia="Arial" w:hAnsi="Arial" w:cs="Arial"/>
                <w:b/>
                <w:sz w:val="20"/>
              </w:rPr>
              <w:t xml:space="preserve">DEPARTAMENTO NACIONAL DE INFRAESTRUTURA DE TRANSPORTES DIRETORIA EXECUTIVA </w:t>
            </w:r>
          </w:p>
          <w:p w:rsidR="006C145C" w:rsidRDefault="00C62E5A">
            <w:pPr>
              <w:spacing w:after="0"/>
              <w:ind w:right="275"/>
              <w:jc w:val="center"/>
            </w:pPr>
            <w:r>
              <w:rPr>
                <w:rFonts w:ascii="Arial" w:eastAsia="Arial" w:hAnsi="Arial" w:cs="Arial"/>
                <w:b/>
                <w:color w:val="FF0000"/>
                <w:sz w:val="20"/>
              </w:rPr>
              <w:t xml:space="preserve">COORDENAÇÃO-GERAL DE CADASTRO E LICITAÇÕES </w:t>
            </w:r>
          </w:p>
          <w:p w:rsidR="006C145C" w:rsidRDefault="00C62E5A">
            <w:pPr>
              <w:spacing w:after="0" w:line="242" w:lineRule="auto"/>
              <w:ind w:left="766" w:right="812" w:hanging="231"/>
              <w:jc w:val="center"/>
            </w:pPr>
            <w:r>
              <w:rPr>
                <w:rFonts w:ascii="Arial" w:eastAsia="Arial" w:hAnsi="Arial" w:cs="Arial"/>
                <w:b/>
                <w:color w:val="FF0000"/>
                <w:sz w:val="20"/>
              </w:rPr>
              <w:t>SAN Q.03 Bl. A - Ed. Núcleo dos Transportes – Mezanino Sul - Brasília – DF CEP: 70.040-902</w:t>
            </w:r>
            <w:r>
              <w:rPr>
                <w:rFonts w:ascii="Arial" w:eastAsia="Arial" w:hAnsi="Arial" w:cs="Arial"/>
                <w:b/>
                <w:sz w:val="20"/>
              </w:rPr>
              <w:t xml:space="preserve"> </w:t>
            </w:r>
            <w:hyperlink r:id="rId8">
              <w:r>
                <w:rPr>
                  <w:rFonts w:ascii="Arial" w:eastAsia="Arial" w:hAnsi="Arial" w:cs="Arial"/>
                  <w:b/>
                  <w:color w:val="000080"/>
                  <w:sz w:val="20"/>
                  <w:u w:val="single" w:color="000080"/>
                </w:rPr>
                <w:t>ht</w:t>
              </w:r>
              <w:r>
                <w:rPr>
                  <w:rFonts w:ascii="Arial" w:eastAsia="Arial" w:hAnsi="Arial" w:cs="Arial"/>
                  <w:b/>
                  <w:color w:val="000080"/>
                  <w:sz w:val="20"/>
                  <w:u w:val="single" w:color="000080"/>
                </w:rPr>
                <w:t>tp://www.dnit.gov.br</w:t>
              </w:r>
            </w:hyperlink>
            <w:hyperlink r:id="rId9">
              <w:r>
                <w:rPr>
                  <w:rFonts w:ascii="Arial" w:eastAsia="Arial" w:hAnsi="Arial" w:cs="Arial"/>
                  <w:b/>
                  <w:color w:val="000080"/>
                  <w:sz w:val="20"/>
                </w:rPr>
                <w:t xml:space="preserve"> </w:t>
              </w:r>
            </w:hyperlink>
          </w:p>
          <w:p w:rsidR="006C145C" w:rsidRDefault="00C62E5A">
            <w:pPr>
              <w:spacing w:after="0"/>
              <w:ind w:right="274"/>
              <w:jc w:val="center"/>
            </w:pPr>
            <w:r>
              <w:rPr>
                <w:rFonts w:ascii="Arial" w:eastAsia="Arial" w:hAnsi="Arial" w:cs="Arial"/>
                <w:b/>
                <w:color w:val="000080"/>
                <w:sz w:val="20"/>
                <w:u w:val="single" w:color="000080"/>
              </w:rPr>
              <w:t xml:space="preserve">E-mail: </w:t>
            </w:r>
            <w:r>
              <w:rPr>
                <w:rFonts w:ascii="Arial" w:eastAsia="Arial" w:hAnsi="Arial" w:cs="Arial"/>
                <w:b/>
                <w:color w:val="FF0000"/>
                <w:sz w:val="20"/>
              </w:rPr>
              <w:t>cgcl.esclarecimentos@dnit.gov.br</w:t>
            </w:r>
            <w:r>
              <w:rPr>
                <w:rFonts w:ascii="Arial" w:eastAsia="Arial" w:hAnsi="Arial" w:cs="Arial"/>
                <w:color w:val="FF0000"/>
                <w:sz w:val="20"/>
              </w:rPr>
              <w:t xml:space="preserve"> </w:t>
            </w:r>
            <w:r>
              <w:rPr>
                <w:rFonts w:ascii="Arial" w:eastAsia="Arial" w:hAnsi="Arial" w:cs="Arial"/>
                <w:sz w:val="20"/>
              </w:rPr>
              <w:t xml:space="preserve"> </w:t>
            </w:r>
          </w:p>
        </w:tc>
      </w:tr>
    </w:tbl>
    <w:p w:rsidR="006C145C" w:rsidRDefault="00C62E5A">
      <w:pPr>
        <w:spacing w:after="137"/>
      </w:pPr>
      <w:r>
        <w:rPr>
          <w:rFonts w:ascii="Arial" w:eastAsia="Arial" w:hAnsi="Arial" w:cs="Arial"/>
          <w:b/>
          <w:sz w:val="20"/>
        </w:rPr>
        <w:lastRenderedPageBreak/>
        <w:t xml:space="preserve"> </w:t>
      </w:r>
    </w:p>
    <w:p w:rsidR="006C145C" w:rsidRDefault="00C62E5A">
      <w:pPr>
        <w:spacing w:after="139"/>
      </w:pPr>
      <w:r>
        <w:rPr>
          <w:rFonts w:ascii="Arial" w:eastAsia="Arial" w:hAnsi="Arial" w:cs="Arial"/>
          <w:b/>
          <w:sz w:val="20"/>
        </w:rPr>
        <w:t xml:space="preserve"> </w:t>
      </w:r>
    </w:p>
    <w:p w:rsidR="006C145C" w:rsidRDefault="00C62E5A">
      <w:pPr>
        <w:spacing w:after="0"/>
      </w:pPr>
      <w:r>
        <w:rPr>
          <w:rFonts w:ascii="Arial" w:eastAsia="Arial" w:hAnsi="Arial" w:cs="Arial"/>
          <w:b/>
          <w:sz w:val="20"/>
        </w:rPr>
        <w:t xml:space="preserve"> </w:t>
      </w:r>
      <w:r>
        <w:rPr>
          <w:rFonts w:ascii="Arial" w:eastAsia="Arial" w:hAnsi="Arial" w:cs="Arial"/>
          <w:b/>
          <w:sz w:val="20"/>
        </w:rPr>
        <w:tab/>
        <w:t xml:space="preserve"> </w:t>
      </w:r>
    </w:p>
    <w:p w:rsidR="006C145C" w:rsidRDefault="00C62E5A">
      <w:pPr>
        <w:pStyle w:val="Ttulo2"/>
        <w:spacing w:after="96"/>
        <w:ind w:left="10" w:right="30"/>
      </w:pPr>
      <w:r>
        <w:t>(Processo Administrativo n.°</w:t>
      </w:r>
      <w:r>
        <w:rPr>
          <w:color w:val="FF0000"/>
        </w:rPr>
        <w:t>...........</w:t>
      </w:r>
      <w:r>
        <w:t xml:space="preserve">) SUMÁRIO </w:t>
      </w:r>
    </w:p>
    <w:p w:rsidR="006C145C" w:rsidRDefault="00C62E5A">
      <w:pPr>
        <w:spacing w:after="103"/>
        <w:ind w:left="27"/>
        <w:jc w:val="center"/>
      </w:pPr>
      <w:r>
        <w:rPr>
          <w:rFonts w:ascii="Arial" w:eastAsia="Arial" w:hAnsi="Arial" w:cs="Arial"/>
          <w:b/>
          <w:sz w:val="20"/>
        </w:rPr>
        <w:t xml:space="preserve"> </w:t>
      </w:r>
    </w:p>
    <w:p w:rsidR="006C145C" w:rsidRDefault="00C62E5A">
      <w:pPr>
        <w:numPr>
          <w:ilvl w:val="0"/>
          <w:numId w:val="1"/>
        </w:numPr>
        <w:spacing w:after="81" w:line="270" w:lineRule="auto"/>
        <w:ind w:right="54" w:hanging="439"/>
        <w:jc w:val="both"/>
      </w:pPr>
      <w:r>
        <w:rPr>
          <w:rFonts w:ascii="Arial" w:eastAsia="Arial" w:hAnsi="Arial" w:cs="Arial"/>
          <w:sz w:val="20"/>
        </w:rPr>
        <w:t xml:space="preserve">DO OBJETO </w:t>
      </w:r>
      <w:r>
        <w:rPr>
          <w:rFonts w:ascii="Arial" w:eastAsia="Arial" w:hAnsi="Arial" w:cs="Arial"/>
          <w:sz w:val="20"/>
        </w:rPr>
        <w:t xml:space="preserve">.................................................................................................................................... 5 </w:t>
      </w:r>
    </w:p>
    <w:p w:rsidR="006C145C" w:rsidRDefault="00C62E5A">
      <w:pPr>
        <w:numPr>
          <w:ilvl w:val="0"/>
          <w:numId w:val="1"/>
        </w:numPr>
        <w:spacing w:after="79" w:line="270" w:lineRule="auto"/>
        <w:ind w:right="54" w:hanging="439"/>
        <w:jc w:val="both"/>
      </w:pPr>
      <w:r>
        <w:rPr>
          <w:rFonts w:ascii="Arial" w:eastAsia="Arial" w:hAnsi="Arial" w:cs="Arial"/>
          <w:sz w:val="20"/>
        </w:rPr>
        <w:t xml:space="preserve">DOS RECURSOS ORÇAMENTÁRIOS .......................................................................................... 6 </w:t>
      </w:r>
    </w:p>
    <w:p w:rsidR="006C145C" w:rsidRDefault="00C62E5A">
      <w:pPr>
        <w:numPr>
          <w:ilvl w:val="0"/>
          <w:numId w:val="1"/>
        </w:numPr>
        <w:spacing w:after="81" w:line="270" w:lineRule="auto"/>
        <w:ind w:right="54" w:hanging="439"/>
        <w:jc w:val="both"/>
      </w:pPr>
      <w:r>
        <w:rPr>
          <w:rFonts w:ascii="Arial" w:eastAsia="Arial" w:hAnsi="Arial" w:cs="Arial"/>
          <w:sz w:val="20"/>
        </w:rPr>
        <w:t xml:space="preserve">DO CREDENCIAMENTO ................................................................................................................ 6 </w:t>
      </w:r>
    </w:p>
    <w:p w:rsidR="006C145C" w:rsidRDefault="00C62E5A">
      <w:pPr>
        <w:numPr>
          <w:ilvl w:val="0"/>
          <w:numId w:val="1"/>
        </w:numPr>
        <w:spacing w:after="79" w:line="270" w:lineRule="auto"/>
        <w:ind w:right="54" w:hanging="439"/>
        <w:jc w:val="both"/>
      </w:pPr>
      <w:r>
        <w:rPr>
          <w:rFonts w:ascii="Arial" w:eastAsia="Arial" w:hAnsi="Arial" w:cs="Arial"/>
          <w:sz w:val="20"/>
        </w:rPr>
        <w:t>DA PARTICIPAÇÃO NO PREGÃO. ..............................................................................................</w:t>
      </w:r>
      <w:r>
        <w:rPr>
          <w:rFonts w:ascii="Arial" w:eastAsia="Arial" w:hAnsi="Arial" w:cs="Arial"/>
          <w:sz w:val="20"/>
        </w:rPr>
        <w:t xml:space="preserve">.. 7 </w:t>
      </w:r>
    </w:p>
    <w:p w:rsidR="006C145C" w:rsidRDefault="00C62E5A">
      <w:pPr>
        <w:numPr>
          <w:ilvl w:val="0"/>
          <w:numId w:val="1"/>
        </w:numPr>
        <w:spacing w:after="81" w:line="270" w:lineRule="auto"/>
        <w:ind w:right="54" w:hanging="439"/>
        <w:jc w:val="both"/>
      </w:pPr>
      <w:r>
        <w:rPr>
          <w:rFonts w:ascii="Arial" w:eastAsia="Arial" w:hAnsi="Arial" w:cs="Arial"/>
          <w:sz w:val="20"/>
        </w:rPr>
        <w:t xml:space="preserve">DO ENVIO DA PROPOSTA .......................................................................................................... 11 </w:t>
      </w:r>
    </w:p>
    <w:p w:rsidR="006C145C" w:rsidRDefault="00C62E5A">
      <w:pPr>
        <w:numPr>
          <w:ilvl w:val="0"/>
          <w:numId w:val="1"/>
        </w:numPr>
        <w:spacing w:after="77" w:line="270" w:lineRule="auto"/>
        <w:ind w:right="54" w:hanging="439"/>
        <w:jc w:val="both"/>
      </w:pPr>
      <w:r>
        <w:rPr>
          <w:rFonts w:ascii="Arial" w:eastAsia="Arial" w:hAnsi="Arial" w:cs="Arial"/>
          <w:sz w:val="20"/>
        </w:rPr>
        <w:t xml:space="preserve">DA FORMULAÇÃO DE LANCES E JULGAMENTO DAS PROPOSTAS ....... </w:t>
      </w:r>
      <w:r>
        <w:rPr>
          <w:rFonts w:ascii="Arial" w:eastAsia="Arial" w:hAnsi="Arial" w:cs="Arial"/>
          <w:b/>
          <w:sz w:val="20"/>
        </w:rPr>
        <w:t>Erro! Indicador não definido.</w:t>
      </w:r>
      <w:r>
        <w:rPr>
          <w:rFonts w:ascii="Arial" w:eastAsia="Arial" w:hAnsi="Arial" w:cs="Arial"/>
          <w:sz w:val="20"/>
        </w:rPr>
        <w:t xml:space="preserve"> </w:t>
      </w:r>
    </w:p>
    <w:p w:rsidR="006C145C" w:rsidRDefault="00C62E5A">
      <w:pPr>
        <w:numPr>
          <w:ilvl w:val="0"/>
          <w:numId w:val="1"/>
        </w:numPr>
        <w:spacing w:after="3" w:line="345" w:lineRule="auto"/>
        <w:ind w:right="54" w:hanging="439"/>
        <w:jc w:val="both"/>
      </w:pPr>
      <w:r>
        <w:rPr>
          <w:rFonts w:ascii="Arial" w:eastAsia="Arial" w:hAnsi="Arial" w:cs="Arial"/>
          <w:sz w:val="20"/>
        </w:rPr>
        <w:t xml:space="preserve">DA ACEITABILIDADE DA PROPOSTA VENCEDORA. ............................................................... 18 8 DA HABILITAÇÃO ............................................................................ </w:t>
      </w:r>
      <w:r>
        <w:rPr>
          <w:rFonts w:ascii="Arial" w:eastAsia="Arial" w:hAnsi="Arial" w:cs="Arial"/>
          <w:b/>
          <w:sz w:val="20"/>
        </w:rPr>
        <w:t>Erro! Indicador não definido.</w:t>
      </w:r>
      <w:r>
        <w:rPr>
          <w:rFonts w:ascii="Arial" w:eastAsia="Arial" w:hAnsi="Arial" w:cs="Arial"/>
          <w:sz w:val="20"/>
        </w:rPr>
        <w:t xml:space="preserve"> </w:t>
      </w:r>
    </w:p>
    <w:p w:rsidR="006C145C" w:rsidRDefault="00C62E5A">
      <w:pPr>
        <w:numPr>
          <w:ilvl w:val="0"/>
          <w:numId w:val="2"/>
        </w:numPr>
        <w:spacing w:after="81" w:line="270" w:lineRule="auto"/>
        <w:ind w:right="54" w:hanging="660"/>
        <w:jc w:val="both"/>
      </w:pPr>
      <w:r>
        <w:rPr>
          <w:rFonts w:ascii="Arial" w:eastAsia="Arial" w:hAnsi="Arial" w:cs="Arial"/>
          <w:sz w:val="20"/>
        </w:rPr>
        <w:t>DO ENCAMINHAMENTO DA PR</w:t>
      </w:r>
      <w:r>
        <w:rPr>
          <w:rFonts w:ascii="Arial" w:eastAsia="Arial" w:hAnsi="Arial" w:cs="Arial"/>
          <w:sz w:val="20"/>
        </w:rPr>
        <w:t xml:space="preserve">OPOSTA VENCEDORA .......................................................... 22 </w:t>
      </w:r>
    </w:p>
    <w:p w:rsidR="006C145C" w:rsidRDefault="00C62E5A">
      <w:pPr>
        <w:numPr>
          <w:ilvl w:val="0"/>
          <w:numId w:val="2"/>
        </w:numPr>
        <w:spacing w:after="79" w:line="270" w:lineRule="auto"/>
        <w:ind w:right="54" w:hanging="660"/>
        <w:jc w:val="both"/>
      </w:pPr>
      <w:r>
        <w:rPr>
          <w:rFonts w:ascii="Arial" w:eastAsia="Arial" w:hAnsi="Arial" w:cs="Arial"/>
          <w:sz w:val="20"/>
        </w:rPr>
        <w:t xml:space="preserve">DOS RECURSOS ..................................................................................................................... 37 </w:t>
      </w:r>
    </w:p>
    <w:p w:rsidR="006C145C" w:rsidRDefault="00C62E5A">
      <w:pPr>
        <w:numPr>
          <w:ilvl w:val="0"/>
          <w:numId w:val="2"/>
        </w:numPr>
        <w:spacing w:after="81" w:line="270" w:lineRule="auto"/>
        <w:ind w:right="54" w:hanging="660"/>
        <w:jc w:val="both"/>
      </w:pPr>
      <w:r>
        <w:rPr>
          <w:rFonts w:ascii="Arial" w:eastAsia="Arial" w:hAnsi="Arial" w:cs="Arial"/>
          <w:sz w:val="20"/>
        </w:rPr>
        <w:t>DA REABERTURA DA SESSÃO PÚBLICA .........</w:t>
      </w:r>
      <w:r>
        <w:rPr>
          <w:rFonts w:ascii="Arial" w:eastAsia="Arial" w:hAnsi="Arial" w:cs="Arial"/>
          <w:sz w:val="20"/>
        </w:rPr>
        <w:t xml:space="preserve">.................................................................... 38 </w:t>
      </w:r>
    </w:p>
    <w:p w:rsidR="006C145C" w:rsidRDefault="00C62E5A">
      <w:pPr>
        <w:numPr>
          <w:ilvl w:val="0"/>
          <w:numId w:val="2"/>
        </w:numPr>
        <w:spacing w:after="79" w:line="270" w:lineRule="auto"/>
        <w:ind w:right="54" w:hanging="660"/>
        <w:jc w:val="both"/>
      </w:pPr>
      <w:r>
        <w:rPr>
          <w:rFonts w:ascii="Arial" w:eastAsia="Arial" w:hAnsi="Arial" w:cs="Arial"/>
          <w:sz w:val="20"/>
        </w:rPr>
        <w:t xml:space="preserve">DA ADJUDICAÇÃO E HOMOLOGAÇÃO ................................................................................. 38 </w:t>
      </w:r>
    </w:p>
    <w:p w:rsidR="006C145C" w:rsidRDefault="00C62E5A">
      <w:pPr>
        <w:numPr>
          <w:ilvl w:val="0"/>
          <w:numId w:val="2"/>
        </w:numPr>
        <w:spacing w:after="79" w:line="270" w:lineRule="auto"/>
        <w:ind w:right="54" w:hanging="660"/>
        <w:jc w:val="both"/>
      </w:pPr>
      <w:r>
        <w:rPr>
          <w:rFonts w:ascii="Arial" w:eastAsia="Arial" w:hAnsi="Arial" w:cs="Arial"/>
          <w:sz w:val="20"/>
        </w:rPr>
        <w:t>DA GARANTIA DE EXECUÇÃO ............................................</w:t>
      </w:r>
      <w:r>
        <w:rPr>
          <w:rFonts w:ascii="Arial" w:eastAsia="Arial" w:hAnsi="Arial" w:cs="Arial"/>
          <w:sz w:val="20"/>
        </w:rPr>
        <w:t xml:space="preserve">................................................... 38 </w:t>
      </w:r>
    </w:p>
    <w:p w:rsidR="006C145C" w:rsidRDefault="00C62E5A">
      <w:pPr>
        <w:numPr>
          <w:ilvl w:val="0"/>
          <w:numId w:val="2"/>
        </w:numPr>
        <w:spacing w:after="81" w:line="270" w:lineRule="auto"/>
        <w:ind w:right="54" w:hanging="660"/>
        <w:jc w:val="both"/>
      </w:pPr>
      <w:r>
        <w:rPr>
          <w:rFonts w:ascii="Arial" w:eastAsia="Arial" w:hAnsi="Arial" w:cs="Arial"/>
          <w:i/>
          <w:sz w:val="20"/>
          <w:shd w:val="clear" w:color="auto" w:fill="00FFFF"/>
        </w:rPr>
        <w:t>DA ATA DE REGISTRO DE PREÇOS</w:t>
      </w:r>
      <w:r>
        <w:rPr>
          <w:rFonts w:ascii="Arial" w:eastAsia="Arial" w:hAnsi="Arial" w:cs="Arial"/>
          <w:sz w:val="20"/>
        </w:rPr>
        <w:t xml:space="preserve"> ..................................................................................... 39 </w:t>
      </w:r>
    </w:p>
    <w:p w:rsidR="006C145C" w:rsidRDefault="00C62E5A">
      <w:pPr>
        <w:numPr>
          <w:ilvl w:val="0"/>
          <w:numId w:val="2"/>
        </w:numPr>
        <w:spacing w:after="81" w:line="270" w:lineRule="auto"/>
        <w:ind w:right="54" w:hanging="660"/>
        <w:jc w:val="both"/>
      </w:pPr>
      <w:r>
        <w:rPr>
          <w:rFonts w:ascii="Arial" w:eastAsia="Arial" w:hAnsi="Arial" w:cs="Arial"/>
          <w:sz w:val="20"/>
        </w:rPr>
        <w:t>DO TERMO DE CONTRATO ............................................................</w:t>
      </w:r>
      <w:r>
        <w:rPr>
          <w:rFonts w:ascii="Arial" w:eastAsia="Arial" w:hAnsi="Arial" w:cs="Arial"/>
          <w:sz w:val="20"/>
        </w:rPr>
        <w:t xml:space="preserve">........................................ 40 </w:t>
      </w:r>
    </w:p>
    <w:p w:rsidR="006C145C" w:rsidRDefault="00C62E5A">
      <w:pPr>
        <w:numPr>
          <w:ilvl w:val="0"/>
          <w:numId w:val="2"/>
        </w:numPr>
        <w:spacing w:after="79" w:line="270" w:lineRule="auto"/>
        <w:ind w:right="54" w:hanging="660"/>
        <w:jc w:val="both"/>
      </w:pPr>
      <w:r>
        <w:rPr>
          <w:rFonts w:ascii="Arial" w:eastAsia="Arial" w:hAnsi="Arial" w:cs="Arial"/>
          <w:sz w:val="20"/>
        </w:rPr>
        <w:t xml:space="preserve">DO REAJUSTAMENTO EM SENTIDO GERAL ....................................................................... 41 </w:t>
      </w:r>
    </w:p>
    <w:p w:rsidR="006C145C" w:rsidRDefault="00C62E5A">
      <w:pPr>
        <w:numPr>
          <w:ilvl w:val="0"/>
          <w:numId w:val="2"/>
        </w:numPr>
        <w:spacing w:after="79" w:line="270" w:lineRule="auto"/>
        <w:ind w:right="54" w:hanging="660"/>
        <w:jc w:val="both"/>
      </w:pPr>
      <w:r>
        <w:rPr>
          <w:rFonts w:ascii="Arial" w:eastAsia="Arial" w:hAnsi="Arial" w:cs="Arial"/>
          <w:sz w:val="20"/>
        </w:rPr>
        <w:t xml:space="preserve">DA ACEITAÇÃO DO OBJETO E DA FISCALIZAÇÃO </w:t>
      </w:r>
      <w:r>
        <w:rPr>
          <w:rFonts w:ascii="Arial" w:eastAsia="Arial" w:hAnsi="Arial" w:cs="Arial"/>
          <w:sz w:val="20"/>
        </w:rPr>
        <w:t xml:space="preserve">............................................................. 41 </w:t>
      </w:r>
    </w:p>
    <w:p w:rsidR="006C145C" w:rsidRDefault="00C62E5A">
      <w:pPr>
        <w:numPr>
          <w:ilvl w:val="0"/>
          <w:numId w:val="2"/>
        </w:numPr>
        <w:spacing w:after="82" w:line="270" w:lineRule="auto"/>
        <w:ind w:right="54" w:hanging="660"/>
        <w:jc w:val="both"/>
      </w:pPr>
      <w:r>
        <w:rPr>
          <w:rFonts w:ascii="Arial" w:eastAsia="Arial" w:hAnsi="Arial" w:cs="Arial"/>
          <w:sz w:val="20"/>
        </w:rPr>
        <w:t xml:space="preserve">DAS OBRIGAÇÕES DA CONTRATANTE ................................................................................ 42 </w:t>
      </w:r>
    </w:p>
    <w:p w:rsidR="006C145C" w:rsidRDefault="00C62E5A">
      <w:pPr>
        <w:numPr>
          <w:ilvl w:val="0"/>
          <w:numId w:val="2"/>
        </w:numPr>
        <w:spacing w:after="79" w:line="270" w:lineRule="auto"/>
        <w:ind w:right="54" w:hanging="660"/>
        <w:jc w:val="both"/>
      </w:pPr>
      <w:r>
        <w:rPr>
          <w:rFonts w:ascii="Arial" w:eastAsia="Arial" w:hAnsi="Arial" w:cs="Arial"/>
          <w:sz w:val="20"/>
        </w:rPr>
        <w:t>DAS OBRIGAÇÕES DA CONTRATADA ..............................................</w:t>
      </w:r>
      <w:r>
        <w:rPr>
          <w:rFonts w:ascii="Arial" w:eastAsia="Arial" w:hAnsi="Arial" w:cs="Arial"/>
          <w:sz w:val="20"/>
        </w:rPr>
        <w:t xml:space="preserve">.................................... 42 </w:t>
      </w:r>
    </w:p>
    <w:p w:rsidR="006C145C" w:rsidRDefault="00C62E5A">
      <w:pPr>
        <w:numPr>
          <w:ilvl w:val="0"/>
          <w:numId w:val="2"/>
        </w:numPr>
        <w:spacing w:after="94" w:line="270" w:lineRule="auto"/>
        <w:ind w:right="54" w:hanging="660"/>
        <w:jc w:val="both"/>
      </w:pPr>
      <w:r>
        <w:rPr>
          <w:rFonts w:ascii="Arial" w:eastAsia="Arial" w:hAnsi="Arial" w:cs="Arial"/>
          <w:sz w:val="20"/>
        </w:rPr>
        <w:t xml:space="preserve">DO PAGAMENTO ..................................................................................................................... 44 </w:t>
      </w:r>
    </w:p>
    <w:p w:rsidR="006C145C" w:rsidRDefault="00C62E5A">
      <w:pPr>
        <w:numPr>
          <w:ilvl w:val="0"/>
          <w:numId w:val="2"/>
        </w:numPr>
        <w:spacing w:after="80" w:line="269" w:lineRule="auto"/>
        <w:ind w:right="54" w:hanging="660"/>
        <w:jc w:val="both"/>
      </w:pPr>
      <w:r>
        <w:rPr>
          <w:rFonts w:ascii="Arial" w:eastAsia="Arial" w:hAnsi="Arial" w:cs="Arial"/>
          <w:i/>
          <w:sz w:val="20"/>
        </w:rPr>
        <w:t>DA CONTA-DEPÓSITO VINCULADA― BLOQUEADA PARA MOVIMENTAÇÃO</w:t>
      </w:r>
      <w:r>
        <w:rPr>
          <w:rFonts w:ascii="Arial" w:eastAsia="Arial" w:hAnsi="Arial" w:cs="Arial"/>
          <w:sz w:val="20"/>
        </w:rPr>
        <w:t xml:space="preserve"> ................. 44 </w:t>
      </w:r>
    </w:p>
    <w:p w:rsidR="006C145C" w:rsidRDefault="00C62E5A">
      <w:pPr>
        <w:numPr>
          <w:ilvl w:val="0"/>
          <w:numId w:val="3"/>
        </w:numPr>
        <w:spacing w:after="84" w:line="270" w:lineRule="auto"/>
        <w:ind w:right="54" w:hanging="660"/>
        <w:jc w:val="both"/>
      </w:pPr>
      <w:r>
        <w:rPr>
          <w:rFonts w:ascii="Arial" w:eastAsia="Arial" w:hAnsi="Arial" w:cs="Arial"/>
          <w:i/>
          <w:sz w:val="20"/>
        </w:rPr>
        <w:t>DO PAGAMENTO PELO FATO GERADOR</w:t>
      </w:r>
      <w:r>
        <w:rPr>
          <w:rFonts w:ascii="Arial" w:eastAsia="Arial" w:hAnsi="Arial" w:cs="Arial"/>
          <w:sz w:val="20"/>
        </w:rPr>
        <w:t xml:space="preserve"> ............................................................................ 45 </w:t>
      </w:r>
    </w:p>
    <w:p w:rsidR="006C145C" w:rsidRDefault="00C62E5A">
      <w:pPr>
        <w:numPr>
          <w:ilvl w:val="0"/>
          <w:numId w:val="3"/>
        </w:numPr>
        <w:spacing w:after="76" w:line="270" w:lineRule="auto"/>
        <w:ind w:right="54" w:hanging="660"/>
        <w:jc w:val="both"/>
      </w:pPr>
      <w:r>
        <w:rPr>
          <w:rFonts w:ascii="Arial" w:eastAsia="Arial" w:hAnsi="Arial" w:cs="Arial"/>
          <w:sz w:val="20"/>
        </w:rPr>
        <w:t xml:space="preserve">DAS SANÇÕES ADMINISTRATIVAS. ...................................................................................... 45 </w:t>
      </w:r>
    </w:p>
    <w:p w:rsidR="006C145C" w:rsidRDefault="00C62E5A">
      <w:pPr>
        <w:numPr>
          <w:ilvl w:val="0"/>
          <w:numId w:val="3"/>
        </w:numPr>
        <w:spacing w:after="84" w:line="270" w:lineRule="auto"/>
        <w:ind w:right="54" w:hanging="660"/>
        <w:jc w:val="both"/>
      </w:pPr>
      <w:r>
        <w:rPr>
          <w:rFonts w:ascii="Arial" w:eastAsia="Arial" w:hAnsi="Arial" w:cs="Arial"/>
          <w:i/>
          <w:sz w:val="20"/>
        </w:rPr>
        <w:t xml:space="preserve">DA FORMAÇÃO DO CADASTRO </w:t>
      </w:r>
      <w:r>
        <w:rPr>
          <w:rFonts w:ascii="Arial" w:eastAsia="Arial" w:hAnsi="Arial" w:cs="Arial"/>
          <w:i/>
          <w:sz w:val="20"/>
        </w:rPr>
        <w:t>DE RESERVA</w:t>
      </w:r>
      <w:r>
        <w:rPr>
          <w:rFonts w:ascii="Arial" w:eastAsia="Arial" w:hAnsi="Arial" w:cs="Arial"/>
          <w:sz w:val="20"/>
        </w:rPr>
        <w:t xml:space="preserve"> .................................................................... 47 </w:t>
      </w:r>
    </w:p>
    <w:p w:rsidR="006C145C" w:rsidRDefault="00C62E5A">
      <w:pPr>
        <w:numPr>
          <w:ilvl w:val="0"/>
          <w:numId w:val="3"/>
        </w:numPr>
        <w:spacing w:after="79" w:line="270" w:lineRule="auto"/>
        <w:ind w:right="54" w:hanging="660"/>
        <w:jc w:val="both"/>
      </w:pPr>
      <w:r>
        <w:rPr>
          <w:rFonts w:ascii="Arial" w:eastAsia="Arial" w:hAnsi="Arial" w:cs="Arial"/>
          <w:sz w:val="20"/>
        </w:rPr>
        <w:t xml:space="preserve">DA IMPUGNAÇÃO AO EDITAL E DO PEDIDO DE ESCLARECIMENTO ............................... 48 </w:t>
      </w:r>
    </w:p>
    <w:p w:rsidR="006C145C" w:rsidRDefault="00C62E5A">
      <w:pPr>
        <w:numPr>
          <w:ilvl w:val="0"/>
          <w:numId w:val="3"/>
        </w:numPr>
        <w:spacing w:after="81" w:line="270" w:lineRule="auto"/>
        <w:ind w:right="54" w:hanging="660"/>
        <w:jc w:val="both"/>
      </w:pPr>
      <w:r>
        <w:rPr>
          <w:rFonts w:ascii="Arial" w:eastAsia="Arial" w:hAnsi="Arial" w:cs="Arial"/>
          <w:sz w:val="20"/>
          <w:shd w:val="clear" w:color="auto" w:fill="FFFF00"/>
        </w:rPr>
        <w:t>DAS SITUAÇÕES ESPECIAIS</w:t>
      </w:r>
      <w:r>
        <w:rPr>
          <w:rFonts w:ascii="Arial" w:eastAsia="Arial" w:hAnsi="Arial" w:cs="Arial"/>
          <w:sz w:val="20"/>
        </w:rPr>
        <w:t xml:space="preserve"> ..........................................................</w:t>
      </w:r>
      <w:r>
        <w:rPr>
          <w:rFonts w:ascii="Arial" w:eastAsia="Arial" w:hAnsi="Arial" w:cs="Arial"/>
          <w:sz w:val="20"/>
        </w:rPr>
        <w:t xml:space="preserve">....................................... 48 </w:t>
      </w:r>
    </w:p>
    <w:p w:rsidR="006C145C" w:rsidRDefault="00C62E5A">
      <w:pPr>
        <w:numPr>
          <w:ilvl w:val="0"/>
          <w:numId w:val="3"/>
        </w:numPr>
        <w:spacing w:after="77" w:line="270" w:lineRule="auto"/>
        <w:ind w:right="54" w:hanging="660"/>
        <w:jc w:val="both"/>
      </w:pPr>
      <w:r>
        <w:rPr>
          <w:rFonts w:ascii="Arial" w:eastAsia="Arial" w:hAnsi="Arial" w:cs="Arial"/>
          <w:sz w:val="20"/>
        </w:rPr>
        <w:t xml:space="preserve">DAS DISPOSIÇÕES GERAIS ................................................................................................... 49 </w:t>
      </w:r>
    </w:p>
    <w:p w:rsidR="006C145C" w:rsidRDefault="00C62E5A">
      <w:pPr>
        <w:spacing w:after="75" w:line="270" w:lineRule="auto"/>
        <w:ind w:left="5" w:right="54" w:hanging="8"/>
        <w:jc w:val="both"/>
      </w:pPr>
      <w:r>
        <w:rPr>
          <w:rFonts w:ascii="Arial" w:eastAsia="Arial" w:hAnsi="Arial" w:cs="Arial"/>
          <w:b/>
          <w:sz w:val="20"/>
        </w:rPr>
        <w:t>ANEXO I – TERMO DE REFERÊNCIA</w:t>
      </w:r>
      <w:r>
        <w:rPr>
          <w:rFonts w:ascii="Arial" w:eastAsia="Arial" w:hAnsi="Arial" w:cs="Arial"/>
          <w:sz w:val="20"/>
        </w:rPr>
        <w:t xml:space="preserve"> .......................................................</w:t>
      </w:r>
      <w:r>
        <w:rPr>
          <w:rFonts w:ascii="Arial" w:eastAsia="Arial" w:hAnsi="Arial" w:cs="Arial"/>
          <w:sz w:val="20"/>
        </w:rPr>
        <w:t xml:space="preserve">......................................... 51 </w:t>
      </w:r>
    </w:p>
    <w:p w:rsidR="006C145C" w:rsidRDefault="00C62E5A">
      <w:pPr>
        <w:spacing w:after="76" w:line="270" w:lineRule="auto"/>
        <w:ind w:left="5" w:right="54" w:hanging="8"/>
        <w:jc w:val="both"/>
      </w:pPr>
      <w:r>
        <w:rPr>
          <w:rFonts w:ascii="Arial" w:eastAsia="Arial" w:hAnsi="Arial" w:cs="Arial"/>
          <w:b/>
          <w:sz w:val="20"/>
        </w:rPr>
        <w:t>ANEXO II – MINUTA ATA DE REGISTRO DE PREÇOS</w:t>
      </w:r>
      <w:r>
        <w:rPr>
          <w:rFonts w:ascii="Arial" w:eastAsia="Arial" w:hAnsi="Arial" w:cs="Arial"/>
          <w:sz w:val="20"/>
        </w:rPr>
        <w:t xml:space="preserve"> .................................................................. 107 </w:t>
      </w:r>
    </w:p>
    <w:p w:rsidR="006C145C" w:rsidRDefault="00C62E5A">
      <w:pPr>
        <w:pStyle w:val="Ttulo3"/>
        <w:spacing w:after="8" w:line="249" w:lineRule="auto"/>
        <w:ind w:left="7" w:right="37"/>
        <w:jc w:val="both"/>
      </w:pPr>
      <w:r>
        <w:t xml:space="preserve">ANEXO IV - Termo de Conciliação Judicial firmado entre o Ministério Público do Trabalho e a </w:t>
      </w:r>
    </w:p>
    <w:p w:rsidR="006C145C" w:rsidRDefault="00C62E5A">
      <w:pPr>
        <w:spacing w:after="75" w:line="270" w:lineRule="auto"/>
        <w:ind w:left="5" w:right="54" w:hanging="8"/>
        <w:jc w:val="both"/>
      </w:pPr>
      <w:r>
        <w:rPr>
          <w:rFonts w:ascii="Arial" w:eastAsia="Arial" w:hAnsi="Arial" w:cs="Arial"/>
          <w:b/>
          <w:sz w:val="20"/>
        </w:rPr>
        <w:t>União</w:t>
      </w:r>
      <w:r>
        <w:rPr>
          <w:rFonts w:ascii="Arial" w:eastAsia="Arial" w:hAnsi="Arial" w:cs="Arial"/>
          <w:sz w:val="20"/>
        </w:rPr>
        <w:t xml:space="preserve"> ................................................................................................................................................... 123 </w:t>
      </w:r>
    </w:p>
    <w:p w:rsidR="006C145C" w:rsidRDefault="00C62E5A">
      <w:pPr>
        <w:spacing w:after="72" w:line="270" w:lineRule="auto"/>
        <w:ind w:left="5" w:right="54" w:hanging="8"/>
        <w:jc w:val="both"/>
      </w:pPr>
      <w:r>
        <w:rPr>
          <w:rFonts w:ascii="Arial" w:eastAsia="Arial" w:hAnsi="Arial" w:cs="Arial"/>
          <w:b/>
          <w:sz w:val="20"/>
        </w:rPr>
        <w:t>ANEXO V - PLANILHA DE CUSTOS E FORMAÇÃO DE PREÇOS</w:t>
      </w:r>
      <w:r>
        <w:rPr>
          <w:rFonts w:ascii="Arial" w:eastAsia="Arial" w:hAnsi="Arial" w:cs="Arial"/>
          <w:sz w:val="20"/>
        </w:rPr>
        <w:t xml:space="preserve"> ...............................................</w:t>
      </w:r>
      <w:r>
        <w:rPr>
          <w:rFonts w:ascii="Arial" w:eastAsia="Arial" w:hAnsi="Arial" w:cs="Arial"/>
          <w:sz w:val="20"/>
        </w:rPr>
        <w:t xml:space="preserve">.. 127 </w:t>
      </w:r>
    </w:p>
    <w:p w:rsidR="006C145C" w:rsidRDefault="00C62E5A">
      <w:pPr>
        <w:spacing w:after="92" w:line="249" w:lineRule="auto"/>
        <w:ind w:left="7" w:right="37" w:hanging="10"/>
        <w:jc w:val="both"/>
      </w:pPr>
      <w:r>
        <w:rPr>
          <w:rFonts w:ascii="Arial" w:eastAsia="Arial" w:hAnsi="Arial" w:cs="Arial"/>
          <w:b/>
          <w:sz w:val="20"/>
        </w:rPr>
        <w:t>ANEXO VI - Modelo de Autorização para a Utilização da Garantia e de Pagamento Direto</w:t>
      </w:r>
      <w:r>
        <w:rPr>
          <w:rFonts w:ascii="Arial" w:eastAsia="Arial" w:hAnsi="Arial" w:cs="Arial"/>
          <w:sz w:val="20"/>
        </w:rPr>
        <w:t xml:space="preserve"> ...... 128 </w:t>
      </w:r>
    </w:p>
    <w:p w:rsidR="006C145C" w:rsidRDefault="00C62E5A">
      <w:pPr>
        <w:spacing w:after="72" w:line="270" w:lineRule="auto"/>
        <w:ind w:left="5" w:right="54" w:hanging="8"/>
        <w:jc w:val="both"/>
      </w:pPr>
      <w:r>
        <w:rPr>
          <w:rFonts w:ascii="Arial" w:eastAsia="Arial" w:hAnsi="Arial" w:cs="Arial"/>
          <w:b/>
          <w:sz w:val="20"/>
        </w:rPr>
        <w:t>ANEXO VII - MODELO DE TERMO DE VISTORIA</w:t>
      </w:r>
      <w:r>
        <w:rPr>
          <w:rFonts w:ascii="Arial" w:eastAsia="Arial" w:hAnsi="Arial" w:cs="Arial"/>
          <w:sz w:val="20"/>
        </w:rPr>
        <w:t xml:space="preserve"> ........................................................................... 129 </w:t>
      </w:r>
    </w:p>
    <w:p w:rsidR="006C145C" w:rsidRDefault="00C62E5A">
      <w:pPr>
        <w:spacing w:after="8" w:line="249" w:lineRule="auto"/>
        <w:ind w:left="7" w:right="37" w:hanging="10"/>
        <w:jc w:val="both"/>
      </w:pPr>
      <w:r>
        <w:rPr>
          <w:rFonts w:ascii="Arial" w:eastAsia="Arial" w:hAnsi="Arial" w:cs="Arial"/>
          <w:b/>
          <w:sz w:val="20"/>
        </w:rPr>
        <w:t>ANEXO VIII - Minuta do Termo d</w:t>
      </w:r>
      <w:r>
        <w:rPr>
          <w:rFonts w:ascii="Arial" w:eastAsia="Arial" w:hAnsi="Arial" w:cs="Arial"/>
          <w:b/>
          <w:sz w:val="20"/>
        </w:rPr>
        <w:t>e Cooperação Técnica com Instituição Financeira</w:t>
      </w:r>
      <w:r>
        <w:rPr>
          <w:rFonts w:ascii="Arial" w:eastAsia="Arial" w:hAnsi="Arial" w:cs="Arial"/>
          <w:sz w:val="20"/>
        </w:rPr>
        <w:t xml:space="preserve">................. 130 </w:t>
      </w:r>
      <w:r>
        <w:rPr>
          <w:rFonts w:ascii="Arial" w:eastAsia="Arial" w:hAnsi="Arial" w:cs="Arial"/>
          <w:b/>
          <w:sz w:val="20"/>
        </w:rPr>
        <w:t xml:space="preserve">ANEXO IX - Modelo de declaração de contratos firmados com a iniciativa privada e a </w:t>
      </w:r>
    </w:p>
    <w:p w:rsidR="006C145C" w:rsidRDefault="00C62E5A">
      <w:pPr>
        <w:spacing w:after="72" w:line="270" w:lineRule="auto"/>
        <w:ind w:left="5" w:right="54" w:hanging="8"/>
        <w:jc w:val="both"/>
      </w:pPr>
      <w:r>
        <w:rPr>
          <w:rFonts w:ascii="Arial" w:eastAsia="Arial" w:hAnsi="Arial" w:cs="Arial"/>
          <w:b/>
          <w:sz w:val="20"/>
        </w:rPr>
        <w:lastRenderedPageBreak/>
        <w:t>Administração Pública;</w:t>
      </w:r>
      <w:r>
        <w:rPr>
          <w:rFonts w:ascii="Arial" w:eastAsia="Arial" w:hAnsi="Arial" w:cs="Arial"/>
          <w:sz w:val="20"/>
        </w:rPr>
        <w:t xml:space="preserve"> ................................................................................</w:t>
      </w:r>
      <w:r>
        <w:rPr>
          <w:rFonts w:ascii="Arial" w:eastAsia="Arial" w:hAnsi="Arial" w:cs="Arial"/>
          <w:sz w:val="20"/>
        </w:rPr>
        <w:t xml:space="preserve">.................................... 144 </w:t>
      </w:r>
    </w:p>
    <w:p w:rsidR="006C145C" w:rsidRDefault="00C62E5A">
      <w:pPr>
        <w:pStyle w:val="Ttulo3"/>
        <w:spacing w:after="8" w:line="249" w:lineRule="auto"/>
        <w:ind w:left="7" w:right="37"/>
        <w:jc w:val="both"/>
      </w:pPr>
      <w:r>
        <w:t>ANEXO X - Modelo de Instrumento de Medição de Resultado - IMR</w:t>
      </w:r>
      <w:r>
        <w:rPr>
          <w:b w:val="0"/>
        </w:rPr>
        <w:t xml:space="preserve"> ........................................... 145 </w:t>
      </w:r>
      <w:r>
        <w:t xml:space="preserve">ANEXO XI - MODELO DE DECLARAÇÃO DE DISPONIBILIDADE DE INSTALAÇÃO DE </w:t>
      </w:r>
    </w:p>
    <w:p w:rsidR="006C145C" w:rsidRDefault="00C62E5A">
      <w:pPr>
        <w:spacing w:after="77" w:line="270" w:lineRule="auto"/>
        <w:ind w:left="5" w:right="54" w:hanging="8"/>
        <w:jc w:val="both"/>
      </w:pPr>
      <w:r>
        <w:rPr>
          <w:rFonts w:ascii="Arial" w:eastAsia="Arial" w:hAnsi="Arial" w:cs="Arial"/>
          <w:b/>
          <w:sz w:val="20"/>
        </w:rPr>
        <w:t>ESCRITÓRIO</w:t>
      </w:r>
      <w:r>
        <w:rPr>
          <w:rFonts w:ascii="Arial" w:eastAsia="Arial" w:hAnsi="Arial" w:cs="Arial"/>
          <w:sz w:val="20"/>
        </w:rPr>
        <w:t xml:space="preserve"> ........................</w:t>
      </w:r>
      <w:r>
        <w:rPr>
          <w:rFonts w:ascii="Arial" w:eastAsia="Arial" w:hAnsi="Arial" w:cs="Arial"/>
          <w:sz w:val="20"/>
        </w:rPr>
        <w:t xml:space="preserve">.............................................................................................................. 146 </w:t>
      </w:r>
    </w:p>
    <w:p w:rsidR="006C145C" w:rsidRDefault="00C62E5A">
      <w:pPr>
        <w:spacing w:after="135"/>
        <w:ind w:left="540"/>
      </w:pPr>
      <w:r>
        <w:rPr>
          <w:rFonts w:ascii="Arial" w:eastAsia="Arial" w:hAnsi="Arial" w:cs="Arial"/>
          <w:sz w:val="20"/>
        </w:rPr>
        <w:t xml:space="preserve"> </w:t>
      </w:r>
    </w:p>
    <w:p w:rsidR="006C145C" w:rsidRDefault="00C62E5A">
      <w:pPr>
        <w:spacing w:after="22"/>
        <w:ind w:right="60"/>
        <w:jc w:val="right"/>
      </w:pPr>
      <w:r>
        <w:rPr>
          <w:rFonts w:ascii="Arial" w:eastAsia="Arial" w:hAnsi="Arial" w:cs="Arial"/>
          <w:b/>
          <w:sz w:val="20"/>
          <w:shd w:val="clear" w:color="auto" w:fill="FFFF00"/>
        </w:rPr>
        <w:t>O Departamento Nacional de Infraestrutura de Transportes – DNIT</w:t>
      </w:r>
      <w:r>
        <w:rPr>
          <w:rFonts w:ascii="Arial" w:eastAsia="Arial" w:hAnsi="Arial" w:cs="Arial"/>
          <w:sz w:val="20"/>
          <w:shd w:val="clear" w:color="auto" w:fill="FFFF00"/>
        </w:rPr>
        <w:t xml:space="preserve">/ </w:t>
      </w:r>
      <w:r>
        <w:rPr>
          <w:rFonts w:ascii="Arial" w:eastAsia="Arial" w:hAnsi="Arial" w:cs="Arial"/>
          <w:color w:val="FF0000"/>
          <w:sz w:val="20"/>
          <w:shd w:val="clear" w:color="auto" w:fill="FFFF00"/>
        </w:rPr>
        <w:t>Superintendência</w:t>
      </w:r>
      <w:r>
        <w:rPr>
          <w:rFonts w:ascii="Arial" w:eastAsia="Arial" w:hAnsi="Arial" w:cs="Arial"/>
          <w:color w:val="FF0000"/>
          <w:sz w:val="20"/>
        </w:rPr>
        <w:t xml:space="preserve"> </w:t>
      </w:r>
    </w:p>
    <w:p w:rsidR="006C145C" w:rsidRDefault="00C62E5A">
      <w:pPr>
        <w:spacing w:after="8" w:line="269" w:lineRule="auto"/>
        <w:ind w:left="-15" w:right="51"/>
        <w:jc w:val="both"/>
      </w:pPr>
      <w:r>
        <w:rPr>
          <w:rFonts w:ascii="Arial" w:eastAsia="Arial" w:hAnsi="Arial" w:cs="Arial"/>
          <w:color w:val="FF0000"/>
          <w:sz w:val="20"/>
          <w:shd w:val="clear" w:color="auto" w:fill="FFFF00"/>
        </w:rPr>
        <w:t>Regional do DNIT no Estado de</w:t>
      </w:r>
      <w:r>
        <w:rPr>
          <w:rFonts w:ascii="Arial" w:eastAsia="Arial" w:hAnsi="Arial" w:cs="Arial"/>
          <w:sz w:val="20"/>
          <w:shd w:val="clear" w:color="auto" w:fill="FFFF00"/>
        </w:rPr>
        <w:t xml:space="preserve">  </w:t>
      </w:r>
      <w:r>
        <w:rPr>
          <w:rFonts w:ascii="Arial" w:eastAsia="Arial" w:hAnsi="Arial" w:cs="Arial"/>
          <w:sz w:val="20"/>
          <w:shd w:val="clear" w:color="auto" w:fill="FFFF00"/>
        </w:rPr>
        <w:t>......................., mediante o pregoeiro designado pela Portaria nº</w:t>
      </w:r>
      <w:r>
        <w:rPr>
          <w:rFonts w:ascii="Arial" w:eastAsia="Arial" w:hAnsi="Arial" w:cs="Arial"/>
          <w:sz w:val="20"/>
        </w:rPr>
        <w:t xml:space="preserve"> </w:t>
      </w:r>
    </w:p>
    <w:p w:rsidR="006C145C" w:rsidRDefault="00C62E5A">
      <w:pPr>
        <w:spacing w:after="155" w:line="269" w:lineRule="auto"/>
        <w:ind w:left="-15" w:right="51"/>
        <w:jc w:val="both"/>
      </w:pPr>
      <w:r>
        <w:rPr>
          <w:rFonts w:ascii="Arial" w:eastAsia="Arial" w:hAnsi="Arial" w:cs="Arial"/>
          <w:sz w:val="20"/>
          <w:shd w:val="clear" w:color="auto" w:fill="FFFF00"/>
        </w:rPr>
        <w:t>.................., de ........ de ........................ de 20...., da ........................, publicada na Seção ..... do Diário</w:t>
      </w:r>
      <w:r>
        <w:rPr>
          <w:rFonts w:ascii="Arial" w:eastAsia="Arial" w:hAnsi="Arial" w:cs="Arial"/>
          <w:sz w:val="20"/>
        </w:rPr>
        <w:t xml:space="preserve"> </w:t>
      </w:r>
      <w:r>
        <w:rPr>
          <w:rFonts w:ascii="Arial" w:eastAsia="Arial" w:hAnsi="Arial" w:cs="Arial"/>
          <w:sz w:val="20"/>
          <w:shd w:val="clear" w:color="auto" w:fill="FFFF00"/>
        </w:rPr>
        <w:t>Oficial da União, de ....... de ...............</w:t>
      </w:r>
      <w:r>
        <w:rPr>
          <w:rFonts w:ascii="Arial" w:eastAsia="Arial" w:hAnsi="Arial" w:cs="Arial"/>
          <w:sz w:val="20"/>
          <w:shd w:val="clear" w:color="auto" w:fill="FFFF00"/>
        </w:rPr>
        <w:t>..... de 20....., torna público para conhecimento dos interessados</w:t>
      </w:r>
      <w:r>
        <w:rPr>
          <w:rFonts w:ascii="Arial" w:eastAsia="Arial" w:hAnsi="Arial" w:cs="Arial"/>
          <w:sz w:val="20"/>
        </w:rPr>
        <w:t xml:space="preserve"> </w:t>
      </w:r>
      <w:r>
        <w:rPr>
          <w:rFonts w:ascii="Arial" w:eastAsia="Arial" w:hAnsi="Arial" w:cs="Arial"/>
          <w:sz w:val="20"/>
          <w:shd w:val="clear" w:color="auto" w:fill="FFFF00"/>
        </w:rPr>
        <w:t>que realizará licitação,</w:t>
      </w:r>
      <w:r>
        <w:rPr>
          <w:rFonts w:ascii="Arial" w:eastAsia="Arial" w:hAnsi="Arial" w:cs="Arial"/>
          <w:i/>
          <w:color w:val="FF0000"/>
          <w:sz w:val="20"/>
        </w:rPr>
        <w:t xml:space="preserve"> </w:t>
      </w:r>
      <w:r>
        <w:rPr>
          <w:rFonts w:ascii="Arial" w:eastAsia="Arial" w:hAnsi="Arial" w:cs="Arial"/>
          <w:i/>
          <w:color w:val="FF0000"/>
          <w:sz w:val="20"/>
          <w:shd w:val="clear" w:color="auto" w:fill="00FFFF"/>
        </w:rPr>
        <w:t>para registro de preços</w:t>
      </w:r>
      <w:r>
        <w:rPr>
          <w:rFonts w:ascii="Arial" w:eastAsia="Arial" w:hAnsi="Arial" w:cs="Arial"/>
          <w:i/>
          <w:color w:val="FF0000"/>
          <w:sz w:val="20"/>
        </w:rPr>
        <w:t>,</w:t>
      </w:r>
      <w:r>
        <w:rPr>
          <w:rFonts w:ascii="Arial" w:eastAsia="Arial" w:hAnsi="Arial" w:cs="Arial"/>
          <w:sz w:val="20"/>
        </w:rPr>
        <w:t xml:space="preserve"> </w:t>
      </w:r>
      <w:r>
        <w:rPr>
          <w:rFonts w:ascii="Arial" w:eastAsia="Arial" w:hAnsi="Arial" w:cs="Arial"/>
          <w:sz w:val="20"/>
          <w:shd w:val="clear" w:color="auto" w:fill="FFFF00"/>
        </w:rPr>
        <w:t>na modalidade PREGÃO, na forma ELETRÔNICA, com</w:t>
      </w:r>
      <w:r>
        <w:rPr>
          <w:rFonts w:ascii="Arial" w:eastAsia="Arial" w:hAnsi="Arial" w:cs="Arial"/>
          <w:sz w:val="20"/>
        </w:rPr>
        <w:t xml:space="preserve"> </w:t>
      </w:r>
      <w:r>
        <w:rPr>
          <w:rFonts w:ascii="Arial" w:eastAsia="Arial" w:hAnsi="Arial" w:cs="Arial"/>
          <w:sz w:val="20"/>
          <w:shd w:val="clear" w:color="auto" w:fill="FFFF00"/>
        </w:rPr>
        <w:t xml:space="preserve">critério de julgamento </w:t>
      </w:r>
      <w:r>
        <w:rPr>
          <w:rFonts w:ascii="Arial" w:eastAsia="Arial" w:hAnsi="Arial" w:cs="Arial"/>
          <w:b/>
          <w:i/>
          <w:color w:val="FF0000"/>
          <w:sz w:val="20"/>
          <w:shd w:val="clear" w:color="auto" w:fill="FFFF00"/>
        </w:rPr>
        <w:t>(menor preço/maior desconto)</w:t>
      </w:r>
      <w:r>
        <w:rPr>
          <w:rFonts w:ascii="Arial" w:eastAsia="Arial" w:hAnsi="Arial" w:cs="Arial"/>
          <w:b/>
          <w:sz w:val="20"/>
          <w:shd w:val="clear" w:color="auto" w:fill="FFFF00"/>
        </w:rPr>
        <w:t xml:space="preserve"> </w:t>
      </w:r>
      <w:r>
        <w:rPr>
          <w:rFonts w:ascii="Arial" w:eastAsia="Arial" w:hAnsi="Arial" w:cs="Arial"/>
          <w:i/>
          <w:color w:val="FF0000"/>
          <w:sz w:val="20"/>
          <w:shd w:val="clear" w:color="auto" w:fill="FFFF00"/>
        </w:rPr>
        <w:t>(por item, lote/grupo)</w:t>
      </w:r>
      <w:r>
        <w:rPr>
          <w:rFonts w:ascii="Arial" w:eastAsia="Arial" w:hAnsi="Arial" w:cs="Arial"/>
          <w:sz w:val="20"/>
          <w:shd w:val="clear" w:color="auto" w:fill="FFFF00"/>
        </w:rPr>
        <w:t>, sob a forma de e</w:t>
      </w:r>
      <w:r>
        <w:rPr>
          <w:rFonts w:ascii="Arial" w:eastAsia="Arial" w:hAnsi="Arial" w:cs="Arial"/>
          <w:sz w:val="20"/>
          <w:shd w:val="clear" w:color="auto" w:fill="FFFF00"/>
        </w:rPr>
        <w:t>xecução</w:t>
      </w:r>
      <w:r>
        <w:rPr>
          <w:rFonts w:ascii="Arial" w:eastAsia="Arial" w:hAnsi="Arial" w:cs="Arial"/>
          <w:sz w:val="20"/>
        </w:rPr>
        <w:t xml:space="preserve"> </w:t>
      </w:r>
      <w:r>
        <w:rPr>
          <w:rFonts w:ascii="Arial" w:eastAsia="Arial" w:hAnsi="Arial" w:cs="Arial"/>
          <w:sz w:val="20"/>
          <w:shd w:val="clear" w:color="auto" w:fill="FFFF00"/>
        </w:rPr>
        <w:t xml:space="preserve">indireta, no regime de empreitada por </w:t>
      </w:r>
      <w:r>
        <w:rPr>
          <w:rFonts w:ascii="Arial" w:eastAsia="Arial" w:hAnsi="Arial" w:cs="Arial"/>
          <w:i/>
          <w:color w:val="FF0000"/>
          <w:sz w:val="20"/>
          <w:shd w:val="clear" w:color="auto" w:fill="FFFF00"/>
        </w:rPr>
        <w:t>(preço unitário/global/integral)</w:t>
      </w:r>
      <w:r>
        <w:rPr>
          <w:rFonts w:ascii="Arial" w:eastAsia="Arial" w:hAnsi="Arial" w:cs="Arial"/>
          <w:sz w:val="20"/>
          <w:shd w:val="clear" w:color="auto" w:fill="FFFF00"/>
        </w:rPr>
        <w:t>, nos termos da Lei nº 10.520, de</w:t>
      </w:r>
      <w:r>
        <w:rPr>
          <w:rFonts w:ascii="Arial" w:eastAsia="Arial" w:hAnsi="Arial" w:cs="Arial"/>
          <w:sz w:val="20"/>
        </w:rPr>
        <w:t xml:space="preserve"> </w:t>
      </w:r>
      <w:r>
        <w:rPr>
          <w:rFonts w:ascii="Arial" w:eastAsia="Arial" w:hAnsi="Arial" w:cs="Arial"/>
          <w:sz w:val="20"/>
          <w:shd w:val="clear" w:color="auto" w:fill="FFFF00"/>
        </w:rPr>
        <w:t>17 de julho de 2002, do Decreto nº 10.024, de 20 de setembro de 2019, do Decreto 9.507, de 21 de</w:t>
      </w:r>
      <w:r>
        <w:rPr>
          <w:rFonts w:ascii="Arial" w:eastAsia="Arial" w:hAnsi="Arial" w:cs="Arial"/>
          <w:sz w:val="20"/>
        </w:rPr>
        <w:t xml:space="preserve"> </w:t>
      </w:r>
      <w:r>
        <w:rPr>
          <w:rFonts w:ascii="Arial" w:eastAsia="Arial" w:hAnsi="Arial" w:cs="Arial"/>
          <w:sz w:val="20"/>
          <w:shd w:val="clear" w:color="auto" w:fill="FFFF00"/>
        </w:rPr>
        <w:t>setembro de 2018, do Decreto nº 7.746, de 05 de</w:t>
      </w:r>
      <w:r>
        <w:rPr>
          <w:rFonts w:ascii="Arial" w:eastAsia="Arial" w:hAnsi="Arial" w:cs="Arial"/>
          <w:sz w:val="20"/>
          <w:shd w:val="clear" w:color="auto" w:fill="FFFF00"/>
        </w:rPr>
        <w:t xml:space="preserve"> junho de 2012</w:t>
      </w:r>
      <w:r>
        <w:rPr>
          <w:rFonts w:ascii="Arial" w:eastAsia="Arial" w:hAnsi="Arial" w:cs="Arial"/>
          <w:sz w:val="20"/>
        </w:rPr>
        <w:t xml:space="preserve">, </w:t>
      </w:r>
      <w:r>
        <w:rPr>
          <w:rFonts w:ascii="Arial" w:eastAsia="Arial" w:hAnsi="Arial" w:cs="Arial"/>
          <w:i/>
          <w:color w:val="FF0000"/>
          <w:sz w:val="20"/>
          <w:shd w:val="clear" w:color="auto" w:fill="00FFFF"/>
        </w:rPr>
        <w:t>do Decreto nº 7.892, de 23 de janeiro</w:t>
      </w:r>
      <w:r>
        <w:rPr>
          <w:rFonts w:ascii="Arial" w:eastAsia="Arial" w:hAnsi="Arial" w:cs="Arial"/>
          <w:i/>
          <w:color w:val="FF0000"/>
          <w:sz w:val="20"/>
        </w:rPr>
        <w:t xml:space="preserve"> </w:t>
      </w:r>
      <w:r>
        <w:rPr>
          <w:rFonts w:ascii="Arial" w:eastAsia="Arial" w:hAnsi="Arial" w:cs="Arial"/>
          <w:i/>
          <w:color w:val="FF0000"/>
          <w:sz w:val="20"/>
          <w:shd w:val="clear" w:color="auto" w:fill="00FFFF"/>
        </w:rPr>
        <w:t>de 2013</w:t>
      </w:r>
      <w:r>
        <w:rPr>
          <w:rFonts w:ascii="Arial" w:eastAsia="Arial" w:hAnsi="Arial" w:cs="Arial"/>
          <w:i/>
          <w:color w:val="FF0000"/>
          <w:sz w:val="20"/>
        </w:rPr>
        <w:t xml:space="preserve">, </w:t>
      </w:r>
      <w:r>
        <w:rPr>
          <w:rFonts w:ascii="Arial" w:eastAsia="Arial" w:hAnsi="Arial" w:cs="Arial"/>
          <w:sz w:val="20"/>
          <w:shd w:val="clear" w:color="auto" w:fill="FFFF00"/>
        </w:rPr>
        <w:t>das Instruções Normativas SEGES/MP nº 05, de 26 de maio de 2017 e IN nº 03, de 26 de abril</w:t>
      </w:r>
      <w:r>
        <w:rPr>
          <w:rFonts w:ascii="Arial" w:eastAsia="Arial" w:hAnsi="Arial" w:cs="Arial"/>
          <w:sz w:val="20"/>
        </w:rPr>
        <w:t xml:space="preserve"> </w:t>
      </w:r>
      <w:r>
        <w:rPr>
          <w:rFonts w:ascii="Arial" w:eastAsia="Arial" w:hAnsi="Arial" w:cs="Arial"/>
          <w:sz w:val="20"/>
          <w:shd w:val="clear" w:color="auto" w:fill="FFFF00"/>
        </w:rPr>
        <w:t>de 2018 e da Instrução Normativa SLTI/MP nº 01, de 19 de janeiro de 2010,</w:t>
      </w:r>
      <w:r>
        <w:rPr>
          <w:rFonts w:ascii="Arial" w:eastAsia="Arial" w:hAnsi="Arial" w:cs="Arial"/>
          <w:sz w:val="20"/>
        </w:rPr>
        <w:t xml:space="preserve"> </w:t>
      </w:r>
      <w:r>
        <w:rPr>
          <w:rFonts w:ascii="Arial" w:eastAsia="Arial" w:hAnsi="Arial" w:cs="Arial"/>
          <w:sz w:val="20"/>
          <w:shd w:val="clear" w:color="auto" w:fill="FFFF00"/>
        </w:rPr>
        <w:t>Instrução Normativa vigente</w:t>
      </w:r>
      <w:r>
        <w:rPr>
          <w:rFonts w:ascii="Arial" w:eastAsia="Arial" w:hAnsi="Arial" w:cs="Arial"/>
          <w:sz w:val="20"/>
        </w:rPr>
        <w:t xml:space="preserve"> </w:t>
      </w:r>
      <w:r>
        <w:rPr>
          <w:rFonts w:ascii="Arial" w:eastAsia="Arial" w:hAnsi="Arial" w:cs="Arial"/>
          <w:sz w:val="20"/>
          <w:shd w:val="clear" w:color="auto" w:fill="FFFF00"/>
        </w:rPr>
        <w:t>no DNIT sobre Processo Administrativo de Apuração de Responsabilidade - PAAR,</w:t>
      </w:r>
      <w:r>
        <w:rPr>
          <w:rFonts w:ascii="Arial" w:eastAsia="Arial" w:hAnsi="Arial" w:cs="Arial"/>
          <w:sz w:val="20"/>
        </w:rPr>
        <w:t xml:space="preserve"> </w:t>
      </w:r>
      <w:r>
        <w:rPr>
          <w:rFonts w:ascii="Arial" w:eastAsia="Arial" w:hAnsi="Arial" w:cs="Arial"/>
          <w:sz w:val="20"/>
          <w:shd w:val="clear" w:color="auto" w:fill="FFFF00"/>
        </w:rPr>
        <w:t>da Lei</w:t>
      </w:r>
      <w:r>
        <w:rPr>
          <w:rFonts w:ascii="Arial" w:eastAsia="Arial" w:hAnsi="Arial" w:cs="Arial"/>
          <w:sz w:val="20"/>
        </w:rPr>
        <w:t xml:space="preserve"> </w:t>
      </w:r>
      <w:r>
        <w:rPr>
          <w:rFonts w:ascii="Arial" w:eastAsia="Arial" w:hAnsi="Arial" w:cs="Arial"/>
          <w:sz w:val="20"/>
          <w:shd w:val="clear" w:color="auto" w:fill="FFFF00"/>
        </w:rPr>
        <w:t>Complementar n° 123, de 14 de dezembro de 2006,</w:t>
      </w:r>
      <w:r>
        <w:rPr>
          <w:rFonts w:ascii="Arial" w:eastAsia="Arial" w:hAnsi="Arial" w:cs="Arial"/>
          <w:sz w:val="20"/>
        </w:rPr>
        <w:t xml:space="preserve"> </w:t>
      </w:r>
      <w:r>
        <w:rPr>
          <w:rFonts w:ascii="Arial" w:eastAsia="Arial" w:hAnsi="Arial" w:cs="Arial"/>
          <w:i/>
          <w:color w:val="FF0000"/>
          <w:sz w:val="20"/>
          <w:shd w:val="clear" w:color="auto" w:fill="00FF00"/>
        </w:rPr>
        <w:t>da Lei nº 11.488, de 15 de junho de 2007</w:t>
      </w:r>
      <w:r>
        <w:rPr>
          <w:rFonts w:ascii="Arial" w:eastAsia="Arial" w:hAnsi="Arial" w:cs="Arial"/>
          <w:sz w:val="20"/>
        </w:rPr>
        <w:t xml:space="preserve">, </w:t>
      </w:r>
      <w:r>
        <w:rPr>
          <w:rFonts w:ascii="Arial" w:eastAsia="Arial" w:hAnsi="Arial" w:cs="Arial"/>
          <w:sz w:val="20"/>
          <w:shd w:val="clear" w:color="auto" w:fill="FFFF00"/>
        </w:rPr>
        <w:t>do</w:t>
      </w:r>
      <w:r>
        <w:rPr>
          <w:rFonts w:ascii="Arial" w:eastAsia="Arial" w:hAnsi="Arial" w:cs="Arial"/>
          <w:sz w:val="20"/>
        </w:rPr>
        <w:t xml:space="preserve"> </w:t>
      </w:r>
      <w:r>
        <w:rPr>
          <w:rFonts w:ascii="Arial" w:eastAsia="Arial" w:hAnsi="Arial" w:cs="Arial"/>
          <w:sz w:val="20"/>
          <w:shd w:val="clear" w:color="auto" w:fill="FFFF00"/>
        </w:rPr>
        <w:t xml:space="preserve">Decreto n° 8.538, de 06 de outubro de 2015, aplicando-se, subsidiariamente, a </w:t>
      </w:r>
      <w:r>
        <w:rPr>
          <w:rFonts w:ascii="Arial" w:eastAsia="Arial" w:hAnsi="Arial" w:cs="Arial"/>
          <w:sz w:val="20"/>
          <w:shd w:val="clear" w:color="auto" w:fill="FFFF00"/>
        </w:rPr>
        <w:t>Lei nº 8.666, de 21 de</w:t>
      </w:r>
      <w:r>
        <w:rPr>
          <w:rFonts w:ascii="Arial" w:eastAsia="Arial" w:hAnsi="Arial" w:cs="Arial"/>
          <w:sz w:val="20"/>
        </w:rPr>
        <w:t xml:space="preserve"> </w:t>
      </w:r>
      <w:r>
        <w:rPr>
          <w:rFonts w:ascii="Arial" w:eastAsia="Arial" w:hAnsi="Arial" w:cs="Arial"/>
          <w:sz w:val="20"/>
          <w:shd w:val="clear" w:color="auto" w:fill="FFFF00"/>
        </w:rPr>
        <w:t>junho de 1993 e as exigências estabelecidas neste Edital.</w:t>
      </w:r>
      <w:r>
        <w:rPr>
          <w:rFonts w:ascii="Arial" w:eastAsia="Arial" w:hAnsi="Arial" w:cs="Arial"/>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59" w:line="249" w:lineRule="auto"/>
        <w:ind w:left="-5" w:right="57" w:hanging="10"/>
        <w:jc w:val="both"/>
      </w:pPr>
      <w:r>
        <w:rPr>
          <w:rFonts w:ascii="Arial" w:eastAsia="Arial" w:hAnsi="Arial" w:cs="Arial"/>
          <w:b/>
          <w:sz w:val="20"/>
        </w:rPr>
        <w:t xml:space="preserve">Nota explicativa: </w:t>
      </w:r>
      <w:r>
        <w:rPr>
          <w:rFonts w:ascii="Arial" w:eastAsia="Arial" w:hAnsi="Arial" w:cs="Arial"/>
          <w:i/>
          <w:sz w:val="20"/>
        </w:rPr>
        <w:t>Ajustar o Preâmbulo caso se trate de Registro de Preços ou não</w:t>
      </w:r>
      <w:r>
        <w:rPr>
          <w:rFonts w:ascii="Arial" w:eastAsia="Arial" w:hAnsi="Arial" w:cs="Arial"/>
          <w:sz w:val="20"/>
        </w:rPr>
        <w:t>.</w:t>
      </w:r>
      <w:r>
        <w:rPr>
          <w:rFonts w:ascii="Arial" w:eastAsia="Arial" w:hAnsi="Arial" w:cs="Arial"/>
          <w:i/>
          <w:sz w:val="20"/>
        </w:rPr>
        <w:t xml:space="preserve"> </w:t>
      </w:r>
    </w:p>
    <w:p w:rsidR="006C145C" w:rsidRDefault="00C62E5A">
      <w:pPr>
        <w:spacing w:after="17"/>
      </w:pPr>
      <w:r>
        <w:rPr>
          <w:rFonts w:ascii="Arial" w:eastAsia="Arial" w:hAnsi="Arial" w:cs="Arial"/>
          <w:sz w:val="20"/>
        </w:rPr>
        <w:t xml:space="preserve"> </w:t>
      </w:r>
    </w:p>
    <w:p w:rsidR="006C145C" w:rsidRDefault="00C62E5A">
      <w:pPr>
        <w:spacing w:after="7" w:line="270" w:lineRule="auto"/>
        <w:ind w:left="5" w:right="54" w:hanging="8"/>
        <w:jc w:val="both"/>
      </w:pPr>
      <w:r>
        <w:rPr>
          <w:rFonts w:ascii="Arial" w:eastAsia="Arial" w:hAnsi="Arial" w:cs="Arial"/>
          <w:sz w:val="20"/>
        </w:rPr>
        <w:t xml:space="preserve">Data da sessão: </w:t>
      </w:r>
    </w:p>
    <w:p w:rsidR="006C145C" w:rsidRDefault="00C62E5A">
      <w:pPr>
        <w:spacing w:after="8" w:line="270" w:lineRule="auto"/>
        <w:ind w:left="5" w:right="54" w:hanging="8"/>
        <w:jc w:val="both"/>
      </w:pPr>
      <w:r>
        <w:rPr>
          <w:rFonts w:ascii="Arial" w:eastAsia="Arial" w:hAnsi="Arial" w:cs="Arial"/>
          <w:sz w:val="20"/>
        </w:rPr>
        <w:t xml:space="preserve">Horário:  </w:t>
      </w:r>
    </w:p>
    <w:p w:rsidR="006C145C" w:rsidRDefault="00C62E5A">
      <w:pPr>
        <w:spacing w:after="129" w:line="270" w:lineRule="auto"/>
        <w:ind w:left="5" w:right="54" w:hanging="8"/>
        <w:jc w:val="both"/>
      </w:pPr>
      <w:r>
        <w:rPr>
          <w:rFonts w:ascii="Arial" w:eastAsia="Arial" w:hAnsi="Arial" w:cs="Arial"/>
          <w:sz w:val="20"/>
        </w:rPr>
        <w:t>Local: Portal de Compras do Governo Federal –</w:t>
      </w:r>
      <w:hyperlink r:id="rId10">
        <w:r>
          <w:rPr>
            <w:rFonts w:ascii="Arial" w:eastAsia="Arial" w:hAnsi="Arial" w:cs="Arial"/>
            <w:sz w:val="20"/>
          </w:rPr>
          <w:t xml:space="preserve"> </w:t>
        </w:r>
      </w:hyperlink>
      <w:hyperlink r:id="rId11">
        <w:r>
          <w:rPr>
            <w:rFonts w:ascii="Arial" w:eastAsia="Arial" w:hAnsi="Arial" w:cs="Arial"/>
            <w:color w:val="000080"/>
            <w:sz w:val="20"/>
            <w:u w:val="single" w:color="000080"/>
          </w:rPr>
          <w:t>www.comprasgovernamentais.gov.br</w:t>
        </w:r>
      </w:hyperlink>
      <w:hyperlink r:id="rId12">
        <w:r>
          <w:rPr>
            <w:rFonts w:ascii="Arial" w:eastAsia="Arial" w:hAnsi="Arial" w:cs="Arial"/>
            <w:color w:val="000080"/>
            <w:sz w:val="20"/>
          </w:rPr>
          <w:t xml:space="preserve"> </w:t>
        </w:r>
      </w:hyperlink>
    </w:p>
    <w:p w:rsidR="006C145C" w:rsidRDefault="00C62E5A">
      <w:pPr>
        <w:spacing w:after="139"/>
      </w:pPr>
      <w:r>
        <w:rPr>
          <w:rFonts w:ascii="Arial" w:eastAsia="Arial" w:hAnsi="Arial" w:cs="Arial"/>
          <w:color w:val="000080"/>
          <w:sz w:val="20"/>
        </w:rPr>
        <w:t xml:space="preserve"> </w:t>
      </w:r>
    </w:p>
    <w:p w:rsidR="006C145C" w:rsidRDefault="00C62E5A">
      <w:pPr>
        <w:spacing w:after="155" w:line="254" w:lineRule="auto"/>
        <w:ind w:left="311" w:right="363" w:hanging="10"/>
        <w:jc w:val="center"/>
      </w:pPr>
      <w:r>
        <w:rPr>
          <w:rFonts w:ascii="Arial" w:eastAsia="Arial" w:hAnsi="Arial" w:cs="Arial"/>
          <w:sz w:val="20"/>
        </w:rPr>
        <w:t xml:space="preserve">Integram </w:t>
      </w:r>
      <w:r>
        <w:rPr>
          <w:rFonts w:ascii="Arial" w:eastAsia="Arial" w:hAnsi="Arial" w:cs="Arial"/>
          <w:sz w:val="20"/>
        </w:rPr>
        <w:t xml:space="preserve">este Edital, para todos os fins e efeitos, os seguintes anexos: </w:t>
      </w:r>
    </w:p>
    <w:p w:rsidR="006C145C" w:rsidRDefault="00C62E5A">
      <w:pPr>
        <w:numPr>
          <w:ilvl w:val="0"/>
          <w:numId w:val="4"/>
        </w:numPr>
        <w:spacing w:after="57" w:line="269" w:lineRule="auto"/>
        <w:ind w:right="51" w:hanging="360"/>
        <w:jc w:val="both"/>
      </w:pPr>
      <w:r>
        <w:rPr>
          <w:rFonts w:ascii="Arial" w:eastAsia="Arial" w:hAnsi="Arial" w:cs="Arial"/>
          <w:sz w:val="20"/>
          <w:shd w:val="clear" w:color="auto" w:fill="FFFF00"/>
        </w:rPr>
        <w:t>ANEXO I – TERMO DE REFERÊNCIA</w:t>
      </w:r>
      <w:r>
        <w:rPr>
          <w:rFonts w:ascii="Arial" w:eastAsia="Arial" w:hAnsi="Arial" w:cs="Arial"/>
          <w:sz w:val="20"/>
        </w:rPr>
        <w:t xml:space="preserve"> </w:t>
      </w:r>
    </w:p>
    <w:p w:rsidR="006C145C" w:rsidRDefault="00C62E5A">
      <w:pPr>
        <w:numPr>
          <w:ilvl w:val="0"/>
          <w:numId w:val="4"/>
        </w:numPr>
        <w:spacing w:after="57" w:line="269" w:lineRule="auto"/>
        <w:ind w:right="51" w:hanging="360"/>
        <w:jc w:val="both"/>
      </w:pPr>
      <w:r>
        <w:rPr>
          <w:rFonts w:ascii="Arial" w:eastAsia="Arial" w:hAnsi="Arial" w:cs="Arial"/>
          <w:sz w:val="20"/>
          <w:shd w:val="clear" w:color="auto" w:fill="FFFF00"/>
        </w:rPr>
        <w:t>ANEXO II – MINUTA ATA DE REGISTRO DE PREÇOS</w:t>
      </w:r>
      <w:r>
        <w:rPr>
          <w:rFonts w:ascii="Arial" w:eastAsia="Arial" w:hAnsi="Arial" w:cs="Arial"/>
          <w:sz w:val="20"/>
        </w:rPr>
        <w:t xml:space="preserve"> </w:t>
      </w:r>
    </w:p>
    <w:p w:rsidR="006C145C" w:rsidRDefault="00C62E5A">
      <w:pPr>
        <w:numPr>
          <w:ilvl w:val="0"/>
          <w:numId w:val="4"/>
        </w:numPr>
        <w:spacing w:after="56" w:line="269" w:lineRule="auto"/>
        <w:ind w:right="51" w:hanging="360"/>
        <w:jc w:val="both"/>
      </w:pPr>
      <w:r>
        <w:rPr>
          <w:rFonts w:ascii="Arial" w:eastAsia="Arial" w:hAnsi="Arial" w:cs="Arial"/>
          <w:sz w:val="20"/>
          <w:shd w:val="clear" w:color="auto" w:fill="FFFF00"/>
        </w:rPr>
        <w:t>ANEXO III – MINUTA TERMO DE CONTRATO</w:t>
      </w:r>
      <w:r>
        <w:rPr>
          <w:rFonts w:ascii="Arial" w:eastAsia="Arial" w:hAnsi="Arial" w:cs="Arial"/>
          <w:sz w:val="20"/>
        </w:rPr>
        <w:t xml:space="preserve"> </w:t>
      </w:r>
    </w:p>
    <w:p w:rsidR="006C145C" w:rsidRDefault="00C62E5A">
      <w:pPr>
        <w:numPr>
          <w:ilvl w:val="0"/>
          <w:numId w:val="4"/>
        </w:numPr>
        <w:spacing w:after="91" w:line="270" w:lineRule="auto"/>
        <w:ind w:right="51" w:hanging="360"/>
        <w:jc w:val="both"/>
      </w:pPr>
      <w:r>
        <w:rPr>
          <w:noProof/>
        </w:rPr>
        <mc:AlternateContent>
          <mc:Choice Requires="wpg">
            <w:drawing>
              <wp:anchor distT="0" distB="0" distL="114300" distR="114300" simplePos="0" relativeHeight="251658240" behindDoc="1" locked="0" layoutInCell="1" allowOverlap="1">
                <wp:simplePos x="0" y="0"/>
                <wp:positionH relativeFrom="column">
                  <wp:posOffset>1129538</wp:posOffset>
                </wp:positionH>
                <wp:positionV relativeFrom="paragraph">
                  <wp:posOffset>-12366</wp:posOffset>
                </wp:positionV>
                <wp:extent cx="4554601" cy="2411349"/>
                <wp:effectExtent l="0" t="0" r="0" b="0"/>
                <wp:wrapNone/>
                <wp:docPr id="239362" name="Group 239362"/>
                <wp:cNvGraphicFramePr/>
                <a:graphic xmlns:a="http://schemas.openxmlformats.org/drawingml/2006/main">
                  <a:graphicData uri="http://schemas.microsoft.com/office/word/2010/wordprocessingGroup">
                    <wpg:wgp>
                      <wpg:cNvGrpSpPr/>
                      <wpg:grpSpPr>
                        <a:xfrm>
                          <a:off x="0" y="0"/>
                          <a:ext cx="4554601" cy="2411349"/>
                          <a:chOff x="0" y="0"/>
                          <a:chExt cx="4554601" cy="2411349"/>
                        </a:xfrm>
                      </wpg:grpSpPr>
                      <wps:wsp>
                        <wps:cNvPr id="310949" name="Shape 310949"/>
                        <wps:cNvSpPr/>
                        <wps:spPr>
                          <a:xfrm>
                            <a:off x="0" y="0"/>
                            <a:ext cx="4554601" cy="153924"/>
                          </a:xfrm>
                          <a:custGeom>
                            <a:avLst/>
                            <a:gdLst/>
                            <a:ahLst/>
                            <a:cxnLst/>
                            <a:rect l="0" t="0" r="0" b="0"/>
                            <a:pathLst>
                              <a:path w="4554601" h="153924">
                                <a:moveTo>
                                  <a:pt x="0" y="0"/>
                                </a:moveTo>
                                <a:lnTo>
                                  <a:pt x="4554601" y="0"/>
                                </a:lnTo>
                                <a:lnTo>
                                  <a:pt x="4554601" y="153924"/>
                                </a:lnTo>
                                <a:lnTo>
                                  <a:pt x="0" y="15392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0950" name="Shape 310950"/>
                        <wps:cNvSpPr/>
                        <wps:spPr>
                          <a:xfrm>
                            <a:off x="228600" y="153924"/>
                            <a:ext cx="1257605" cy="146304"/>
                          </a:xfrm>
                          <a:custGeom>
                            <a:avLst/>
                            <a:gdLst/>
                            <a:ahLst/>
                            <a:cxnLst/>
                            <a:rect l="0" t="0" r="0" b="0"/>
                            <a:pathLst>
                              <a:path w="1257605" h="146304">
                                <a:moveTo>
                                  <a:pt x="0" y="0"/>
                                </a:moveTo>
                                <a:lnTo>
                                  <a:pt x="1257605" y="0"/>
                                </a:lnTo>
                                <a:lnTo>
                                  <a:pt x="1257605" y="146304"/>
                                </a:lnTo>
                                <a:lnTo>
                                  <a:pt x="0" y="146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0951" name="Shape 310951"/>
                        <wps:cNvSpPr/>
                        <wps:spPr>
                          <a:xfrm>
                            <a:off x="0" y="582168"/>
                            <a:ext cx="4202557" cy="155448"/>
                          </a:xfrm>
                          <a:custGeom>
                            <a:avLst/>
                            <a:gdLst/>
                            <a:ahLst/>
                            <a:cxnLst/>
                            <a:rect l="0" t="0" r="0" b="0"/>
                            <a:pathLst>
                              <a:path w="4202557" h="155448">
                                <a:moveTo>
                                  <a:pt x="0" y="0"/>
                                </a:moveTo>
                                <a:lnTo>
                                  <a:pt x="4202557" y="0"/>
                                </a:lnTo>
                                <a:lnTo>
                                  <a:pt x="4202557" y="155448"/>
                                </a:lnTo>
                                <a:lnTo>
                                  <a:pt x="0" y="15544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0952" name="Shape 310952"/>
                        <wps:cNvSpPr/>
                        <wps:spPr>
                          <a:xfrm>
                            <a:off x="228600" y="737616"/>
                            <a:ext cx="1024433" cy="144780"/>
                          </a:xfrm>
                          <a:custGeom>
                            <a:avLst/>
                            <a:gdLst/>
                            <a:ahLst/>
                            <a:cxnLst/>
                            <a:rect l="0" t="0" r="0" b="0"/>
                            <a:pathLst>
                              <a:path w="1024433" h="144780">
                                <a:moveTo>
                                  <a:pt x="0" y="0"/>
                                </a:moveTo>
                                <a:lnTo>
                                  <a:pt x="1024433" y="0"/>
                                </a:lnTo>
                                <a:lnTo>
                                  <a:pt x="1024433" y="144780"/>
                                </a:lnTo>
                                <a:lnTo>
                                  <a:pt x="0" y="14478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0953" name="Shape 310953"/>
                        <wps:cNvSpPr/>
                        <wps:spPr>
                          <a:xfrm>
                            <a:off x="0" y="1164336"/>
                            <a:ext cx="4236085" cy="155448"/>
                          </a:xfrm>
                          <a:custGeom>
                            <a:avLst/>
                            <a:gdLst/>
                            <a:ahLst/>
                            <a:cxnLst/>
                            <a:rect l="0" t="0" r="0" b="0"/>
                            <a:pathLst>
                              <a:path w="4236085" h="155448">
                                <a:moveTo>
                                  <a:pt x="0" y="0"/>
                                </a:moveTo>
                                <a:lnTo>
                                  <a:pt x="4236085" y="0"/>
                                </a:lnTo>
                                <a:lnTo>
                                  <a:pt x="4236085" y="155448"/>
                                </a:lnTo>
                                <a:lnTo>
                                  <a:pt x="0" y="15544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0954" name="Shape 310954"/>
                        <wps:cNvSpPr/>
                        <wps:spPr>
                          <a:xfrm>
                            <a:off x="228600" y="1319784"/>
                            <a:ext cx="593141" cy="144780"/>
                          </a:xfrm>
                          <a:custGeom>
                            <a:avLst/>
                            <a:gdLst/>
                            <a:ahLst/>
                            <a:cxnLst/>
                            <a:rect l="0" t="0" r="0" b="0"/>
                            <a:pathLst>
                              <a:path w="593141" h="144780">
                                <a:moveTo>
                                  <a:pt x="0" y="0"/>
                                </a:moveTo>
                                <a:lnTo>
                                  <a:pt x="593141" y="0"/>
                                </a:lnTo>
                                <a:lnTo>
                                  <a:pt x="593141" y="144780"/>
                                </a:lnTo>
                                <a:lnTo>
                                  <a:pt x="0" y="14478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0955" name="Shape 310955"/>
                        <wps:cNvSpPr/>
                        <wps:spPr>
                          <a:xfrm>
                            <a:off x="0" y="1528648"/>
                            <a:ext cx="4350385" cy="154229"/>
                          </a:xfrm>
                          <a:custGeom>
                            <a:avLst/>
                            <a:gdLst/>
                            <a:ahLst/>
                            <a:cxnLst/>
                            <a:rect l="0" t="0" r="0" b="0"/>
                            <a:pathLst>
                              <a:path w="4350385" h="154229">
                                <a:moveTo>
                                  <a:pt x="0" y="0"/>
                                </a:moveTo>
                                <a:lnTo>
                                  <a:pt x="4350385" y="0"/>
                                </a:lnTo>
                                <a:lnTo>
                                  <a:pt x="4350385" y="154229"/>
                                </a:lnTo>
                                <a:lnTo>
                                  <a:pt x="0" y="154229"/>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0956" name="Shape 310956"/>
                        <wps:cNvSpPr/>
                        <wps:spPr>
                          <a:xfrm>
                            <a:off x="228600" y="1682878"/>
                            <a:ext cx="1955927" cy="146303"/>
                          </a:xfrm>
                          <a:custGeom>
                            <a:avLst/>
                            <a:gdLst/>
                            <a:ahLst/>
                            <a:cxnLst/>
                            <a:rect l="0" t="0" r="0" b="0"/>
                            <a:pathLst>
                              <a:path w="1955927" h="146303">
                                <a:moveTo>
                                  <a:pt x="0" y="0"/>
                                </a:moveTo>
                                <a:lnTo>
                                  <a:pt x="1955927" y="0"/>
                                </a:lnTo>
                                <a:lnTo>
                                  <a:pt x="1955927" y="146303"/>
                                </a:lnTo>
                                <a:lnTo>
                                  <a:pt x="0" y="14630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0957" name="Shape 310957"/>
                        <wps:cNvSpPr/>
                        <wps:spPr>
                          <a:xfrm>
                            <a:off x="0" y="2111121"/>
                            <a:ext cx="4173601" cy="155448"/>
                          </a:xfrm>
                          <a:custGeom>
                            <a:avLst/>
                            <a:gdLst/>
                            <a:ahLst/>
                            <a:cxnLst/>
                            <a:rect l="0" t="0" r="0" b="0"/>
                            <a:pathLst>
                              <a:path w="4173601" h="155448">
                                <a:moveTo>
                                  <a:pt x="0" y="0"/>
                                </a:moveTo>
                                <a:lnTo>
                                  <a:pt x="4173601" y="0"/>
                                </a:lnTo>
                                <a:lnTo>
                                  <a:pt x="4173601" y="155448"/>
                                </a:lnTo>
                                <a:lnTo>
                                  <a:pt x="0" y="15544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0958" name="Shape 310958"/>
                        <wps:cNvSpPr/>
                        <wps:spPr>
                          <a:xfrm>
                            <a:off x="228600" y="2266569"/>
                            <a:ext cx="1842770" cy="144780"/>
                          </a:xfrm>
                          <a:custGeom>
                            <a:avLst/>
                            <a:gdLst/>
                            <a:ahLst/>
                            <a:cxnLst/>
                            <a:rect l="0" t="0" r="0" b="0"/>
                            <a:pathLst>
                              <a:path w="1842770" h="144780">
                                <a:moveTo>
                                  <a:pt x="0" y="0"/>
                                </a:moveTo>
                                <a:lnTo>
                                  <a:pt x="1842770" y="0"/>
                                </a:lnTo>
                                <a:lnTo>
                                  <a:pt x="1842770" y="144780"/>
                                </a:lnTo>
                                <a:lnTo>
                                  <a:pt x="0" y="14478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39362" style="width:358.63pt;height:189.87pt;position:absolute;z-index:-2147483406;mso-position-horizontal-relative:text;mso-position-horizontal:absolute;margin-left:88.94pt;mso-position-vertical-relative:text;margin-top:-0.973816pt;" coordsize="45546,24113">
                <v:shape id="Shape 310959" style="position:absolute;width:45546;height:1539;left:0;top:0;" coordsize="4554601,153924" path="m0,0l4554601,0l4554601,153924l0,153924l0,0">
                  <v:stroke weight="0pt" endcap="flat" joinstyle="miter" miterlimit="10" on="false" color="#000000" opacity="0"/>
                  <v:fill on="true" color="#ffff00"/>
                </v:shape>
                <v:shape id="Shape 310960" style="position:absolute;width:12576;height:1463;left:2286;top:1539;" coordsize="1257605,146304" path="m0,0l1257605,0l1257605,146304l0,146304l0,0">
                  <v:stroke weight="0pt" endcap="flat" joinstyle="miter" miterlimit="10" on="false" color="#000000" opacity="0"/>
                  <v:fill on="true" color="#ffff00"/>
                </v:shape>
                <v:shape id="Shape 310961" style="position:absolute;width:42025;height:1554;left:0;top:5821;" coordsize="4202557,155448" path="m0,0l4202557,0l4202557,155448l0,155448l0,0">
                  <v:stroke weight="0pt" endcap="flat" joinstyle="miter" miterlimit="10" on="false" color="#000000" opacity="0"/>
                  <v:fill on="true" color="#ffff00"/>
                </v:shape>
                <v:shape id="Shape 310962" style="position:absolute;width:10244;height:1447;left:2286;top:7376;" coordsize="1024433,144780" path="m0,0l1024433,0l1024433,144780l0,144780l0,0">
                  <v:stroke weight="0pt" endcap="flat" joinstyle="miter" miterlimit="10" on="false" color="#000000" opacity="0"/>
                  <v:fill on="true" color="#ffff00"/>
                </v:shape>
                <v:shape id="Shape 310963" style="position:absolute;width:42360;height:1554;left:0;top:11643;" coordsize="4236085,155448" path="m0,0l4236085,0l4236085,155448l0,155448l0,0">
                  <v:stroke weight="0pt" endcap="flat" joinstyle="miter" miterlimit="10" on="false" color="#000000" opacity="0"/>
                  <v:fill on="true" color="#ffff00"/>
                </v:shape>
                <v:shape id="Shape 310964" style="position:absolute;width:5931;height:1447;left:2286;top:13197;" coordsize="593141,144780" path="m0,0l593141,0l593141,144780l0,144780l0,0">
                  <v:stroke weight="0pt" endcap="flat" joinstyle="miter" miterlimit="10" on="false" color="#000000" opacity="0"/>
                  <v:fill on="true" color="#ffff00"/>
                </v:shape>
                <v:shape id="Shape 310965" style="position:absolute;width:43503;height:1542;left:0;top:15286;" coordsize="4350385,154229" path="m0,0l4350385,0l4350385,154229l0,154229l0,0">
                  <v:stroke weight="0pt" endcap="flat" joinstyle="miter" miterlimit="10" on="false" color="#000000" opacity="0"/>
                  <v:fill on="true" color="#ffff00"/>
                </v:shape>
                <v:shape id="Shape 310966" style="position:absolute;width:19559;height:1463;left:2286;top:16828;" coordsize="1955927,146303" path="m0,0l1955927,0l1955927,146303l0,146303l0,0">
                  <v:stroke weight="0pt" endcap="flat" joinstyle="miter" miterlimit="10" on="false" color="#000000" opacity="0"/>
                  <v:fill on="true" color="#ffff00"/>
                </v:shape>
                <v:shape id="Shape 310967" style="position:absolute;width:41736;height:1554;left:0;top:21111;" coordsize="4173601,155448" path="m0,0l4173601,0l4173601,155448l0,155448l0,0">
                  <v:stroke weight="0pt" endcap="flat" joinstyle="miter" miterlimit="10" on="false" color="#000000" opacity="0"/>
                  <v:fill on="true" color="#ffff00"/>
                </v:shape>
                <v:shape id="Shape 310968" style="position:absolute;width:18427;height:1447;left:2286;top:22665;" coordsize="1842770,144780" path="m0,0l1842770,0l1842770,144780l0,144780l0,0">
                  <v:stroke weight="0pt" endcap="flat" joinstyle="miter" miterlimit="10" on="false" color="#000000" opacity="0"/>
                  <v:fill on="true" color="#ffff00"/>
                </v:shape>
              </v:group>
            </w:pict>
          </mc:Fallback>
        </mc:AlternateContent>
      </w:r>
      <w:r>
        <w:rPr>
          <w:rFonts w:ascii="Arial" w:eastAsia="Arial" w:hAnsi="Arial" w:cs="Arial"/>
          <w:sz w:val="20"/>
        </w:rPr>
        <w:t xml:space="preserve">ANEXO IV - Termo de Conciliação Judicial firmado entre o Ministério Público </w:t>
      </w:r>
      <w:r>
        <w:rPr>
          <w:rFonts w:ascii="Arial" w:eastAsia="Arial" w:hAnsi="Arial" w:cs="Arial"/>
          <w:sz w:val="20"/>
        </w:rPr>
        <w:t xml:space="preserve">do Trabalho e a União </w:t>
      </w:r>
    </w:p>
    <w:p w:rsidR="006C145C" w:rsidRDefault="00C62E5A">
      <w:pPr>
        <w:numPr>
          <w:ilvl w:val="0"/>
          <w:numId w:val="4"/>
        </w:numPr>
        <w:spacing w:after="56" w:line="269" w:lineRule="auto"/>
        <w:ind w:right="51" w:hanging="360"/>
        <w:jc w:val="both"/>
      </w:pPr>
      <w:r>
        <w:rPr>
          <w:rFonts w:ascii="Arial" w:eastAsia="Arial" w:hAnsi="Arial" w:cs="Arial"/>
          <w:sz w:val="20"/>
          <w:shd w:val="clear" w:color="auto" w:fill="FFFF00"/>
        </w:rPr>
        <w:t>ANEXO V - PLANILHA DE CUSTOS E FORMAÇÃO DE PREÇOS</w:t>
      </w:r>
      <w:r>
        <w:rPr>
          <w:rFonts w:ascii="Arial" w:eastAsia="Arial" w:hAnsi="Arial" w:cs="Arial"/>
          <w:sz w:val="20"/>
        </w:rPr>
        <w:t xml:space="preserve"> </w:t>
      </w:r>
    </w:p>
    <w:p w:rsidR="006C145C" w:rsidRDefault="00C62E5A">
      <w:pPr>
        <w:numPr>
          <w:ilvl w:val="0"/>
          <w:numId w:val="4"/>
        </w:numPr>
        <w:spacing w:after="89" w:line="270" w:lineRule="auto"/>
        <w:ind w:right="51" w:hanging="360"/>
        <w:jc w:val="both"/>
      </w:pPr>
      <w:r>
        <w:rPr>
          <w:rFonts w:ascii="Arial" w:eastAsia="Arial" w:hAnsi="Arial" w:cs="Arial"/>
          <w:sz w:val="20"/>
        </w:rPr>
        <w:t xml:space="preserve">ANEXO VI - Modelo de Autorização para a Utilização da Garantia e de Pagamento Direto </w:t>
      </w:r>
    </w:p>
    <w:p w:rsidR="006C145C" w:rsidRDefault="00C62E5A">
      <w:pPr>
        <w:numPr>
          <w:ilvl w:val="0"/>
          <w:numId w:val="4"/>
        </w:numPr>
        <w:spacing w:after="56" w:line="269" w:lineRule="auto"/>
        <w:ind w:right="51" w:hanging="360"/>
        <w:jc w:val="both"/>
      </w:pPr>
      <w:r>
        <w:rPr>
          <w:rFonts w:ascii="Arial" w:eastAsia="Arial" w:hAnsi="Arial" w:cs="Arial"/>
          <w:sz w:val="20"/>
          <w:shd w:val="clear" w:color="auto" w:fill="FFFF00"/>
        </w:rPr>
        <w:t>ANEXO VII - MODELO DE TERMO DE VISTORIA</w:t>
      </w:r>
      <w:r>
        <w:rPr>
          <w:rFonts w:ascii="Arial" w:eastAsia="Arial" w:hAnsi="Arial" w:cs="Arial"/>
          <w:sz w:val="20"/>
        </w:rPr>
        <w:t xml:space="preserve"> </w:t>
      </w:r>
    </w:p>
    <w:p w:rsidR="006C145C" w:rsidRDefault="00C62E5A">
      <w:pPr>
        <w:numPr>
          <w:ilvl w:val="0"/>
          <w:numId w:val="4"/>
        </w:numPr>
        <w:spacing w:after="89" w:line="270" w:lineRule="auto"/>
        <w:ind w:right="51" w:hanging="360"/>
        <w:jc w:val="both"/>
      </w:pPr>
      <w:r>
        <w:rPr>
          <w:rFonts w:ascii="Arial" w:eastAsia="Arial" w:hAnsi="Arial" w:cs="Arial"/>
          <w:sz w:val="20"/>
        </w:rPr>
        <w:t xml:space="preserve">ANEXO VIII - Minuta do Termo de Cooperação Técnica com </w:t>
      </w:r>
      <w:r>
        <w:rPr>
          <w:rFonts w:ascii="Arial" w:eastAsia="Arial" w:hAnsi="Arial" w:cs="Arial"/>
          <w:sz w:val="20"/>
        </w:rPr>
        <w:t xml:space="preserve">Instituição Financeira </w:t>
      </w:r>
    </w:p>
    <w:p w:rsidR="006C145C" w:rsidRDefault="00C62E5A">
      <w:pPr>
        <w:numPr>
          <w:ilvl w:val="0"/>
          <w:numId w:val="4"/>
        </w:numPr>
        <w:spacing w:after="91" w:line="270" w:lineRule="auto"/>
        <w:ind w:right="51" w:hanging="360"/>
        <w:jc w:val="both"/>
      </w:pPr>
      <w:r>
        <w:rPr>
          <w:rFonts w:ascii="Arial" w:eastAsia="Arial" w:hAnsi="Arial" w:cs="Arial"/>
          <w:sz w:val="20"/>
        </w:rPr>
        <w:t xml:space="preserve">ANEXO IX - Modelo de declaração de contratos firmados com a iniciativa privada e a Administração Pública;  </w:t>
      </w:r>
    </w:p>
    <w:p w:rsidR="006C145C" w:rsidRDefault="00C62E5A">
      <w:pPr>
        <w:numPr>
          <w:ilvl w:val="0"/>
          <w:numId w:val="4"/>
        </w:numPr>
        <w:spacing w:after="56" w:line="269" w:lineRule="auto"/>
        <w:ind w:right="51" w:hanging="360"/>
        <w:jc w:val="both"/>
      </w:pPr>
      <w:r>
        <w:rPr>
          <w:rFonts w:ascii="Arial" w:eastAsia="Arial" w:hAnsi="Arial" w:cs="Arial"/>
          <w:sz w:val="20"/>
          <w:shd w:val="clear" w:color="auto" w:fill="FFFF00"/>
        </w:rPr>
        <w:t>ANEXO X - Modelo de Instrumento de Medição de Resultado - IMR</w:t>
      </w:r>
      <w:r>
        <w:rPr>
          <w:rFonts w:ascii="Arial" w:eastAsia="Arial" w:hAnsi="Arial" w:cs="Arial"/>
          <w:sz w:val="20"/>
        </w:rPr>
        <w:t xml:space="preserve"> </w:t>
      </w:r>
    </w:p>
    <w:p w:rsidR="006C145C" w:rsidRDefault="00C62E5A">
      <w:pPr>
        <w:numPr>
          <w:ilvl w:val="0"/>
          <w:numId w:val="4"/>
        </w:numPr>
        <w:spacing w:after="76" w:line="270" w:lineRule="auto"/>
        <w:ind w:right="51" w:hanging="360"/>
        <w:jc w:val="both"/>
      </w:pPr>
      <w:r>
        <w:rPr>
          <w:rFonts w:ascii="Arial" w:eastAsia="Arial" w:hAnsi="Arial" w:cs="Arial"/>
          <w:sz w:val="20"/>
        </w:rPr>
        <w:t>ANEXO XI - MODELO DE DECLARAÇÃO DE DISPONIBILIDADE DE INSTALA</w:t>
      </w:r>
      <w:r>
        <w:rPr>
          <w:rFonts w:ascii="Arial" w:eastAsia="Arial" w:hAnsi="Arial" w:cs="Arial"/>
          <w:sz w:val="20"/>
        </w:rPr>
        <w:t xml:space="preserve">ÇÃO DE ESCRITÓRIO </w:t>
      </w:r>
    </w:p>
    <w:p w:rsidR="006C145C" w:rsidRDefault="00C62E5A">
      <w:pPr>
        <w:spacing w:after="0"/>
      </w:pPr>
      <w:r>
        <w:rPr>
          <w:rFonts w:ascii="Arial" w:eastAsia="Arial" w:hAnsi="Arial" w:cs="Arial"/>
          <w:sz w:val="20"/>
        </w:rPr>
        <w:t xml:space="preserve"> </w:t>
      </w:r>
    </w:p>
    <w:p w:rsidR="006C145C" w:rsidRDefault="00C62E5A">
      <w:pPr>
        <w:pStyle w:val="Ttulo3"/>
        <w:spacing w:after="150" w:line="249" w:lineRule="auto"/>
        <w:ind w:left="7" w:right="37"/>
        <w:jc w:val="both"/>
      </w:pPr>
      <w:r>
        <w:lastRenderedPageBreak/>
        <w:t xml:space="preserve">1. DO OBJETO </w:t>
      </w:r>
    </w:p>
    <w:p w:rsidR="006C145C" w:rsidRDefault="00C62E5A">
      <w:pPr>
        <w:spacing w:after="129" w:line="270" w:lineRule="auto"/>
        <w:ind w:left="1140" w:right="54" w:hanging="432"/>
        <w:jc w:val="both"/>
      </w:pPr>
      <w:r>
        <w:rPr>
          <w:rFonts w:ascii="Arial" w:eastAsia="Arial" w:hAnsi="Arial" w:cs="Arial"/>
          <w:sz w:val="20"/>
        </w:rPr>
        <w:t xml:space="preserve">1.1. O objeto da presente licitação é a escolha da proposta mais vantajosa para a contratação de serviços de </w:t>
      </w:r>
      <w:r>
        <w:rPr>
          <w:rFonts w:ascii="Arial" w:eastAsia="Arial" w:hAnsi="Arial" w:cs="Arial"/>
          <w:color w:val="FF0000"/>
          <w:sz w:val="20"/>
        </w:rPr>
        <w:t>...........................................................</w:t>
      </w:r>
      <w:r>
        <w:rPr>
          <w:rFonts w:ascii="Arial" w:eastAsia="Arial" w:hAnsi="Arial" w:cs="Arial"/>
          <w:b/>
          <w:sz w:val="20"/>
        </w:rPr>
        <w:t>,</w:t>
      </w:r>
      <w:r>
        <w:rPr>
          <w:rFonts w:ascii="Arial" w:eastAsia="Arial" w:hAnsi="Arial" w:cs="Arial"/>
          <w:sz w:val="20"/>
        </w:rPr>
        <w:t xml:space="preserve"> </w:t>
      </w:r>
      <w:r>
        <w:rPr>
          <w:rFonts w:ascii="Arial" w:eastAsia="Arial" w:hAnsi="Arial" w:cs="Arial"/>
          <w:sz w:val="20"/>
        </w:rPr>
        <w:t xml:space="preserve">conforme condições, quantidades e exigências estabelecidas neste Edital e seus anexos. </w:t>
      </w:r>
    </w:p>
    <w:p w:rsidR="006C145C" w:rsidRDefault="00C62E5A">
      <w:pPr>
        <w:spacing w:after="130" w:line="270" w:lineRule="auto"/>
        <w:ind w:left="1140" w:right="58" w:hanging="432"/>
        <w:jc w:val="both"/>
      </w:pPr>
      <w:r>
        <w:rPr>
          <w:rFonts w:ascii="Arial" w:eastAsia="Arial" w:hAnsi="Arial" w:cs="Arial"/>
          <w:sz w:val="20"/>
        </w:rPr>
        <w:t xml:space="preserve">1.2. </w:t>
      </w:r>
      <w:r>
        <w:rPr>
          <w:rFonts w:ascii="Arial" w:eastAsia="Arial" w:hAnsi="Arial" w:cs="Arial"/>
          <w:i/>
          <w:color w:val="FF0000"/>
          <w:sz w:val="20"/>
        </w:rPr>
        <w:t>A licitação será dividida em itens</w:t>
      </w:r>
      <w:r>
        <w:rPr>
          <w:rFonts w:ascii="Arial" w:eastAsia="Arial" w:hAnsi="Arial" w:cs="Arial"/>
          <w:b/>
          <w:i/>
          <w:color w:val="FF0000"/>
          <w:sz w:val="20"/>
        </w:rPr>
        <w:t>,</w:t>
      </w:r>
      <w:r>
        <w:rPr>
          <w:rFonts w:ascii="Arial" w:eastAsia="Arial" w:hAnsi="Arial" w:cs="Arial"/>
          <w:i/>
          <w:color w:val="FF0000"/>
          <w:sz w:val="20"/>
        </w:rPr>
        <w:t xml:space="preserve"> conforme tabela constante do Termo de Referência, facultando-</w:t>
      </w:r>
      <w:r>
        <w:rPr>
          <w:rFonts w:ascii="Arial" w:eastAsia="Arial" w:hAnsi="Arial" w:cs="Arial"/>
          <w:i/>
          <w:color w:val="FF0000"/>
          <w:sz w:val="20"/>
        </w:rPr>
        <w:t>se ao licitante a participação em quantos itens forem de seu interesse.</w:t>
      </w:r>
      <w:r>
        <w:rPr>
          <w:rFonts w:ascii="Arial" w:eastAsia="Arial" w:hAnsi="Arial" w:cs="Arial"/>
          <w:sz w:val="20"/>
        </w:rPr>
        <w:t xml:space="preserve"> </w:t>
      </w:r>
    </w:p>
    <w:p w:rsidR="006C145C" w:rsidRDefault="00C62E5A">
      <w:pPr>
        <w:spacing w:after="287" w:line="270" w:lineRule="auto"/>
        <w:ind w:left="1140" w:right="58" w:hanging="432"/>
        <w:jc w:val="both"/>
      </w:pPr>
      <w:r>
        <w:rPr>
          <w:rFonts w:ascii="Arial" w:eastAsia="Arial" w:hAnsi="Arial" w:cs="Arial"/>
          <w:i/>
          <w:color w:val="FF0000"/>
          <w:sz w:val="20"/>
        </w:rPr>
        <w:t xml:space="preserve">1.3. O critério de julgamento adotado será o menor preço/maior desconto do item, observadas as exigências contidas neste Edital e seus Anexos quanto às especificações do objeto. </w:t>
      </w:r>
    </w:p>
    <w:p w:rsidR="006C145C" w:rsidRDefault="00C62E5A">
      <w:pPr>
        <w:pStyle w:val="Ttulo4"/>
        <w:spacing w:after="292" w:line="265" w:lineRule="auto"/>
        <w:ind w:left="718"/>
        <w:jc w:val="left"/>
      </w:pPr>
      <w:r>
        <w:rPr>
          <w:color w:val="FF0000"/>
          <w:u w:val="single" w:color="FF0000"/>
        </w:rPr>
        <w:t>Ou</w:t>
      </w:r>
      <w:r>
        <w:rPr>
          <w:color w:val="FF0000"/>
        </w:rPr>
        <w:t xml:space="preserve"> </w:t>
      </w:r>
    </w:p>
    <w:p w:rsidR="006C145C" w:rsidRDefault="00C62E5A">
      <w:pPr>
        <w:spacing w:after="130" w:line="270" w:lineRule="auto"/>
        <w:ind w:left="718" w:right="58" w:hanging="10"/>
        <w:jc w:val="both"/>
      </w:pPr>
      <w:r>
        <w:rPr>
          <w:rFonts w:ascii="Arial" w:eastAsia="Arial" w:hAnsi="Arial" w:cs="Arial"/>
          <w:i/>
          <w:color w:val="FF0000"/>
          <w:sz w:val="20"/>
        </w:rPr>
        <w:t xml:space="preserve">1.2. A licitação será realizada em único item. </w:t>
      </w:r>
    </w:p>
    <w:p w:rsidR="006C145C" w:rsidRDefault="00C62E5A">
      <w:pPr>
        <w:spacing w:after="289" w:line="270" w:lineRule="auto"/>
        <w:ind w:left="1133" w:right="58" w:hanging="425"/>
        <w:jc w:val="both"/>
      </w:pPr>
      <w:r>
        <w:rPr>
          <w:rFonts w:ascii="Arial" w:eastAsia="Arial" w:hAnsi="Arial" w:cs="Arial"/>
          <w:i/>
          <w:color w:val="FF0000"/>
          <w:sz w:val="20"/>
        </w:rPr>
        <w:t xml:space="preserve">1.3. O critério de julgamento adotado será o menor preço/maior desconto do item, observadas as exigências contidas neste Edital e seus Anexos quanto às especificações do objeto. </w:t>
      </w:r>
    </w:p>
    <w:p w:rsidR="006C145C" w:rsidRDefault="00C62E5A">
      <w:pPr>
        <w:pStyle w:val="Ttulo4"/>
        <w:spacing w:after="13" w:line="265" w:lineRule="auto"/>
        <w:ind w:left="860"/>
        <w:jc w:val="left"/>
      </w:pPr>
      <w:r>
        <w:rPr>
          <w:color w:val="FF0000"/>
          <w:u w:val="single" w:color="FF0000"/>
        </w:rPr>
        <w:t>Ou</w:t>
      </w:r>
      <w:r>
        <w:rPr>
          <w:color w:val="FF0000"/>
        </w:rPr>
        <w:t xml:space="preserve"> </w:t>
      </w:r>
    </w:p>
    <w:p w:rsidR="006C145C" w:rsidRDefault="00C62E5A">
      <w:pPr>
        <w:spacing w:after="17"/>
        <w:ind w:left="850"/>
      </w:pPr>
      <w:r>
        <w:rPr>
          <w:rFonts w:ascii="Arial" w:eastAsia="Arial" w:hAnsi="Arial" w:cs="Arial"/>
          <w:sz w:val="20"/>
        </w:rPr>
        <w:t xml:space="preserve"> </w:t>
      </w:r>
    </w:p>
    <w:p w:rsidR="006C145C" w:rsidRDefault="00C62E5A">
      <w:pPr>
        <w:spacing w:after="6" w:line="270" w:lineRule="auto"/>
        <w:ind w:left="1133" w:right="58" w:hanging="425"/>
        <w:jc w:val="both"/>
      </w:pPr>
      <w:r>
        <w:rPr>
          <w:rFonts w:ascii="Arial" w:eastAsia="Arial" w:hAnsi="Arial" w:cs="Arial"/>
          <w:i/>
          <w:color w:val="FF0000"/>
          <w:sz w:val="20"/>
        </w:rPr>
        <w:t>1.2. A licitação será dividida em grupos, formados por um ou mais itens, conforme tabela constante do Termo de Referência, facultando-se ao licitante a participação em quantos grupos forem de seu interesse, devendo oferecer proposta para todos os itens que</w:t>
      </w:r>
      <w:r>
        <w:rPr>
          <w:rFonts w:ascii="Arial" w:eastAsia="Arial" w:hAnsi="Arial" w:cs="Arial"/>
          <w:i/>
          <w:color w:val="FF0000"/>
          <w:sz w:val="20"/>
        </w:rPr>
        <w:t xml:space="preserve"> os compõem. </w:t>
      </w:r>
    </w:p>
    <w:p w:rsidR="006C145C" w:rsidRDefault="00C62E5A">
      <w:pPr>
        <w:spacing w:after="8" w:line="270" w:lineRule="auto"/>
        <w:ind w:left="1133" w:right="58" w:hanging="425"/>
        <w:jc w:val="both"/>
      </w:pPr>
      <w:r>
        <w:rPr>
          <w:rFonts w:ascii="Arial" w:eastAsia="Arial" w:hAnsi="Arial" w:cs="Arial"/>
          <w:i/>
          <w:color w:val="FF0000"/>
          <w:sz w:val="20"/>
        </w:rPr>
        <w:t xml:space="preserve">1.3. O critério de julgamento adotado será o menor preço/maior desconto GLOBAL do grupo, observadas as exigências contidas neste Edital e seus Anexos quanto às especificações do objeto. </w:t>
      </w:r>
    </w:p>
    <w:p w:rsidR="006C145C" w:rsidRDefault="00C62E5A">
      <w:pPr>
        <w:spacing w:after="14"/>
        <w:ind w:left="708"/>
      </w:pPr>
      <w:r>
        <w:rPr>
          <w:rFonts w:ascii="Arial" w:eastAsia="Arial" w:hAnsi="Arial" w:cs="Arial"/>
          <w:color w:val="FF0000"/>
          <w:sz w:val="20"/>
        </w:rPr>
        <w:t xml:space="preserve"> </w:t>
      </w:r>
    </w:p>
    <w:p w:rsidR="006C145C" w:rsidRDefault="00C62E5A">
      <w:pPr>
        <w:pStyle w:val="Ttulo4"/>
        <w:spacing w:after="13" w:line="265" w:lineRule="auto"/>
        <w:ind w:left="718"/>
        <w:jc w:val="left"/>
      </w:pPr>
      <w:r>
        <w:rPr>
          <w:color w:val="FF0000"/>
          <w:u w:val="single" w:color="FF0000"/>
        </w:rPr>
        <w:t>Ou</w:t>
      </w:r>
      <w:r>
        <w:rPr>
          <w:color w:val="FF0000"/>
        </w:rPr>
        <w:t xml:space="preserve"> </w:t>
      </w:r>
    </w:p>
    <w:p w:rsidR="006C145C" w:rsidRDefault="00C62E5A">
      <w:pPr>
        <w:spacing w:after="17"/>
        <w:ind w:left="708"/>
      </w:pPr>
      <w:r>
        <w:rPr>
          <w:rFonts w:ascii="Arial" w:eastAsia="Arial" w:hAnsi="Arial" w:cs="Arial"/>
          <w:sz w:val="20"/>
        </w:rPr>
        <w:t xml:space="preserve"> </w:t>
      </w:r>
    </w:p>
    <w:p w:rsidR="006C145C" w:rsidRDefault="00C62E5A">
      <w:pPr>
        <w:spacing w:after="69" w:line="270" w:lineRule="auto"/>
        <w:ind w:left="1133" w:right="58" w:hanging="425"/>
        <w:jc w:val="both"/>
      </w:pPr>
      <w:r>
        <w:rPr>
          <w:rFonts w:ascii="Arial" w:eastAsia="Arial" w:hAnsi="Arial" w:cs="Arial"/>
          <w:i/>
          <w:color w:val="FF0000"/>
          <w:sz w:val="20"/>
        </w:rPr>
        <w:t>1.2. A licitação será realizada em grupo único,</w:t>
      </w:r>
      <w:r>
        <w:rPr>
          <w:rFonts w:ascii="Arial" w:eastAsia="Arial" w:hAnsi="Arial" w:cs="Arial"/>
          <w:i/>
          <w:color w:val="FF0000"/>
          <w:sz w:val="20"/>
        </w:rPr>
        <w:t xml:space="preserve"> formados por .... itens, conforme tabela constante no Termo de Referência, devendo o licitante oferecer proposta para todos os itens que o compõem. </w:t>
      </w:r>
    </w:p>
    <w:tbl>
      <w:tblPr>
        <w:tblStyle w:val="TableGrid"/>
        <w:tblW w:w="9233" w:type="dxa"/>
        <w:tblInd w:w="-113" w:type="dxa"/>
        <w:tblCellMar>
          <w:top w:w="30" w:type="dxa"/>
          <w:left w:w="29" w:type="dxa"/>
          <w:bottom w:w="0" w:type="dxa"/>
          <w:right w:w="115" w:type="dxa"/>
        </w:tblCellMar>
        <w:tblLook w:val="04A0" w:firstRow="1" w:lastRow="0" w:firstColumn="1" w:lastColumn="0" w:noHBand="0" w:noVBand="1"/>
      </w:tblPr>
      <w:tblGrid>
        <w:gridCol w:w="150"/>
        <w:gridCol w:w="9083"/>
      </w:tblGrid>
      <w:tr w:rsidR="006C145C">
        <w:trPr>
          <w:trHeight w:val="312"/>
        </w:trPr>
        <w:tc>
          <w:tcPr>
            <w:tcW w:w="84" w:type="dxa"/>
            <w:tcBorders>
              <w:top w:val="single" w:sz="4" w:space="0" w:color="1F497D"/>
              <w:left w:val="single" w:sz="4" w:space="0" w:color="1F497D"/>
              <w:bottom w:val="single" w:sz="4" w:space="0" w:color="1F497D"/>
              <w:right w:val="nil"/>
            </w:tcBorders>
          </w:tcPr>
          <w:p w:rsidR="006C145C" w:rsidRDefault="006C145C"/>
        </w:tc>
        <w:tc>
          <w:tcPr>
            <w:tcW w:w="9149" w:type="dxa"/>
            <w:tcBorders>
              <w:top w:val="single" w:sz="4" w:space="0" w:color="1F497D"/>
              <w:left w:val="nil"/>
              <w:bottom w:val="single" w:sz="4" w:space="0" w:color="1F497D"/>
              <w:right w:val="single" w:sz="4" w:space="0" w:color="1F497D"/>
            </w:tcBorders>
            <w:shd w:val="clear" w:color="auto" w:fill="FFFFCC"/>
          </w:tcPr>
          <w:p w:rsidR="006C145C" w:rsidRDefault="00C62E5A">
            <w:pPr>
              <w:spacing w:after="0"/>
            </w:pPr>
            <w:r>
              <w:rPr>
                <w:rFonts w:ascii="Arial" w:eastAsia="Arial" w:hAnsi="Arial" w:cs="Arial"/>
                <w:b/>
                <w:sz w:val="20"/>
              </w:rPr>
              <w:t xml:space="preserve">Nota explicativa: </w:t>
            </w:r>
            <w:r>
              <w:rPr>
                <w:rFonts w:ascii="Arial" w:eastAsia="Arial" w:hAnsi="Arial" w:cs="Arial"/>
                <w:i/>
                <w:sz w:val="20"/>
              </w:rPr>
              <w:t>Deve a autoridade indicar o número de itens a serem licitados.</w:t>
            </w:r>
            <w:r>
              <w:rPr>
                <w:rFonts w:ascii="Arial" w:eastAsia="Arial" w:hAnsi="Arial" w:cs="Arial"/>
                <w:sz w:val="20"/>
              </w:rPr>
              <w:t xml:space="preserve"> </w:t>
            </w:r>
          </w:p>
        </w:tc>
      </w:tr>
    </w:tbl>
    <w:p w:rsidR="006C145C" w:rsidRDefault="00C62E5A">
      <w:pPr>
        <w:spacing w:after="8" w:line="270" w:lineRule="auto"/>
        <w:ind w:left="1140" w:right="58" w:hanging="432"/>
        <w:jc w:val="both"/>
      </w:pPr>
      <w:r>
        <w:rPr>
          <w:rFonts w:ascii="Arial" w:eastAsia="Arial" w:hAnsi="Arial" w:cs="Arial"/>
          <w:i/>
          <w:color w:val="FF0000"/>
          <w:sz w:val="20"/>
        </w:rPr>
        <w:t xml:space="preserve">1.4. </w:t>
      </w:r>
      <w:r>
        <w:rPr>
          <w:rFonts w:ascii="Arial" w:eastAsia="Arial" w:hAnsi="Arial" w:cs="Arial"/>
          <w:i/>
          <w:color w:val="FF0000"/>
          <w:sz w:val="20"/>
        </w:rPr>
        <w:t xml:space="preserve">O critério de julgamento adotado será o menor preço/maior desconto GLOBAL do grupo, observadas as exigências contidas neste Edital e seus Anexos quanto às especificações do objeto. </w:t>
      </w:r>
    </w:p>
    <w:p w:rsidR="006C145C" w:rsidRDefault="00C62E5A">
      <w:pPr>
        <w:spacing w:after="318" w:line="269" w:lineRule="auto"/>
        <w:ind w:left="708" w:right="51"/>
        <w:jc w:val="both"/>
      </w:pPr>
      <w:r>
        <w:rPr>
          <w:rFonts w:ascii="Arial" w:eastAsia="Arial" w:hAnsi="Arial" w:cs="Arial"/>
          <w:i/>
          <w:color w:val="FF0000"/>
          <w:sz w:val="20"/>
          <w:shd w:val="clear" w:color="auto" w:fill="FFFF00"/>
        </w:rPr>
        <w:t xml:space="preserve">1.5. </w:t>
      </w:r>
      <w:r>
        <w:rPr>
          <w:rFonts w:ascii="Arial" w:eastAsia="Arial" w:hAnsi="Arial" w:cs="Arial"/>
          <w:sz w:val="20"/>
          <w:shd w:val="clear" w:color="auto" w:fill="FFFF00"/>
        </w:rPr>
        <w:t xml:space="preserve">1.5 O regime de execução será por empreitada por preço </w:t>
      </w:r>
      <w:r>
        <w:rPr>
          <w:rFonts w:ascii="Arial" w:eastAsia="Arial" w:hAnsi="Arial" w:cs="Arial"/>
          <w:sz w:val="20"/>
          <w:u w:val="single" w:color="000000"/>
          <w:shd w:val="clear" w:color="auto" w:fill="FFFF00"/>
        </w:rPr>
        <w:t>global ou unit</w:t>
      </w:r>
      <w:r>
        <w:rPr>
          <w:rFonts w:ascii="Arial" w:eastAsia="Arial" w:hAnsi="Arial" w:cs="Arial"/>
          <w:sz w:val="20"/>
          <w:u w:val="single" w:color="000000"/>
          <w:shd w:val="clear" w:color="auto" w:fill="FFFF00"/>
        </w:rPr>
        <w:t>ário.</w:t>
      </w:r>
      <w:r>
        <w:rPr>
          <w:rFonts w:ascii="Arial" w:eastAsia="Arial" w:hAnsi="Arial" w:cs="Arial"/>
          <w:i/>
          <w:color w:val="FF0000"/>
          <w:sz w:val="20"/>
        </w:rPr>
        <w:t xml:space="preserve">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28" w:line="250" w:lineRule="auto"/>
        <w:ind w:left="-5" w:right="56" w:hanging="10"/>
        <w:jc w:val="both"/>
      </w:pPr>
      <w:r>
        <w:rPr>
          <w:rFonts w:ascii="Arial" w:eastAsia="Arial" w:hAnsi="Arial" w:cs="Arial"/>
          <w:b/>
          <w:sz w:val="20"/>
        </w:rPr>
        <w:t>Nota explicativa</w:t>
      </w:r>
      <w:r>
        <w:rPr>
          <w:rFonts w:ascii="Arial" w:eastAsia="Arial" w:hAnsi="Arial" w:cs="Arial"/>
          <w:sz w:val="20"/>
        </w:rPr>
        <w:t xml:space="preserve">: </w:t>
      </w:r>
      <w:r>
        <w:rPr>
          <w:rFonts w:ascii="Arial" w:eastAsia="Arial" w:hAnsi="Arial" w:cs="Arial"/>
          <w:i/>
          <w:sz w:val="20"/>
        </w:rPr>
        <w:t xml:space="preserve">As redações possíveis acima refletem os possíveis formatos do objeto da licitação.   </w:t>
      </w:r>
      <w:r>
        <w:rPr>
          <w:rFonts w:ascii="Arial" w:eastAsia="Arial" w:hAnsi="Arial" w:cs="Arial"/>
          <w:i/>
          <w:sz w:val="20"/>
        </w:rPr>
        <w:t xml:space="preserve">De acordo com o TCU, “Parcelamento é a divisão do objeto em partes menores e independentes. Cada parte, item, etapa ou parcela representa uma licitação isolada ou em separado.” (Licitações &amp; Contratos. Orientações Básicas. 4ª ed., p. 225).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4" w:line="250" w:lineRule="auto"/>
        <w:ind w:left="-5" w:right="56" w:hanging="10"/>
        <w:jc w:val="both"/>
      </w:pPr>
      <w:r>
        <w:rPr>
          <w:rFonts w:ascii="Arial" w:eastAsia="Arial" w:hAnsi="Arial" w:cs="Arial"/>
          <w:i/>
          <w:sz w:val="20"/>
        </w:rPr>
        <w:t>A regra a ser observada pela Administração nas licitações é a do parcelamento do objeto, conforme disposto no § 1º do art. 23 da Lei nº 8.666, de 1993, também aplicável à modalidade pregão, por força do disposto no art. 9º da Lei nº 10.520, de 2002. O obje</w:t>
      </w:r>
      <w:r>
        <w:rPr>
          <w:rFonts w:ascii="Arial" w:eastAsia="Arial" w:hAnsi="Arial" w:cs="Arial"/>
          <w:i/>
          <w:sz w:val="20"/>
        </w:rPr>
        <w:t>tivo do parcelamento é o de melhor aproveitar os recursos disponíveis no mercado e ampliar a competitividade, mas é imprescindível que a divisão do objeto seja técnica e economicamente viável e não represente perda de economia de escala (Súmula 247 do TCU)</w:t>
      </w:r>
      <w:r>
        <w:rPr>
          <w:rFonts w:ascii="Arial" w:eastAsia="Arial" w:hAnsi="Arial" w:cs="Arial"/>
          <w:i/>
          <w:sz w:val="20"/>
        </w:rPr>
        <w:t xml:space="preserve">.  Por ser o parcelamento a regra, deve haver justificativa quando este não for adotado.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4" w:line="250" w:lineRule="auto"/>
        <w:ind w:left="-5" w:right="56" w:hanging="10"/>
        <w:jc w:val="both"/>
      </w:pPr>
      <w:r>
        <w:rPr>
          <w:rFonts w:ascii="Arial" w:eastAsia="Arial" w:hAnsi="Arial" w:cs="Arial"/>
          <w:i/>
          <w:sz w:val="20"/>
        </w:rPr>
        <w:t>A IN SEGES/MP N. 05/2017 afirma, no  item 3.8 do Anexo III – Diretrizes para Elaboração dos Estudos Preliminares, que “o parcelamento da solução é regra, devendo a l</w:t>
      </w:r>
      <w:r>
        <w:rPr>
          <w:rFonts w:ascii="Arial" w:eastAsia="Arial" w:hAnsi="Arial" w:cs="Arial"/>
          <w:i/>
          <w:sz w:val="20"/>
        </w:rPr>
        <w:t xml:space="preserve">icitação ser realizada por item, sempre que o objeto for divisível, desde que se verifique não haver prejuízo para o conjunto da solução ou perda de economia de escala˜.  Segundo o mesmo dispositivo, o objeto poderá ser parcelado caso se assegure, </w:t>
      </w:r>
      <w:r>
        <w:rPr>
          <w:rFonts w:ascii="Arial" w:eastAsia="Arial" w:hAnsi="Arial" w:cs="Arial"/>
          <w:i/>
          <w:sz w:val="20"/>
        </w:rPr>
        <w:lastRenderedPageBreak/>
        <w:t>concomit</w:t>
      </w:r>
      <w:r>
        <w:rPr>
          <w:rFonts w:ascii="Arial" w:eastAsia="Arial" w:hAnsi="Arial" w:cs="Arial"/>
          <w:i/>
          <w:sz w:val="20"/>
        </w:rPr>
        <w:t xml:space="preserve">antemente, que: 1) a divisão é técnica e economicamente viável; 2) não haverá perda de economia de escala; e 3) haverá melhor aproveitamento do mercado e ampliação da competitividade.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4" w:line="250" w:lineRule="auto"/>
        <w:ind w:left="-5" w:right="56" w:hanging="10"/>
        <w:jc w:val="both"/>
      </w:pPr>
      <w:r>
        <w:rPr>
          <w:rFonts w:ascii="Arial" w:eastAsia="Arial" w:hAnsi="Arial" w:cs="Arial"/>
          <w:i/>
          <w:sz w:val="20"/>
        </w:rPr>
        <w:t>O  órgão ou entidade, no entanto,  não poderá contratar o mesmo presta</w:t>
      </w:r>
      <w:r>
        <w:rPr>
          <w:rFonts w:ascii="Arial" w:eastAsia="Arial" w:hAnsi="Arial" w:cs="Arial"/>
          <w:i/>
          <w:sz w:val="20"/>
        </w:rPr>
        <w:t xml:space="preserve">dor para realizar serviços de execução e fiscalização relativos ao mesmo objeto, assegurando a necessária segregação das funções.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525"/>
        <w:ind w:left="-15" w:right="56"/>
      </w:pPr>
      <w:r>
        <w:rPr>
          <w:rFonts w:ascii="Arial" w:eastAsia="Arial" w:hAnsi="Arial" w:cs="Arial"/>
          <w:i/>
          <w:sz w:val="20"/>
        </w:rPr>
        <w:t xml:space="preserve">  </w:t>
      </w:r>
    </w:p>
    <w:p w:rsidR="006C145C" w:rsidRDefault="00C62E5A">
      <w:pPr>
        <w:pStyle w:val="Ttulo3"/>
        <w:spacing w:after="136"/>
        <w:ind w:left="-5"/>
        <w:jc w:val="left"/>
      </w:pPr>
      <w:r>
        <w:rPr>
          <w:color w:val="FF0000"/>
        </w:rPr>
        <w:t xml:space="preserve">2. DOS RECURSOS ORÇAMENTÁRIOS </w:t>
      </w:r>
    </w:p>
    <w:p w:rsidR="006C145C" w:rsidRDefault="00C62E5A">
      <w:pPr>
        <w:spacing w:after="130" w:line="270" w:lineRule="auto"/>
        <w:ind w:left="420" w:right="58" w:hanging="10"/>
        <w:jc w:val="both"/>
      </w:pPr>
      <w:r>
        <w:rPr>
          <w:rFonts w:ascii="Arial" w:eastAsia="Arial" w:hAnsi="Arial" w:cs="Arial"/>
          <w:i/>
          <w:color w:val="FF0000"/>
          <w:sz w:val="20"/>
        </w:rPr>
        <w:t>2.1. As despesas para atender a esta licitação estão programadas em dotação orçamentária pr</w:t>
      </w:r>
      <w:r>
        <w:rPr>
          <w:rFonts w:ascii="Arial" w:eastAsia="Arial" w:hAnsi="Arial" w:cs="Arial"/>
          <w:i/>
          <w:color w:val="FF0000"/>
          <w:sz w:val="20"/>
        </w:rPr>
        <w:t xml:space="preserve">ópria, prevista no orçamento da União para o exercício de 20...., na classificação abaixo: </w:t>
      </w:r>
    </w:p>
    <w:p w:rsidR="006C145C" w:rsidRDefault="00C62E5A">
      <w:pPr>
        <w:spacing w:after="130" w:line="270" w:lineRule="auto"/>
        <w:ind w:left="1143" w:right="58" w:hanging="10"/>
        <w:jc w:val="both"/>
      </w:pPr>
      <w:r>
        <w:rPr>
          <w:rFonts w:ascii="Arial" w:eastAsia="Arial" w:hAnsi="Arial" w:cs="Arial"/>
          <w:i/>
          <w:color w:val="FF0000"/>
          <w:sz w:val="20"/>
        </w:rPr>
        <w:t xml:space="preserve">Gestão/Unidade:   </w:t>
      </w:r>
    </w:p>
    <w:p w:rsidR="006C145C" w:rsidRDefault="00C62E5A">
      <w:pPr>
        <w:spacing w:after="130" w:line="270" w:lineRule="auto"/>
        <w:ind w:left="1143" w:right="58" w:hanging="10"/>
        <w:jc w:val="both"/>
      </w:pPr>
      <w:r>
        <w:rPr>
          <w:rFonts w:ascii="Arial" w:eastAsia="Arial" w:hAnsi="Arial" w:cs="Arial"/>
          <w:i/>
          <w:color w:val="FF0000"/>
          <w:sz w:val="20"/>
        </w:rPr>
        <w:t xml:space="preserve">Fonte:  </w:t>
      </w:r>
    </w:p>
    <w:p w:rsidR="006C145C" w:rsidRDefault="00C62E5A">
      <w:pPr>
        <w:spacing w:after="130" w:line="270" w:lineRule="auto"/>
        <w:ind w:left="1143" w:right="58" w:hanging="10"/>
        <w:jc w:val="both"/>
      </w:pPr>
      <w:r>
        <w:rPr>
          <w:rFonts w:ascii="Arial" w:eastAsia="Arial" w:hAnsi="Arial" w:cs="Arial"/>
          <w:i/>
          <w:color w:val="FF0000"/>
          <w:sz w:val="20"/>
        </w:rPr>
        <w:t xml:space="preserve">Programa de Trabalho:   </w:t>
      </w:r>
    </w:p>
    <w:p w:rsidR="006C145C" w:rsidRDefault="00C62E5A">
      <w:pPr>
        <w:spacing w:after="130" w:line="270" w:lineRule="auto"/>
        <w:ind w:left="1143" w:right="58" w:hanging="10"/>
        <w:jc w:val="both"/>
      </w:pPr>
      <w:r>
        <w:rPr>
          <w:rFonts w:ascii="Arial" w:eastAsia="Arial" w:hAnsi="Arial" w:cs="Arial"/>
          <w:i/>
          <w:color w:val="FF0000"/>
          <w:sz w:val="20"/>
        </w:rPr>
        <w:t xml:space="preserve">Elemento de Despesa:   </w:t>
      </w:r>
    </w:p>
    <w:p w:rsidR="006C145C" w:rsidRDefault="00C62E5A">
      <w:pPr>
        <w:spacing w:after="130" w:line="270" w:lineRule="auto"/>
        <w:ind w:left="1143" w:right="58" w:hanging="10"/>
        <w:jc w:val="both"/>
      </w:pPr>
      <w:r>
        <w:rPr>
          <w:rFonts w:ascii="Arial" w:eastAsia="Arial" w:hAnsi="Arial" w:cs="Arial"/>
          <w:i/>
          <w:color w:val="FF0000"/>
          <w:sz w:val="20"/>
        </w:rPr>
        <w:t xml:space="preserve">PI: </w:t>
      </w:r>
    </w:p>
    <w:p w:rsidR="006C145C" w:rsidRDefault="00C62E5A">
      <w:pPr>
        <w:spacing w:after="156"/>
      </w:pPr>
      <w:r>
        <w:rPr>
          <w:rFonts w:ascii="Arial" w:eastAsia="Arial" w:hAnsi="Arial" w:cs="Arial"/>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530" w:line="249" w:lineRule="auto"/>
        <w:ind w:left="-5" w:right="57" w:hanging="10"/>
        <w:jc w:val="both"/>
      </w:pPr>
      <w:r>
        <w:rPr>
          <w:rFonts w:ascii="Arial" w:eastAsia="Arial" w:hAnsi="Arial" w:cs="Arial"/>
          <w:b/>
          <w:i/>
          <w:sz w:val="20"/>
        </w:rPr>
        <w:t>Nota Explicativa:</w:t>
      </w:r>
      <w:r>
        <w:rPr>
          <w:rFonts w:ascii="Arial" w:eastAsia="Arial" w:hAnsi="Arial" w:cs="Arial"/>
          <w:i/>
          <w:sz w:val="20"/>
        </w:rPr>
        <w:t xml:space="preserve"> Utilizar o item “</w:t>
      </w:r>
      <w:r>
        <w:rPr>
          <w:rFonts w:ascii="Arial" w:eastAsia="Arial" w:hAnsi="Arial" w:cs="Arial"/>
          <w:i/>
          <w:sz w:val="20"/>
        </w:rPr>
        <w:t xml:space="preserve">dos recursos orçamentários” para licitações sem registro de preços e o item “do registro de preços” para licitações utilizando o sistema de registro de preços – SRP. </w:t>
      </w:r>
    </w:p>
    <w:p w:rsidR="006C145C" w:rsidRDefault="00C62E5A">
      <w:pPr>
        <w:spacing w:after="137"/>
      </w:pPr>
      <w:r>
        <w:rPr>
          <w:rFonts w:ascii="Arial" w:eastAsia="Arial" w:hAnsi="Arial" w:cs="Arial"/>
          <w:b/>
          <w:color w:val="FF0000"/>
          <w:sz w:val="20"/>
          <w:u w:val="single" w:color="FF0000"/>
          <w:shd w:val="clear" w:color="auto" w:fill="00FFFF"/>
        </w:rPr>
        <w:t>OU</w:t>
      </w:r>
      <w:r>
        <w:rPr>
          <w:rFonts w:ascii="Arial" w:eastAsia="Arial" w:hAnsi="Arial" w:cs="Arial"/>
          <w:b/>
          <w:color w:val="FF0000"/>
          <w:sz w:val="20"/>
        </w:rPr>
        <w:t xml:space="preserve"> </w:t>
      </w:r>
    </w:p>
    <w:p w:rsidR="006C145C" w:rsidRDefault="00C62E5A">
      <w:pPr>
        <w:spacing w:after="0"/>
      </w:pPr>
      <w:r>
        <w:rPr>
          <w:rFonts w:ascii="Arial" w:eastAsia="Arial" w:hAnsi="Arial" w:cs="Arial"/>
          <w:i/>
          <w:color w:val="FF0000"/>
          <w:sz w:val="20"/>
        </w:rPr>
        <w:t xml:space="preserve"> </w:t>
      </w:r>
    </w:p>
    <w:p w:rsidR="006C145C" w:rsidRDefault="00C62E5A">
      <w:pPr>
        <w:pStyle w:val="Ttulo4"/>
        <w:spacing w:after="0" w:line="259" w:lineRule="auto"/>
        <w:ind w:left="-5"/>
        <w:jc w:val="left"/>
      </w:pPr>
      <w:r>
        <w:rPr>
          <w:i/>
          <w:color w:val="FF0000"/>
          <w:shd w:val="clear" w:color="auto" w:fill="00FFFF"/>
        </w:rPr>
        <w:t>2.  DO REGISTRO DE PREÇOS</w:t>
      </w:r>
      <w:r>
        <w:rPr>
          <w:i/>
          <w:color w:val="FF0000"/>
        </w:rPr>
        <w:t xml:space="preserve">  </w:t>
      </w:r>
    </w:p>
    <w:p w:rsidR="006C145C" w:rsidRDefault="00C62E5A">
      <w:pPr>
        <w:spacing w:after="101"/>
      </w:pPr>
      <w:r>
        <w:rPr>
          <w:rFonts w:ascii="Arial" w:eastAsia="Arial" w:hAnsi="Arial" w:cs="Arial"/>
          <w:b/>
          <w:i/>
          <w:color w:val="FF0000"/>
          <w:sz w:val="20"/>
        </w:rPr>
        <w:t xml:space="preserve"> </w:t>
      </w:r>
    </w:p>
    <w:p w:rsidR="006C145C" w:rsidRDefault="00C62E5A">
      <w:pPr>
        <w:spacing w:after="120" w:line="277" w:lineRule="auto"/>
        <w:ind w:left="1140" w:right="51" w:hanging="432"/>
        <w:jc w:val="both"/>
      </w:pPr>
      <w:r>
        <w:rPr>
          <w:rFonts w:ascii="Arial" w:eastAsia="Arial" w:hAnsi="Arial" w:cs="Arial"/>
          <w:i/>
          <w:color w:val="FF0000"/>
          <w:sz w:val="20"/>
          <w:shd w:val="clear" w:color="auto" w:fill="00FFFF"/>
        </w:rPr>
        <w:t xml:space="preserve">2.1. </w:t>
      </w:r>
      <w:r>
        <w:rPr>
          <w:rFonts w:ascii="Arial" w:eastAsia="Arial" w:hAnsi="Arial" w:cs="Arial"/>
          <w:i/>
          <w:color w:val="FF0000"/>
          <w:sz w:val="20"/>
          <w:shd w:val="clear" w:color="auto" w:fill="00FFFF"/>
        </w:rPr>
        <w:t>As regras referentes aos órgãos gerenciador e participantes, bem como a eventuais</w:t>
      </w:r>
      <w:r>
        <w:rPr>
          <w:rFonts w:ascii="Arial" w:eastAsia="Arial" w:hAnsi="Arial" w:cs="Arial"/>
          <w:i/>
          <w:color w:val="FF0000"/>
          <w:sz w:val="20"/>
        </w:rPr>
        <w:t xml:space="preserve"> </w:t>
      </w:r>
      <w:r>
        <w:rPr>
          <w:rFonts w:ascii="Arial" w:eastAsia="Arial" w:hAnsi="Arial" w:cs="Arial"/>
          <w:i/>
          <w:color w:val="FF0000"/>
          <w:sz w:val="20"/>
          <w:shd w:val="clear" w:color="auto" w:fill="00FFFF"/>
        </w:rPr>
        <w:t>adesões são as que constam da minuta de Ata de Registro de Preços</w:t>
      </w:r>
      <w:r>
        <w:rPr>
          <w:rFonts w:ascii="Arial" w:eastAsia="Arial" w:hAnsi="Arial" w:cs="Arial"/>
          <w:i/>
          <w:color w:val="FF0000"/>
          <w:sz w:val="20"/>
        </w:rPr>
        <w:t xml:space="preserve"> </w:t>
      </w:r>
    </w:p>
    <w:p w:rsidR="006C145C" w:rsidRDefault="00C62E5A">
      <w:pPr>
        <w:spacing w:after="137"/>
        <w:ind w:left="1140"/>
      </w:pPr>
      <w:r>
        <w:rPr>
          <w:rFonts w:ascii="Arial" w:eastAsia="Arial" w:hAnsi="Arial" w:cs="Arial"/>
          <w:i/>
          <w:color w:val="FF0000"/>
          <w:sz w:val="20"/>
        </w:rPr>
        <w:t xml:space="preserve"> </w:t>
      </w:r>
    </w:p>
    <w:p w:rsidR="006C145C" w:rsidRDefault="00C62E5A">
      <w:pPr>
        <w:spacing w:after="139"/>
        <w:ind w:left="1133"/>
      </w:pPr>
      <w:r>
        <w:rPr>
          <w:rFonts w:ascii="Arial" w:eastAsia="Arial" w:hAnsi="Arial" w:cs="Arial"/>
          <w:i/>
          <w:color w:val="FF0000"/>
          <w:sz w:val="20"/>
        </w:rPr>
        <w:t xml:space="preserve"> </w:t>
      </w:r>
    </w:p>
    <w:p w:rsidR="006C145C" w:rsidRDefault="00C62E5A">
      <w:pPr>
        <w:spacing w:after="0" w:line="268" w:lineRule="auto"/>
        <w:ind w:left="240" w:right="60" w:hanging="10"/>
        <w:jc w:val="right"/>
      </w:pPr>
      <w:r>
        <w:rPr>
          <w:noProof/>
        </w:rPr>
        <mc:AlternateContent>
          <mc:Choice Requires="wpg">
            <w:drawing>
              <wp:anchor distT="0" distB="0" distL="114300" distR="114300" simplePos="0" relativeHeight="251659264" behindDoc="1" locked="0" layoutInCell="1" allowOverlap="1">
                <wp:simplePos x="0" y="0"/>
                <wp:positionH relativeFrom="column">
                  <wp:posOffset>359969</wp:posOffset>
                </wp:positionH>
                <wp:positionV relativeFrom="paragraph">
                  <wp:posOffset>-4396</wp:posOffset>
                </wp:positionV>
                <wp:extent cx="5401945" cy="292608"/>
                <wp:effectExtent l="0" t="0" r="0" b="0"/>
                <wp:wrapNone/>
                <wp:docPr id="240892" name="Group 240892"/>
                <wp:cNvGraphicFramePr/>
                <a:graphic xmlns:a="http://schemas.openxmlformats.org/drawingml/2006/main">
                  <a:graphicData uri="http://schemas.microsoft.com/office/word/2010/wordprocessingGroup">
                    <wpg:wgp>
                      <wpg:cNvGrpSpPr/>
                      <wpg:grpSpPr>
                        <a:xfrm>
                          <a:off x="0" y="0"/>
                          <a:ext cx="5401945" cy="292608"/>
                          <a:chOff x="0" y="0"/>
                          <a:chExt cx="5401945" cy="292608"/>
                        </a:xfrm>
                      </wpg:grpSpPr>
                      <wps:wsp>
                        <wps:cNvPr id="310969" name="Shape 310969"/>
                        <wps:cNvSpPr/>
                        <wps:spPr>
                          <a:xfrm>
                            <a:off x="0" y="0"/>
                            <a:ext cx="5401945" cy="146304"/>
                          </a:xfrm>
                          <a:custGeom>
                            <a:avLst/>
                            <a:gdLst/>
                            <a:ahLst/>
                            <a:cxnLst/>
                            <a:rect l="0" t="0" r="0" b="0"/>
                            <a:pathLst>
                              <a:path w="5401945" h="146304">
                                <a:moveTo>
                                  <a:pt x="0" y="0"/>
                                </a:moveTo>
                                <a:lnTo>
                                  <a:pt x="5401945" y="0"/>
                                </a:lnTo>
                                <a:lnTo>
                                  <a:pt x="5401945" y="146304"/>
                                </a:lnTo>
                                <a:lnTo>
                                  <a:pt x="0" y="146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0970" name="Shape 310970"/>
                        <wps:cNvSpPr/>
                        <wps:spPr>
                          <a:xfrm>
                            <a:off x="274269" y="146303"/>
                            <a:ext cx="1848866" cy="146304"/>
                          </a:xfrm>
                          <a:custGeom>
                            <a:avLst/>
                            <a:gdLst/>
                            <a:ahLst/>
                            <a:cxnLst/>
                            <a:rect l="0" t="0" r="0" b="0"/>
                            <a:pathLst>
                              <a:path w="1848866" h="146304">
                                <a:moveTo>
                                  <a:pt x="0" y="0"/>
                                </a:moveTo>
                                <a:lnTo>
                                  <a:pt x="1848866" y="0"/>
                                </a:lnTo>
                                <a:lnTo>
                                  <a:pt x="1848866" y="146304"/>
                                </a:lnTo>
                                <a:lnTo>
                                  <a:pt x="0" y="146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40892" style="width:425.35pt;height:23.04pt;position:absolute;z-index:-2147483499;mso-position-horizontal-relative:text;mso-position-horizontal:absolute;margin-left:28.344pt;mso-position-vertical-relative:text;margin-top:-0.346191pt;" coordsize="54019,2926">
                <v:shape id="Shape 310971" style="position:absolute;width:54019;height:1463;left:0;top:0;" coordsize="5401945,146304" path="m0,0l5401945,0l5401945,146304l0,146304l0,0">
                  <v:stroke weight="0pt" endcap="flat" joinstyle="miter" miterlimit="10" on="false" color="#000000" opacity="0"/>
                  <v:fill on="true" color="#ffff00"/>
                </v:shape>
                <v:shape id="Shape 310972" style="position:absolute;width:18488;height:1463;left:2742;top:1463;" coordsize="1848866,146304" path="m0,0l1848866,0l1848866,146304l0,146304l0,0">
                  <v:stroke weight="0pt" endcap="flat" joinstyle="miter" miterlimit="10" on="false" color="#000000" opacity="0"/>
                  <v:fill on="true" color="#ffff00"/>
                </v:shape>
              </v:group>
            </w:pict>
          </mc:Fallback>
        </mc:AlternateContent>
      </w:r>
      <w:r>
        <w:rPr>
          <w:rFonts w:ascii="Arial" w:eastAsia="Arial" w:hAnsi="Arial" w:cs="Arial"/>
          <w:color w:val="FF0000"/>
          <w:sz w:val="20"/>
        </w:rPr>
        <w:t>2.2. Valor estimado ou valor máximo aceitável para contratação é de</w:t>
      </w:r>
      <w:r>
        <w:rPr>
          <w:rFonts w:ascii="Arial" w:eastAsia="Arial" w:hAnsi="Arial" w:cs="Arial"/>
          <w:sz w:val="20"/>
        </w:rPr>
        <w:t xml:space="preserve"> R$ </w:t>
      </w:r>
      <w:r>
        <w:rPr>
          <w:rFonts w:ascii="Arial" w:eastAsia="Arial" w:hAnsi="Arial" w:cs="Arial"/>
          <w:color w:val="FF0000"/>
          <w:sz w:val="20"/>
        </w:rPr>
        <w:t xml:space="preserve">.................................... </w:t>
      </w:r>
    </w:p>
    <w:p w:rsidR="006C145C" w:rsidRDefault="00C62E5A">
      <w:pPr>
        <w:spacing w:after="395" w:line="365" w:lineRule="auto"/>
        <w:ind w:left="1141" w:right="5178" w:hanging="142"/>
        <w:jc w:val="both"/>
      </w:pPr>
      <w:r>
        <w:rPr>
          <w:rFonts w:ascii="Arial" w:eastAsia="Arial" w:hAnsi="Arial" w:cs="Arial"/>
          <w:color w:val="FF0000"/>
          <w:sz w:val="20"/>
        </w:rPr>
        <w:t xml:space="preserve">( ................................................). </w:t>
      </w:r>
      <w:r>
        <w:rPr>
          <w:rFonts w:ascii="Arial" w:eastAsia="Arial" w:hAnsi="Arial" w:cs="Arial"/>
          <w:i/>
          <w:color w:val="FF0000"/>
          <w:sz w:val="20"/>
        </w:rPr>
        <w:t xml:space="preserve"> </w:t>
      </w:r>
    </w:p>
    <w:p w:rsidR="006C145C" w:rsidRDefault="00C62E5A">
      <w:pPr>
        <w:pStyle w:val="Ttulo4"/>
        <w:ind w:left="7" w:right="37"/>
      </w:pPr>
      <w:r>
        <w:t xml:space="preserve">3. DO CREDENCIAMENTO </w:t>
      </w:r>
    </w:p>
    <w:p w:rsidR="006C145C" w:rsidRDefault="00C62E5A">
      <w:pPr>
        <w:spacing w:after="154" w:line="270" w:lineRule="auto"/>
        <w:ind w:left="433" w:right="54" w:hanging="8"/>
        <w:jc w:val="both"/>
      </w:pPr>
      <w:r>
        <w:rPr>
          <w:rFonts w:ascii="Arial" w:eastAsia="Arial" w:hAnsi="Arial" w:cs="Arial"/>
          <w:sz w:val="20"/>
        </w:rPr>
        <w:t xml:space="preserve">3.1. O Credenciamento é o nível básico do registro cadastral no SICAF, que permite a participação dos interessados na modalidade licitatória </w:t>
      </w:r>
      <w:r>
        <w:rPr>
          <w:rFonts w:ascii="Arial" w:eastAsia="Arial" w:hAnsi="Arial" w:cs="Arial"/>
          <w:sz w:val="20"/>
        </w:rPr>
        <w:t xml:space="preserve">Pregão, em sua forma eletrônica.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b/>
          <w:i/>
          <w:sz w:val="20"/>
        </w:rPr>
        <w:t>Nota Explicativa:</w:t>
      </w:r>
      <w:r>
        <w:rPr>
          <w:rFonts w:ascii="Arial" w:eastAsia="Arial" w:hAnsi="Arial" w:cs="Arial"/>
          <w:i/>
          <w:sz w:val="20"/>
        </w:rPr>
        <w:t xml:space="preserve"> O credenciamento exigido nos arts. 9º a 11 do Decreto n. 10.024, de 2019, constituise em cadastro prévio de identificação, com a finalidade de agilizar o procedimento e permitir a efetiva participação dos</w:t>
      </w:r>
      <w:r>
        <w:rPr>
          <w:rFonts w:ascii="Arial" w:eastAsia="Arial" w:hAnsi="Arial" w:cs="Arial"/>
          <w:i/>
          <w:sz w:val="20"/>
        </w:rPr>
        <w:t xml:space="preserve"> interessados no certame – Parecer n. 129/2011/DECOR/CGU/AGU. </w:t>
      </w:r>
    </w:p>
    <w:p w:rsidR="006C145C" w:rsidRDefault="00C62E5A">
      <w:pPr>
        <w:spacing w:after="129" w:line="270" w:lineRule="auto"/>
        <w:ind w:left="433" w:right="54" w:hanging="8"/>
        <w:jc w:val="both"/>
      </w:pPr>
      <w:r>
        <w:rPr>
          <w:rFonts w:ascii="Arial" w:eastAsia="Arial" w:hAnsi="Arial" w:cs="Arial"/>
          <w:sz w:val="20"/>
        </w:rPr>
        <w:t xml:space="preserve">3.2. O cadastro no SICAF deverá ser feito no Portal de Compras do Governo Federal, no sítio </w:t>
      </w:r>
      <w:hyperlink r:id="rId13">
        <w:r>
          <w:rPr>
            <w:rFonts w:ascii="Arial" w:eastAsia="Arial" w:hAnsi="Arial" w:cs="Arial"/>
            <w:color w:val="000080"/>
            <w:sz w:val="20"/>
            <w:u w:val="single" w:color="000080"/>
          </w:rPr>
          <w:t>www.comprasgovernamentais.gov.br</w:t>
        </w:r>
      </w:hyperlink>
      <w:hyperlink r:id="rId14">
        <w:r>
          <w:rPr>
            <w:rFonts w:ascii="Arial" w:eastAsia="Arial" w:hAnsi="Arial" w:cs="Arial"/>
            <w:sz w:val="20"/>
          </w:rPr>
          <w:t>,</w:t>
        </w:r>
      </w:hyperlink>
      <w:r>
        <w:rPr>
          <w:rFonts w:ascii="Arial" w:eastAsia="Arial" w:hAnsi="Arial" w:cs="Arial"/>
          <w:sz w:val="20"/>
        </w:rPr>
        <w:t xml:space="preserve"> </w:t>
      </w:r>
      <w:r>
        <w:rPr>
          <w:rFonts w:ascii="Arial" w:eastAsia="Arial" w:hAnsi="Arial" w:cs="Arial"/>
          <w:sz w:val="20"/>
        </w:rPr>
        <w:t xml:space="preserve">por meio de certificado digital conferido pela Infraestrutura de Chaves Públicas Brasileira – ICP - Brasil. </w:t>
      </w:r>
    </w:p>
    <w:p w:rsidR="006C145C" w:rsidRDefault="00C62E5A">
      <w:pPr>
        <w:spacing w:after="129" w:line="270" w:lineRule="auto"/>
        <w:ind w:left="433" w:right="54" w:hanging="8"/>
        <w:jc w:val="both"/>
      </w:pPr>
      <w:r>
        <w:rPr>
          <w:rFonts w:ascii="Arial" w:eastAsia="Arial" w:hAnsi="Arial" w:cs="Arial"/>
          <w:sz w:val="20"/>
        </w:rPr>
        <w:t>3.3. O credenciamento junto ao provedor do sistema implica a responsabilidade do licitante ou de seu representante legal e a presunção de sua capac</w:t>
      </w:r>
      <w:r>
        <w:rPr>
          <w:rFonts w:ascii="Arial" w:eastAsia="Arial" w:hAnsi="Arial" w:cs="Arial"/>
          <w:sz w:val="20"/>
        </w:rPr>
        <w:t xml:space="preserve">idade técnica para realização das transações inerentes a este Pregão. </w:t>
      </w:r>
    </w:p>
    <w:p w:rsidR="006C145C" w:rsidRDefault="00C62E5A">
      <w:pPr>
        <w:spacing w:after="129" w:line="270" w:lineRule="auto"/>
        <w:ind w:left="433" w:right="54" w:hanging="8"/>
        <w:jc w:val="both"/>
      </w:pPr>
      <w:r>
        <w:rPr>
          <w:rFonts w:ascii="Arial" w:eastAsia="Arial" w:hAnsi="Arial" w:cs="Arial"/>
          <w:sz w:val="20"/>
        </w:rPr>
        <w:lastRenderedPageBreak/>
        <w:t>3.4. O licitante responsabiliza-se exclusiva e formalmente pelas transações efetuadas em seu nome, assume como firmes e verdadeiras suas propostas e seus lances, inclusive os atos prati</w:t>
      </w:r>
      <w:r>
        <w:rPr>
          <w:rFonts w:ascii="Arial" w:eastAsia="Arial" w:hAnsi="Arial" w:cs="Arial"/>
          <w:sz w:val="20"/>
        </w:rPr>
        <w:t xml:space="preserve">cados diretamente ou por seu representante, excluída a responsabilidade do provedor do sistema ou do órgão ou entidade promotora da licitação por eventuais danos decorrentes de uso indevido das credenciais de acesso, ainda que por terceiros. </w:t>
      </w:r>
    </w:p>
    <w:p w:rsidR="006C145C" w:rsidRDefault="00C62E5A">
      <w:pPr>
        <w:spacing w:after="129" w:line="270" w:lineRule="auto"/>
        <w:ind w:left="433" w:right="54" w:hanging="8"/>
        <w:jc w:val="both"/>
      </w:pPr>
      <w:r>
        <w:rPr>
          <w:rFonts w:ascii="Arial" w:eastAsia="Arial" w:hAnsi="Arial" w:cs="Arial"/>
          <w:sz w:val="20"/>
        </w:rPr>
        <w:t>3.5. É de res</w:t>
      </w:r>
      <w:r>
        <w:rPr>
          <w:rFonts w:ascii="Arial" w:eastAsia="Arial" w:hAnsi="Arial" w:cs="Arial"/>
          <w:sz w:val="20"/>
        </w:rPr>
        <w:t xml:space="preserve">ponsabilidade exclusiva do licitante o uso adequado do sistema, cabendo-lhe zelar por todas as transações efetuadas diretamente ou por seu representante. </w:t>
      </w:r>
    </w:p>
    <w:p w:rsidR="006C145C" w:rsidRDefault="00C62E5A">
      <w:pPr>
        <w:spacing w:after="129" w:line="270" w:lineRule="auto"/>
        <w:ind w:left="433" w:right="54" w:hanging="8"/>
        <w:jc w:val="both"/>
      </w:pPr>
      <w:r>
        <w:rPr>
          <w:rFonts w:ascii="Arial" w:eastAsia="Arial" w:hAnsi="Arial" w:cs="Arial"/>
          <w:sz w:val="20"/>
        </w:rPr>
        <w:t>3.6. É de responsabilidade do cadastrado conferir a exatidão dos seus dados cadastrais no SICAF e man</w:t>
      </w:r>
      <w:r>
        <w:rPr>
          <w:rFonts w:ascii="Arial" w:eastAsia="Arial" w:hAnsi="Arial" w:cs="Arial"/>
          <w:sz w:val="20"/>
        </w:rPr>
        <w:t xml:space="preserve">tê-los atualizados junto aos órgãos responsáveis pela informação, devendo proceder, imediatamente, à correção ou à alteração dos registros tão logo identifique incorreção ou aqueles se tornem desatualizados. </w:t>
      </w:r>
    </w:p>
    <w:p w:rsidR="006C145C" w:rsidRDefault="00C62E5A">
      <w:pPr>
        <w:spacing w:after="485" w:line="270" w:lineRule="auto"/>
        <w:ind w:left="1922" w:right="54" w:hanging="504"/>
        <w:jc w:val="both"/>
      </w:pPr>
      <w:r>
        <w:rPr>
          <w:rFonts w:ascii="Arial" w:eastAsia="Arial" w:hAnsi="Arial" w:cs="Arial"/>
          <w:sz w:val="20"/>
        </w:rPr>
        <w:t xml:space="preserve">3.6.1 </w:t>
      </w:r>
      <w:r>
        <w:rPr>
          <w:rFonts w:ascii="Arial" w:eastAsia="Arial" w:hAnsi="Arial" w:cs="Arial"/>
          <w:sz w:val="20"/>
        </w:rPr>
        <w:t xml:space="preserve">A não observância do disposto no subitem anterior poderá ensejar desclassificação no momento da habilitação </w:t>
      </w:r>
    </w:p>
    <w:p w:rsidR="006C145C" w:rsidRDefault="00C62E5A">
      <w:pPr>
        <w:numPr>
          <w:ilvl w:val="0"/>
          <w:numId w:val="5"/>
        </w:numPr>
        <w:spacing w:after="150" w:line="249" w:lineRule="auto"/>
        <w:ind w:right="37" w:hanging="415"/>
        <w:jc w:val="both"/>
      </w:pPr>
      <w:r>
        <w:rPr>
          <w:rFonts w:ascii="Arial" w:eastAsia="Arial" w:hAnsi="Arial" w:cs="Arial"/>
          <w:b/>
          <w:sz w:val="20"/>
        </w:rPr>
        <w:t xml:space="preserve">DA PARTICIPAÇÃO NO PREGÃO. </w:t>
      </w:r>
    </w:p>
    <w:p w:rsidR="006C145C" w:rsidRDefault="00C62E5A">
      <w:pPr>
        <w:numPr>
          <w:ilvl w:val="1"/>
          <w:numId w:val="5"/>
        </w:numPr>
        <w:spacing w:after="154" w:line="270" w:lineRule="auto"/>
        <w:ind w:right="54" w:hanging="991"/>
        <w:jc w:val="both"/>
      </w:pPr>
      <w:r>
        <w:rPr>
          <w:rFonts w:ascii="Arial" w:eastAsia="Arial" w:hAnsi="Arial" w:cs="Arial"/>
          <w:sz w:val="20"/>
        </w:rPr>
        <w:t>Poderão participar deste Pregão interessados cujo ramo de atividade seja compatível com o objeto desta licitação, e que</w:t>
      </w:r>
      <w:r>
        <w:rPr>
          <w:rFonts w:ascii="Arial" w:eastAsia="Arial" w:hAnsi="Arial" w:cs="Arial"/>
          <w:sz w:val="20"/>
        </w:rPr>
        <w:t xml:space="preserve"> estejam com Credenciamento regular no Sistema de Cadastramento Unificado de Fornecedores – SICAF, conforme disposto no art. 9º da IN SEGES/MP nº 3, de 2018.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25" w:line="249" w:lineRule="auto"/>
        <w:ind w:left="-5" w:right="57" w:hanging="10"/>
        <w:jc w:val="both"/>
      </w:pPr>
      <w:r>
        <w:rPr>
          <w:rFonts w:ascii="Arial" w:eastAsia="Arial" w:hAnsi="Arial" w:cs="Arial"/>
          <w:b/>
          <w:i/>
          <w:sz w:val="20"/>
        </w:rPr>
        <w:t>Nota Explicativa:</w:t>
      </w:r>
      <w:r>
        <w:rPr>
          <w:rFonts w:ascii="Arial" w:eastAsia="Arial" w:hAnsi="Arial" w:cs="Arial"/>
          <w:i/>
          <w:sz w:val="20"/>
        </w:rPr>
        <w:t xml:space="preserve"> O objeto social incompatível com o objeto da licitação é impeditivo à contrataç</w:t>
      </w:r>
      <w:r>
        <w:rPr>
          <w:rFonts w:ascii="Arial" w:eastAsia="Arial" w:hAnsi="Arial" w:cs="Arial"/>
          <w:i/>
          <w:sz w:val="20"/>
        </w:rPr>
        <w:t xml:space="preserve">ão, a ser aferido na fase de habilitação jurídica. Nesse sentido o Tribunal de Contas da União, no Acordão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25" w:line="249" w:lineRule="auto"/>
        <w:ind w:left="-5" w:right="57" w:hanging="10"/>
        <w:jc w:val="both"/>
      </w:pPr>
      <w:r>
        <w:rPr>
          <w:rFonts w:ascii="Arial" w:eastAsia="Arial" w:hAnsi="Arial" w:cs="Arial"/>
          <w:i/>
          <w:sz w:val="20"/>
        </w:rPr>
        <w:t>642/2014-Plenário, estabelece que: “30. Primeiramente, divirjo da unidade técnica quando indica que a exigência do contrato social das licitantes nã</w:t>
      </w:r>
      <w:r>
        <w:rPr>
          <w:rFonts w:ascii="Arial" w:eastAsia="Arial" w:hAnsi="Arial" w:cs="Arial"/>
          <w:i/>
          <w:sz w:val="20"/>
        </w:rPr>
        <w:t>o seria destinada à comprovação da adequação do ramo de atuação das empresas com os serviços objeto do certame. 31. Ocorre que o art. 28, inciso III, da Lei 8.666/1993 inclui o contrato social, devidamente registrado, entre os documentos exigíveis para fin</w:t>
      </w:r>
      <w:r>
        <w:rPr>
          <w:rFonts w:ascii="Arial" w:eastAsia="Arial" w:hAnsi="Arial" w:cs="Arial"/>
          <w:i/>
          <w:sz w:val="20"/>
        </w:rPr>
        <w:t>s de comprovação da habilitação jurídica. Tal exigência visa justamente à comprovação de que a licitante tem a atividade comercial compatível com o objeto licitado. 32. O objeto social da empresa delineado no contrato social devidamente registrado comprova</w:t>
      </w:r>
      <w:r>
        <w:rPr>
          <w:rFonts w:ascii="Arial" w:eastAsia="Arial" w:hAnsi="Arial" w:cs="Arial"/>
          <w:i/>
          <w:sz w:val="20"/>
        </w:rPr>
        <w:t xml:space="preserve"> não apenas o exercício da atividade empresarial requerida na licitação, mas também que a empresa o faz de forma regular. E nesse ponto ressalto que a Administração deve sempre prestigiar a legalidade. Não basta que a licitante detenha a capacidade comerci</w:t>
      </w:r>
      <w:r>
        <w:rPr>
          <w:rFonts w:ascii="Arial" w:eastAsia="Arial" w:hAnsi="Arial" w:cs="Arial"/>
          <w:i/>
          <w:sz w:val="20"/>
        </w:rPr>
        <w:t xml:space="preserve">al de fato, faz-se necessário que ela esteja em conformidade com a lei.” </w:t>
      </w:r>
    </w:p>
    <w:p w:rsidR="006C145C" w:rsidRDefault="00C62E5A">
      <w:pPr>
        <w:spacing w:after="104"/>
      </w:pPr>
      <w:r>
        <w:rPr>
          <w:rFonts w:ascii="Arial" w:eastAsia="Arial" w:hAnsi="Arial" w:cs="Arial"/>
          <w:sz w:val="20"/>
        </w:rPr>
        <w:t xml:space="preserve"> </w:t>
      </w:r>
    </w:p>
    <w:p w:rsidR="006C145C" w:rsidRDefault="00C62E5A">
      <w:pPr>
        <w:numPr>
          <w:ilvl w:val="2"/>
          <w:numId w:val="5"/>
        </w:numPr>
        <w:spacing w:after="129" w:line="270" w:lineRule="auto"/>
        <w:ind w:right="54" w:hanging="720"/>
        <w:jc w:val="both"/>
      </w:pPr>
      <w:r>
        <w:rPr>
          <w:rFonts w:ascii="Arial" w:eastAsia="Arial" w:hAnsi="Arial" w:cs="Arial"/>
          <w:sz w:val="20"/>
        </w:rPr>
        <w:t xml:space="preserve">Os licitantes deverão utilizar o certificado digital para acesso ao Sistema </w:t>
      </w:r>
    </w:p>
    <w:p w:rsidR="006C145C" w:rsidRDefault="00C62E5A">
      <w:pPr>
        <w:numPr>
          <w:ilvl w:val="2"/>
          <w:numId w:val="5"/>
        </w:numPr>
        <w:spacing w:after="157" w:line="270" w:lineRule="auto"/>
        <w:ind w:right="54" w:hanging="720"/>
        <w:jc w:val="both"/>
      </w:pPr>
      <w:r>
        <w:rPr>
          <w:rFonts w:ascii="Arial" w:eastAsia="Arial" w:hAnsi="Arial" w:cs="Arial"/>
          <w:i/>
          <w:color w:val="FF0000"/>
          <w:sz w:val="20"/>
        </w:rPr>
        <w:t>Para os itens ....., ....., ....., a participação é exclusiva a microempresas e empresas de pequeno por</w:t>
      </w:r>
      <w:r>
        <w:rPr>
          <w:rFonts w:ascii="Arial" w:eastAsia="Arial" w:hAnsi="Arial" w:cs="Arial"/>
          <w:i/>
          <w:color w:val="FF0000"/>
          <w:sz w:val="20"/>
        </w:rPr>
        <w:t xml:space="preserve">te, nos termos do art. 48 da Lei Complementar nº 123, de 14 de dezembro de 2006. </w:t>
      </w:r>
    </w:p>
    <w:p w:rsidR="006C145C" w:rsidRDefault="00C62E5A">
      <w:pPr>
        <w:pBdr>
          <w:top w:val="single" w:sz="4" w:space="0" w:color="1F497D"/>
          <w:left w:val="single" w:sz="4" w:space="0" w:color="1F497D"/>
          <w:right w:val="single" w:sz="4" w:space="0" w:color="1F497D"/>
        </w:pBdr>
        <w:shd w:val="clear" w:color="auto" w:fill="FFFFCC"/>
        <w:spacing w:after="142" w:line="250" w:lineRule="auto"/>
        <w:ind w:left="-5" w:right="51" w:hanging="10"/>
        <w:jc w:val="both"/>
      </w:pPr>
      <w:r>
        <w:rPr>
          <w:rFonts w:ascii="Arial" w:eastAsia="Arial" w:hAnsi="Arial" w:cs="Arial"/>
          <w:b/>
          <w:i/>
          <w:sz w:val="20"/>
        </w:rPr>
        <w:t>Nota Explicativa:</w:t>
      </w:r>
      <w:r>
        <w:rPr>
          <w:rFonts w:ascii="Arial" w:eastAsia="Arial" w:hAnsi="Arial" w:cs="Arial"/>
          <w:i/>
          <w:sz w:val="20"/>
        </w:rPr>
        <w:t xml:space="preserve"> </w:t>
      </w:r>
      <w:r>
        <w:rPr>
          <w:rFonts w:ascii="Arial" w:eastAsia="Arial" w:hAnsi="Arial" w:cs="Arial"/>
          <w:i/>
          <w:sz w:val="20"/>
        </w:rPr>
        <w:t xml:space="preserve">Utilizar o subitem 4.1.2 apenas se houver itens com participação exclusiva de Microempresas e Empresas de Pequeno Porte em razão do valor, conforme art. 48 da Lei Complementar nº 123, de 2006. </w:t>
      </w:r>
    </w:p>
    <w:p w:rsidR="006C145C" w:rsidRDefault="00C62E5A">
      <w:pPr>
        <w:pBdr>
          <w:top w:val="single" w:sz="4" w:space="0" w:color="1F497D"/>
          <w:left w:val="single" w:sz="4" w:space="0" w:color="1F497D"/>
          <w:right w:val="single" w:sz="4" w:space="0" w:color="1F497D"/>
        </w:pBdr>
        <w:shd w:val="clear" w:color="auto" w:fill="FFFFCC"/>
        <w:spacing w:after="171" w:line="250" w:lineRule="auto"/>
        <w:ind w:left="-5" w:right="51" w:hanging="10"/>
        <w:jc w:val="both"/>
      </w:pPr>
      <w:r>
        <w:rPr>
          <w:rFonts w:ascii="Arial" w:eastAsia="Arial" w:hAnsi="Arial" w:cs="Arial"/>
          <w:i/>
          <w:sz w:val="20"/>
        </w:rPr>
        <w:t>Sobre o enquadramento da contratação pelo valor, nos termos da</w:t>
      </w:r>
      <w:r>
        <w:rPr>
          <w:rFonts w:ascii="Arial" w:eastAsia="Arial" w:hAnsi="Arial" w:cs="Arial"/>
          <w:i/>
          <w:sz w:val="20"/>
        </w:rPr>
        <w:t xml:space="preserve"> orientação normativa agu n. 10, de 2011 alterada pela Portaria n. 155, de 19.04.2017 publicada no DOU de 20.04.2017, para fins de escolha das modalidades licitatórias convencionais (concorrência, tomada de preços e convite), bem como de enquadramento das </w:t>
      </w:r>
      <w:r>
        <w:rPr>
          <w:rFonts w:ascii="Arial" w:eastAsia="Arial" w:hAnsi="Arial" w:cs="Arial"/>
          <w:i/>
          <w:sz w:val="20"/>
        </w:rPr>
        <w:t>contratações previstas no art. 24, I e II, da Lei nº 8.666/1993, a definição do valor da contratação levará em conta o período de vigência contratual e as possíveis prorrogações. Nas licitações exclusivas para microempresas, empresas de pequeno porte e soc</w:t>
      </w:r>
      <w:r>
        <w:rPr>
          <w:rFonts w:ascii="Arial" w:eastAsia="Arial" w:hAnsi="Arial" w:cs="Arial"/>
          <w:i/>
          <w:sz w:val="20"/>
        </w:rPr>
        <w:t xml:space="preserve">iedades cooperativas, o valor de R$ 80.000,00 (oitenta mil reais) refere-se ao período de um ano, observada a respectiva proporcionalidade em casos de períodos distintos." </w:t>
      </w:r>
    </w:p>
    <w:p w:rsidR="006C145C" w:rsidRDefault="00C62E5A">
      <w:pPr>
        <w:numPr>
          <w:ilvl w:val="1"/>
          <w:numId w:val="5"/>
        </w:numPr>
        <w:spacing w:after="129" w:line="270" w:lineRule="auto"/>
        <w:ind w:right="54" w:hanging="991"/>
        <w:jc w:val="both"/>
      </w:pPr>
      <w:r>
        <w:rPr>
          <w:rFonts w:ascii="Arial" w:eastAsia="Arial" w:hAnsi="Arial" w:cs="Arial"/>
          <w:sz w:val="20"/>
        </w:rPr>
        <w:t xml:space="preserve">Não poderão participar desta licitação os interessados: </w:t>
      </w:r>
    </w:p>
    <w:p w:rsidR="006C145C" w:rsidRDefault="00C62E5A">
      <w:pPr>
        <w:numPr>
          <w:ilvl w:val="2"/>
          <w:numId w:val="5"/>
        </w:numPr>
        <w:spacing w:after="129" w:line="270" w:lineRule="auto"/>
        <w:ind w:right="54" w:hanging="720"/>
        <w:jc w:val="both"/>
      </w:pPr>
      <w:r>
        <w:rPr>
          <w:rFonts w:ascii="Arial" w:eastAsia="Arial" w:hAnsi="Arial" w:cs="Arial"/>
          <w:sz w:val="20"/>
        </w:rPr>
        <w:lastRenderedPageBreak/>
        <w:t>proibidos de participar de</w:t>
      </w:r>
      <w:r>
        <w:rPr>
          <w:rFonts w:ascii="Arial" w:eastAsia="Arial" w:hAnsi="Arial" w:cs="Arial"/>
          <w:sz w:val="20"/>
        </w:rPr>
        <w:t xml:space="preserve"> licitações e celebrar contratos administrativos, na forma da legislação vigente; </w:t>
      </w:r>
    </w:p>
    <w:p w:rsidR="006C145C" w:rsidRDefault="00C62E5A">
      <w:pPr>
        <w:numPr>
          <w:ilvl w:val="2"/>
          <w:numId w:val="5"/>
        </w:numPr>
        <w:spacing w:after="129" w:line="270" w:lineRule="auto"/>
        <w:ind w:right="54" w:hanging="720"/>
        <w:jc w:val="both"/>
      </w:pPr>
      <w:r>
        <w:rPr>
          <w:rFonts w:ascii="Arial" w:eastAsia="Arial" w:hAnsi="Arial" w:cs="Arial"/>
          <w:sz w:val="20"/>
        </w:rPr>
        <w:t xml:space="preserve">que não atendam às condições deste Edital e seu(s) anexo(s); </w:t>
      </w:r>
    </w:p>
    <w:p w:rsidR="006C145C" w:rsidRDefault="00C62E5A">
      <w:pPr>
        <w:numPr>
          <w:ilvl w:val="2"/>
          <w:numId w:val="5"/>
        </w:numPr>
        <w:spacing w:after="129" w:line="270" w:lineRule="auto"/>
        <w:ind w:right="54" w:hanging="720"/>
        <w:jc w:val="both"/>
      </w:pPr>
      <w:r>
        <w:rPr>
          <w:rFonts w:ascii="Arial" w:eastAsia="Arial" w:hAnsi="Arial" w:cs="Arial"/>
          <w:sz w:val="20"/>
        </w:rPr>
        <w:t>estrangeiros que não tenham representação legal no Brasil com poderes expressos para receber citação e responde</w:t>
      </w:r>
      <w:r>
        <w:rPr>
          <w:rFonts w:ascii="Arial" w:eastAsia="Arial" w:hAnsi="Arial" w:cs="Arial"/>
          <w:sz w:val="20"/>
        </w:rPr>
        <w:t xml:space="preserve">r administrativa ou judicialmente; </w:t>
      </w:r>
    </w:p>
    <w:p w:rsidR="006C145C" w:rsidRDefault="00C62E5A">
      <w:pPr>
        <w:numPr>
          <w:ilvl w:val="2"/>
          <w:numId w:val="5"/>
        </w:numPr>
        <w:spacing w:after="129" w:line="270" w:lineRule="auto"/>
        <w:ind w:right="54" w:hanging="720"/>
        <w:jc w:val="both"/>
      </w:pPr>
      <w:r>
        <w:rPr>
          <w:rFonts w:ascii="Arial" w:eastAsia="Arial" w:hAnsi="Arial" w:cs="Arial"/>
          <w:sz w:val="20"/>
        </w:rPr>
        <w:t xml:space="preserve">que se enquadrem nas vedações previstas no artigo 9º da Lei nº 8.666, de 1993; </w:t>
      </w:r>
    </w:p>
    <w:p w:rsidR="006C145C" w:rsidRDefault="00C62E5A">
      <w:pPr>
        <w:numPr>
          <w:ilvl w:val="2"/>
          <w:numId w:val="5"/>
        </w:numPr>
        <w:spacing w:after="129" w:line="270" w:lineRule="auto"/>
        <w:ind w:right="54" w:hanging="720"/>
        <w:jc w:val="both"/>
      </w:pPr>
      <w:r>
        <w:rPr>
          <w:rFonts w:ascii="Arial" w:eastAsia="Arial" w:hAnsi="Arial" w:cs="Arial"/>
          <w:sz w:val="20"/>
        </w:rPr>
        <w:t>que estejam sob falência, recuperação judicial ou extrajudicial, ou concurso de credores ou insolvência, em processo de dissolução ou liquid</w:t>
      </w:r>
      <w:r>
        <w:rPr>
          <w:rFonts w:ascii="Arial" w:eastAsia="Arial" w:hAnsi="Arial" w:cs="Arial"/>
          <w:sz w:val="20"/>
        </w:rPr>
        <w:t xml:space="preserve">ação, observado o disposto no item 00 deste Edital; </w:t>
      </w:r>
    </w:p>
    <w:p w:rsidR="006C145C" w:rsidRDefault="00C62E5A">
      <w:pPr>
        <w:numPr>
          <w:ilvl w:val="2"/>
          <w:numId w:val="5"/>
        </w:numPr>
        <w:spacing w:after="14" w:line="270" w:lineRule="auto"/>
        <w:ind w:right="54" w:hanging="720"/>
        <w:jc w:val="both"/>
      </w:pPr>
      <w:r>
        <w:rPr>
          <w:rFonts w:ascii="Arial" w:eastAsia="Arial" w:hAnsi="Arial" w:cs="Arial"/>
          <w:sz w:val="20"/>
        </w:rPr>
        <w:t xml:space="preserve">entidades empresariais que estejam reunidas em consórcio; </w:t>
      </w:r>
    </w:p>
    <w:p w:rsidR="006C145C" w:rsidRDefault="00C62E5A">
      <w:pPr>
        <w:spacing w:after="165"/>
      </w:pPr>
      <w:r>
        <w:rPr>
          <w:rFonts w:ascii="Arial" w:eastAsia="Arial" w:hAnsi="Arial" w:cs="Arial"/>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67" w:line="249" w:lineRule="auto"/>
        <w:ind w:left="-5" w:right="57" w:hanging="10"/>
        <w:jc w:val="both"/>
      </w:pPr>
      <w:r>
        <w:rPr>
          <w:rFonts w:ascii="Arial" w:eastAsia="Arial" w:hAnsi="Arial" w:cs="Arial"/>
          <w:b/>
          <w:i/>
          <w:sz w:val="20"/>
        </w:rPr>
        <w:t>Nota Explicativa</w:t>
      </w:r>
      <w:r>
        <w:rPr>
          <w:rFonts w:ascii="Arial" w:eastAsia="Arial" w:hAnsi="Arial" w:cs="Arial"/>
          <w:i/>
          <w:sz w:val="20"/>
        </w:rPr>
        <w:t>: O presente edital não prevê as condições de participação de empresas reunidas em consórcio, vez que a experiência prática demonstra que as licitações que permitem essa participação são aquelas que envolvem serviços de grande vulto e/ou de alta complexida</w:t>
      </w:r>
      <w:r>
        <w:rPr>
          <w:rFonts w:ascii="Arial" w:eastAsia="Arial" w:hAnsi="Arial" w:cs="Arial"/>
          <w:i/>
          <w:sz w:val="20"/>
        </w:rPr>
        <w:t xml:space="preserve">de técnica. Como o presente modelo de minuta foi elaborado com foco no dia a dia da Administração, consignou-se a vedação acima.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3" w:line="249" w:lineRule="auto"/>
        <w:ind w:left="-5" w:right="57" w:hanging="10"/>
        <w:jc w:val="both"/>
      </w:pPr>
      <w:r>
        <w:rPr>
          <w:rFonts w:ascii="Arial" w:eastAsia="Arial" w:hAnsi="Arial" w:cs="Arial"/>
          <w:i/>
          <w:sz w:val="20"/>
        </w:rPr>
        <w:t>Note-se que “...a aceitação de consórcios na disputa licitatória situa-se no âmbito do poder discricionário da administração c</w:t>
      </w:r>
      <w:r>
        <w:rPr>
          <w:rFonts w:ascii="Arial" w:eastAsia="Arial" w:hAnsi="Arial" w:cs="Arial"/>
          <w:i/>
          <w:sz w:val="20"/>
        </w:rPr>
        <w:t>ontratante, conforme art. 33, caput, da Lei n. 8.666/1993, requerendose, porém, que sua opção seja sempre previamente justificada no respectivo processo administrativo, conforme entendimento dos Acórdãos de ns. 1.636/2006-P e 566/2006-P” - TCU Ac n. 2869/2</w:t>
      </w:r>
      <w:r>
        <w:rPr>
          <w:rFonts w:ascii="Arial" w:eastAsia="Arial" w:hAnsi="Arial" w:cs="Arial"/>
          <w:i/>
          <w:sz w:val="20"/>
        </w:rPr>
        <w:t xml:space="preserve">012Plenário (Item 1.7.1).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5" w:line="249" w:lineRule="auto"/>
        <w:ind w:left="-5" w:right="57" w:hanging="10"/>
        <w:jc w:val="both"/>
      </w:pPr>
      <w:r>
        <w:rPr>
          <w:rFonts w:ascii="Arial" w:eastAsia="Arial" w:hAnsi="Arial" w:cs="Arial"/>
          <w:i/>
          <w:sz w:val="20"/>
        </w:rPr>
        <w:t>Em todo caso, a Administração deverá fundamentar qualquer opção adotada, vez que “...a vedação de empresas em consórcio, sem que haja justificativa razoável...” pode ser considerada restrição à competitividade do certame (TCU, Ac</w:t>
      </w:r>
      <w:r>
        <w:rPr>
          <w:rFonts w:ascii="Arial" w:eastAsia="Arial" w:hAnsi="Arial" w:cs="Arial"/>
          <w:i/>
          <w:sz w:val="20"/>
        </w:rPr>
        <w:t xml:space="preserve"> n. 963/2011-2ª Câmara, Item 9.2.1).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74" w:line="249" w:lineRule="auto"/>
        <w:ind w:left="-5" w:right="57" w:hanging="10"/>
        <w:jc w:val="both"/>
      </w:pPr>
      <w:r>
        <w:rPr>
          <w:rFonts w:ascii="Arial" w:eastAsia="Arial" w:hAnsi="Arial" w:cs="Arial"/>
          <w:i/>
          <w:sz w:val="20"/>
        </w:rPr>
        <w:t xml:space="preserve">Caso haja a opção pela participação de empresas em consórcio, além da justificativa, a Administração deverá adaptar o presente edital nos termos do art. 33 da Lei n. 8.666/93 e do art. 42 do Decreto n.º 10.024/2019. </w:t>
      </w:r>
    </w:p>
    <w:p w:rsidR="006C145C" w:rsidRDefault="00C62E5A">
      <w:pPr>
        <w:spacing w:after="129" w:line="270" w:lineRule="auto"/>
        <w:ind w:left="2216" w:right="54" w:hanging="720"/>
        <w:jc w:val="both"/>
      </w:pPr>
      <w:r>
        <w:rPr>
          <w:rFonts w:ascii="Arial" w:eastAsia="Arial" w:hAnsi="Arial" w:cs="Arial"/>
          <w:sz w:val="20"/>
        </w:rPr>
        <w:t xml:space="preserve">4.2.7 organizações da Sociedade Civil de Interesse Público - OSCIP, atuando nessa condição (Acórdão nº 746/2014-TCU-Plenário);  </w:t>
      </w:r>
    </w:p>
    <w:p w:rsidR="006C145C" w:rsidRDefault="00C62E5A">
      <w:pPr>
        <w:spacing w:after="129" w:line="270" w:lineRule="auto"/>
        <w:ind w:left="2216" w:right="54" w:hanging="720"/>
        <w:jc w:val="both"/>
      </w:pPr>
      <w:r>
        <w:rPr>
          <w:rFonts w:ascii="Arial" w:eastAsia="Arial" w:hAnsi="Arial" w:cs="Arial"/>
          <w:sz w:val="20"/>
        </w:rPr>
        <w:t xml:space="preserve">4.2.8 instituições sem fins lucrativos (parágrafo único do art. 12 da Instrução Normativa SEGES/MP nº 05/2017); </w:t>
      </w:r>
    </w:p>
    <w:p w:rsidR="006C145C" w:rsidRDefault="00C62E5A">
      <w:pPr>
        <w:spacing w:after="129" w:line="270" w:lineRule="auto"/>
        <w:ind w:left="2965" w:right="54" w:hanging="721"/>
        <w:jc w:val="both"/>
      </w:pPr>
      <w:r>
        <w:rPr>
          <w:rFonts w:ascii="Arial" w:eastAsia="Arial" w:hAnsi="Arial" w:cs="Arial"/>
          <w:sz w:val="20"/>
        </w:rPr>
        <w:t xml:space="preserve">4.2.8.1 </w:t>
      </w:r>
      <w:r>
        <w:rPr>
          <w:rFonts w:ascii="Arial" w:eastAsia="Arial" w:hAnsi="Arial" w:cs="Arial"/>
          <w:sz w:val="20"/>
        </w:rPr>
        <w:t>É admissível a participação de organizações sociais, qualificadas na forma dos arts. 5º a 7º da Lei 9.637/1998, desde que os serviços objeto desta licitação se insiram entre as atividades previstas no contrato de gestão firmado entre o Poder Público e a or</w:t>
      </w:r>
      <w:r>
        <w:rPr>
          <w:rFonts w:ascii="Arial" w:eastAsia="Arial" w:hAnsi="Arial" w:cs="Arial"/>
          <w:sz w:val="20"/>
        </w:rPr>
        <w:t xml:space="preserve">ganização social (Acórdão nº 1.406/2017- TCU-Plenário), mediante apresentação do Contrato de Gestão e dos respectivos atos constitutivos. </w:t>
      </w:r>
    </w:p>
    <w:p w:rsidR="006C145C" w:rsidRDefault="00C62E5A">
      <w:pPr>
        <w:spacing w:after="130" w:line="270" w:lineRule="auto"/>
        <w:ind w:left="2216" w:right="58" w:hanging="721"/>
        <w:jc w:val="both"/>
      </w:pPr>
      <w:r>
        <w:rPr>
          <w:rFonts w:ascii="Arial" w:eastAsia="Arial" w:hAnsi="Arial" w:cs="Arial"/>
          <w:i/>
          <w:color w:val="FF0000"/>
          <w:sz w:val="20"/>
        </w:rPr>
        <w:t>4.2.9 sociedades cooperativas, considerando a vedação contida no art. 10 da Instrução Normativa SEGES/MP nº 5, de 201</w:t>
      </w:r>
      <w:r>
        <w:rPr>
          <w:rFonts w:ascii="Arial" w:eastAsia="Arial" w:hAnsi="Arial" w:cs="Arial"/>
          <w:i/>
          <w:color w:val="FF0000"/>
          <w:sz w:val="20"/>
        </w:rPr>
        <w:t xml:space="preserve">7, bem como o disposto no Termo de Conciliação firmado entre o Ministério Público do Trabalho e a AGU. </w:t>
      </w:r>
    </w:p>
    <w:p w:rsidR="006C145C" w:rsidRDefault="00C62E5A">
      <w:pPr>
        <w:pStyle w:val="Ttulo2"/>
        <w:spacing w:after="139" w:line="259" w:lineRule="auto"/>
        <w:ind w:left="10" w:right="58"/>
      </w:pPr>
      <w:r>
        <w:rPr>
          <w:color w:val="FF0000"/>
          <w:u w:val="single" w:color="FF0000"/>
        </w:rPr>
        <w:t>OU</w:t>
      </w:r>
      <w:r>
        <w:rPr>
          <w:color w:val="FF0000"/>
        </w:rPr>
        <w:t xml:space="preserve"> </w:t>
      </w:r>
    </w:p>
    <w:p w:rsidR="006C145C" w:rsidRDefault="00C62E5A">
      <w:pPr>
        <w:spacing w:after="127" w:line="269" w:lineRule="auto"/>
        <w:ind w:left="1114" w:right="48" w:hanging="406"/>
        <w:jc w:val="both"/>
      </w:pPr>
      <w:r>
        <w:rPr>
          <w:rFonts w:ascii="Arial" w:eastAsia="Arial" w:hAnsi="Arial" w:cs="Arial"/>
          <w:i/>
          <w:color w:val="FF0000"/>
          <w:sz w:val="20"/>
          <w:shd w:val="clear" w:color="auto" w:fill="00FF00"/>
        </w:rPr>
        <w:t>4.3 Será permitida a participação de cooperativas, desde que apresentem modelo de gestão</w:t>
      </w:r>
      <w:r>
        <w:rPr>
          <w:rFonts w:ascii="Arial" w:eastAsia="Arial" w:hAnsi="Arial" w:cs="Arial"/>
          <w:i/>
          <w:color w:val="FF0000"/>
          <w:sz w:val="20"/>
        </w:rPr>
        <w:t xml:space="preserve"> </w:t>
      </w:r>
      <w:r>
        <w:rPr>
          <w:rFonts w:ascii="Arial" w:eastAsia="Arial" w:hAnsi="Arial" w:cs="Arial"/>
          <w:i/>
          <w:color w:val="FF0000"/>
          <w:sz w:val="20"/>
          <w:shd w:val="clear" w:color="auto" w:fill="00FF00"/>
        </w:rPr>
        <w:t>operacional adequado ao objeto desta licitação, com compart</w:t>
      </w:r>
      <w:r>
        <w:rPr>
          <w:rFonts w:ascii="Arial" w:eastAsia="Arial" w:hAnsi="Arial" w:cs="Arial"/>
          <w:i/>
          <w:color w:val="FF0000"/>
          <w:sz w:val="20"/>
          <w:shd w:val="clear" w:color="auto" w:fill="00FF00"/>
        </w:rPr>
        <w:t>ilhamento ou rodízio das</w:t>
      </w:r>
      <w:r>
        <w:rPr>
          <w:rFonts w:ascii="Arial" w:eastAsia="Arial" w:hAnsi="Arial" w:cs="Arial"/>
          <w:i/>
          <w:color w:val="FF0000"/>
          <w:sz w:val="20"/>
        </w:rPr>
        <w:t xml:space="preserve"> </w:t>
      </w:r>
      <w:r>
        <w:rPr>
          <w:rFonts w:ascii="Arial" w:eastAsia="Arial" w:hAnsi="Arial" w:cs="Arial"/>
          <w:i/>
          <w:color w:val="FF0000"/>
          <w:sz w:val="20"/>
          <w:shd w:val="clear" w:color="auto" w:fill="00FF00"/>
        </w:rPr>
        <w:t>atividades de coordenação e supervisão da execução dos serviços, e desde que os</w:t>
      </w:r>
      <w:r>
        <w:rPr>
          <w:rFonts w:ascii="Arial" w:eastAsia="Arial" w:hAnsi="Arial" w:cs="Arial"/>
          <w:i/>
          <w:color w:val="FF0000"/>
          <w:sz w:val="20"/>
        </w:rPr>
        <w:t xml:space="preserve"> </w:t>
      </w:r>
      <w:r>
        <w:rPr>
          <w:rFonts w:ascii="Arial" w:eastAsia="Arial" w:hAnsi="Arial" w:cs="Arial"/>
          <w:i/>
          <w:color w:val="FF0000"/>
          <w:sz w:val="20"/>
          <w:shd w:val="clear" w:color="auto" w:fill="00FF00"/>
        </w:rPr>
        <w:t>serviços contratados sejam executados obrigatoriamente pelos cooperados, vedando-se</w:t>
      </w:r>
      <w:r>
        <w:rPr>
          <w:rFonts w:ascii="Arial" w:eastAsia="Arial" w:hAnsi="Arial" w:cs="Arial"/>
          <w:i/>
          <w:color w:val="FF0000"/>
          <w:sz w:val="20"/>
        </w:rPr>
        <w:t xml:space="preserve"> </w:t>
      </w:r>
      <w:r>
        <w:rPr>
          <w:rFonts w:ascii="Arial" w:eastAsia="Arial" w:hAnsi="Arial" w:cs="Arial"/>
          <w:i/>
          <w:color w:val="FF0000"/>
          <w:sz w:val="20"/>
          <w:shd w:val="clear" w:color="auto" w:fill="00FF00"/>
        </w:rPr>
        <w:t>qualquer intermediação ou subcontratação.</w:t>
      </w:r>
      <w:r>
        <w:rPr>
          <w:rFonts w:ascii="Arial" w:eastAsia="Arial" w:hAnsi="Arial" w:cs="Arial"/>
          <w:i/>
          <w:color w:val="FF0000"/>
          <w:sz w:val="20"/>
        </w:rPr>
        <w:t xml:space="preserve"> </w:t>
      </w:r>
    </w:p>
    <w:p w:rsidR="006C145C" w:rsidRDefault="00C62E5A">
      <w:pPr>
        <w:spacing w:after="127" w:line="269" w:lineRule="auto"/>
        <w:ind w:left="2266" w:right="48" w:hanging="721"/>
        <w:jc w:val="both"/>
      </w:pPr>
      <w:r>
        <w:rPr>
          <w:rFonts w:ascii="Arial" w:eastAsia="Arial" w:hAnsi="Arial" w:cs="Arial"/>
          <w:i/>
          <w:color w:val="FF0000"/>
          <w:sz w:val="20"/>
          <w:shd w:val="clear" w:color="auto" w:fill="00FF00"/>
        </w:rPr>
        <w:t xml:space="preserve">4.3.1 </w:t>
      </w:r>
      <w:r>
        <w:rPr>
          <w:rFonts w:ascii="Arial" w:eastAsia="Arial" w:hAnsi="Arial" w:cs="Arial"/>
          <w:i/>
          <w:color w:val="FF0000"/>
          <w:sz w:val="20"/>
          <w:shd w:val="clear" w:color="auto" w:fill="00FF00"/>
        </w:rPr>
        <w:t>Em sendo permitida a participação de cooperativas, serão estendidas a elas</w:t>
      </w:r>
      <w:r>
        <w:rPr>
          <w:rFonts w:ascii="Arial" w:eastAsia="Arial" w:hAnsi="Arial" w:cs="Arial"/>
          <w:i/>
          <w:color w:val="FF0000"/>
          <w:sz w:val="20"/>
        </w:rPr>
        <w:t xml:space="preserve"> </w:t>
      </w:r>
      <w:r>
        <w:rPr>
          <w:rFonts w:ascii="Arial" w:eastAsia="Arial" w:hAnsi="Arial" w:cs="Arial"/>
          <w:i/>
          <w:color w:val="FF0000"/>
          <w:sz w:val="20"/>
          <w:shd w:val="clear" w:color="auto" w:fill="00FF00"/>
        </w:rPr>
        <w:t>os benefícios previstos para as microempresas e empresas de pequeno porte</w:t>
      </w:r>
      <w:r>
        <w:rPr>
          <w:rFonts w:ascii="Arial" w:eastAsia="Arial" w:hAnsi="Arial" w:cs="Arial"/>
          <w:i/>
          <w:color w:val="FF0000"/>
          <w:sz w:val="20"/>
        </w:rPr>
        <w:t xml:space="preserve"> </w:t>
      </w:r>
      <w:r>
        <w:rPr>
          <w:rFonts w:ascii="Arial" w:eastAsia="Arial" w:hAnsi="Arial" w:cs="Arial"/>
          <w:i/>
          <w:color w:val="FF0000"/>
          <w:sz w:val="20"/>
          <w:shd w:val="clear" w:color="auto" w:fill="00FF00"/>
        </w:rPr>
        <w:lastRenderedPageBreak/>
        <w:t>quando elas atenderem ao disposto no art. 34 da Lei nº 11.488, de 15 de junho</w:t>
      </w:r>
      <w:r>
        <w:rPr>
          <w:rFonts w:ascii="Arial" w:eastAsia="Arial" w:hAnsi="Arial" w:cs="Arial"/>
          <w:i/>
          <w:color w:val="FF0000"/>
          <w:sz w:val="20"/>
        </w:rPr>
        <w:t xml:space="preserve"> </w:t>
      </w:r>
      <w:r>
        <w:rPr>
          <w:rFonts w:ascii="Arial" w:eastAsia="Arial" w:hAnsi="Arial" w:cs="Arial"/>
          <w:i/>
          <w:color w:val="FF0000"/>
          <w:sz w:val="20"/>
          <w:shd w:val="clear" w:color="auto" w:fill="00FF00"/>
        </w:rPr>
        <w:t>de 2007.</w:t>
      </w:r>
      <w:r>
        <w:rPr>
          <w:rFonts w:ascii="Arial" w:eastAsia="Arial" w:hAnsi="Arial" w:cs="Arial"/>
          <w:i/>
          <w:color w:val="FF0000"/>
          <w:sz w:val="20"/>
        </w:rPr>
        <w:t xml:space="preserve"> </w:t>
      </w:r>
    </w:p>
    <w:p w:rsidR="006C145C" w:rsidRDefault="00C62E5A">
      <w:pPr>
        <w:spacing w:after="129"/>
      </w:pPr>
      <w:r>
        <w:rPr>
          <w:rFonts w:ascii="Arial" w:eastAsia="Arial" w:hAnsi="Arial" w:cs="Arial"/>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b/>
          <w:i/>
          <w:sz w:val="20"/>
        </w:rPr>
        <w:t>Nota explicativa</w:t>
      </w:r>
      <w:r>
        <w:rPr>
          <w:rFonts w:ascii="Arial" w:eastAsia="Arial" w:hAnsi="Arial" w:cs="Arial"/>
          <w:i/>
          <w:sz w:val="20"/>
        </w:rPr>
        <w:t>:</w:t>
      </w:r>
      <w:r>
        <w:rPr>
          <w:rFonts w:ascii="Arial" w:eastAsia="Arial" w:hAnsi="Arial" w:cs="Arial"/>
          <w:i/>
          <w:sz w:val="20"/>
        </w:rPr>
        <w:t xml:space="preserve"> Utilizar o subitem 4.2.9, se não for possível a participação de cooperativas. Caso contrário, utilizar o subitem 4.3 e 4.3.1. Atentar para a necessidade de renumerar os itens abaixo se for usado o subitem 4.3 acima.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Oportuno destacar que a proibição da p</w:t>
      </w:r>
      <w:r>
        <w:rPr>
          <w:rFonts w:ascii="Arial" w:eastAsia="Arial" w:hAnsi="Arial" w:cs="Arial"/>
          <w:i/>
          <w:sz w:val="20"/>
        </w:rPr>
        <w:t xml:space="preserve">articipação de sociedades cooperativas na contratação de serviços continuados com disponibilização de mão de obra é a regra.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O Termo de Conciliação Judicial firmado entre a AGU e o MPT nos autos do processo 01082-2002020-10-00-0, da 20ª Vara do Trabalho d</w:t>
      </w:r>
      <w:r>
        <w:rPr>
          <w:rFonts w:ascii="Arial" w:eastAsia="Arial" w:hAnsi="Arial" w:cs="Arial"/>
          <w:i/>
          <w:sz w:val="20"/>
        </w:rPr>
        <w:t>e Brasília, enumera alguns serviços em que a contratação destas é vedada. Nos termos da Cláusula Primeira do Termo de Conciliação firmado entre o Ministério Público do Trabalho e a AGU, a União deverá ser abster de contratar, por meio de cooperativas de mã</w:t>
      </w:r>
      <w:r>
        <w:rPr>
          <w:rFonts w:ascii="Arial" w:eastAsia="Arial" w:hAnsi="Arial" w:cs="Arial"/>
          <w:i/>
          <w:sz w:val="20"/>
        </w:rPr>
        <w:t>o de obra para a prestação de serviços terceirizados, sendo eles: a) limpeza; b) conservação; c) de segurança, de vigilância e de portaria; d) recepção; e) copeiragem; f) reprografia; g) telefonia; h) manutenção de prédios, de equipamentos, de veículos e d</w:t>
      </w:r>
      <w:r>
        <w:rPr>
          <w:rFonts w:ascii="Arial" w:eastAsia="Arial" w:hAnsi="Arial" w:cs="Arial"/>
          <w:i/>
          <w:sz w:val="20"/>
        </w:rPr>
        <w:t>e instalações; i) serviços de secretariado e secretariado executivo; j) auxiliar de escritório; k) auxiliar administrativo;  l) office boy (contínuo); m) de digitação; n) de assessoria de imprensa e de relações públicas; o) motorista, no caso de os veículo</w:t>
      </w:r>
      <w:r>
        <w:rPr>
          <w:rFonts w:ascii="Arial" w:eastAsia="Arial" w:hAnsi="Arial" w:cs="Arial"/>
          <w:i/>
          <w:sz w:val="20"/>
        </w:rPr>
        <w:t xml:space="preserve">s serem fornecidos pelo próprio órgão licitante; p) ascensorista; q) enfermagem; e r) serviços de agentes comunitários de saúde.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Não estando o serviço pretendido nesta lista, o órgão ou entidade licitante deve analisar com cautela suas característi</w:t>
      </w:r>
      <w:r>
        <w:rPr>
          <w:rFonts w:ascii="Arial" w:eastAsia="Arial" w:hAnsi="Arial" w:cs="Arial"/>
          <w:i/>
          <w:sz w:val="20"/>
        </w:rPr>
        <w:t>cas, especialmente quanto às diversas obrigações dos trabalhadores que executarão os serviços, para verificar se, no caso concreto, as tarefas são passíveis de execução com autonomia pelos cooperados, sem relação de subordinação e habitualidade, seja entre</w:t>
      </w:r>
      <w:r>
        <w:rPr>
          <w:rFonts w:ascii="Arial" w:eastAsia="Arial" w:hAnsi="Arial" w:cs="Arial"/>
          <w:i/>
          <w:sz w:val="20"/>
        </w:rPr>
        <w:t xml:space="preserve"> a sociedade cooperativa e os cooperados, seja entre estes e a Administração, nos termos do artigo 10 da Instrução Normativa SEGES/MP n° 5, de 2017. No caso de possibilidade de participação de cooperativas observar os requisitos de habilitação previstos no</w:t>
      </w:r>
      <w:r>
        <w:rPr>
          <w:rFonts w:ascii="Arial" w:eastAsia="Arial" w:hAnsi="Arial" w:cs="Arial"/>
          <w:i/>
          <w:sz w:val="20"/>
        </w:rPr>
        <w:t xml:space="preserve"> item 10.5 do Anexo VII-A da IN SEGES/MP n. 5, de 2017.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28" w:line="249" w:lineRule="auto"/>
        <w:ind w:left="-5" w:right="57" w:hanging="10"/>
        <w:jc w:val="both"/>
      </w:pPr>
      <w:r>
        <w:rPr>
          <w:rFonts w:ascii="Arial" w:eastAsia="Arial" w:hAnsi="Arial" w:cs="Arial"/>
          <w:i/>
          <w:sz w:val="20"/>
        </w:rPr>
        <w:t xml:space="preserve">Lembramos que, caso seja permita a participação de sociedades cooperativas, as demais disposições do Edital deverão ser adaptadas a esta nova condição, mantendo-se, inclusive, a referência à Lei nº </w:t>
      </w:r>
      <w:r>
        <w:rPr>
          <w:rFonts w:ascii="Arial" w:eastAsia="Arial" w:hAnsi="Arial" w:cs="Arial"/>
          <w:i/>
          <w:sz w:val="20"/>
        </w:rPr>
        <w:t xml:space="preserve">11.488, de 15 de junho de 2007, constante no preâmbulo deste Edital. </w:t>
      </w:r>
    </w:p>
    <w:p w:rsidR="006C145C" w:rsidRDefault="00C62E5A">
      <w:pPr>
        <w:spacing w:after="103"/>
      </w:pPr>
      <w:r>
        <w:rPr>
          <w:rFonts w:ascii="Arial" w:eastAsia="Arial" w:hAnsi="Arial" w:cs="Arial"/>
          <w:sz w:val="20"/>
        </w:rPr>
        <w:t xml:space="preserve"> </w:t>
      </w:r>
    </w:p>
    <w:p w:rsidR="006C145C" w:rsidRDefault="00C62E5A">
      <w:pPr>
        <w:spacing w:after="129" w:line="270" w:lineRule="auto"/>
        <w:ind w:left="433" w:right="54" w:hanging="8"/>
        <w:jc w:val="both"/>
      </w:pPr>
      <w:r>
        <w:rPr>
          <w:rFonts w:ascii="Arial" w:eastAsia="Arial" w:hAnsi="Arial" w:cs="Arial"/>
          <w:sz w:val="20"/>
        </w:rPr>
        <w:t xml:space="preserve">4.3. Nos termos do art. 5º do Decreto nº 9.507, de 2018, é vedada a contratação de pessoa jurídica na qual haja administrador ou sócio com poder de direção, familiar de: </w:t>
      </w:r>
    </w:p>
    <w:p w:rsidR="006C145C" w:rsidRDefault="00C62E5A">
      <w:pPr>
        <w:numPr>
          <w:ilvl w:val="3"/>
          <w:numId w:val="6"/>
        </w:numPr>
        <w:spacing w:after="129" w:line="270" w:lineRule="auto"/>
        <w:ind w:right="54" w:hanging="286"/>
        <w:jc w:val="both"/>
      </w:pPr>
      <w:r>
        <w:rPr>
          <w:rFonts w:ascii="Arial" w:eastAsia="Arial" w:hAnsi="Arial" w:cs="Arial"/>
          <w:sz w:val="20"/>
        </w:rPr>
        <w:t>detentor de cargo em comissão ou função de confiança que atue na área responsável pela demanda ou contratação; ou</w:t>
      </w:r>
      <w:r>
        <w:rPr>
          <w:rFonts w:ascii="Arial" w:eastAsia="Arial" w:hAnsi="Arial" w:cs="Arial"/>
          <w:color w:val="003366"/>
          <w:sz w:val="20"/>
        </w:rPr>
        <w:t xml:space="preserve"> </w:t>
      </w:r>
    </w:p>
    <w:p w:rsidR="006C145C" w:rsidRDefault="00C62E5A">
      <w:pPr>
        <w:numPr>
          <w:ilvl w:val="3"/>
          <w:numId w:val="6"/>
        </w:numPr>
        <w:spacing w:after="129" w:line="270" w:lineRule="auto"/>
        <w:ind w:right="54" w:hanging="286"/>
        <w:jc w:val="both"/>
      </w:pPr>
      <w:r>
        <w:rPr>
          <w:rFonts w:ascii="Arial" w:eastAsia="Arial" w:hAnsi="Arial" w:cs="Arial"/>
          <w:sz w:val="20"/>
        </w:rPr>
        <w:t>de autoridade hierarquicamente superior no âmbito do órgão contratante.</w:t>
      </w:r>
      <w:r>
        <w:rPr>
          <w:rFonts w:ascii="Arial" w:eastAsia="Arial" w:hAnsi="Arial" w:cs="Arial"/>
          <w:color w:val="003366"/>
          <w:sz w:val="20"/>
        </w:rPr>
        <w:t xml:space="preserve"> </w:t>
      </w:r>
    </w:p>
    <w:p w:rsidR="006C145C" w:rsidRDefault="00C62E5A">
      <w:pPr>
        <w:spacing w:after="129" w:line="270" w:lineRule="auto"/>
        <w:ind w:left="2142" w:right="54" w:hanging="721"/>
        <w:jc w:val="both"/>
      </w:pPr>
      <w:r>
        <w:rPr>
          <w:rFonts w:ascii="Arial" w:eastAsia="Arial" w:hAnsi="Arial" w:cs="Arial"/>
          <w:sz w:val="20"/>
        </w:rPr>
        <w:t>4.3.1 Para os fins do disposto neste item</w:t>
      </w:r>
      <w:r>
        <w:rPr>
          <w:rFonts w:ascii="Arial" w:eastAsia="Arial" w:hAnsi="Arial" w:cs="Arial"/>
          <w:i/>
          <w:sz w:val="20"/>
        </w:rPr>
        <w:t>,</w:t>
      </w:r>
      <w:r>
        <w:rPr>
          <w:rFonts w:ascii="Arial" w:eastAsia="Arial" w:hAnsi="Arial" w:cs="Arial"/>
          <w:sz w:val="20"/>
        </w:rPr>
        <w:t xml:space="preserve"> considera-se familiar o c</w:t>
      </w:r>
      <w:r>
        <w:rPr>
          <w:rFonts w:ascii="Arial" w:eastAsia="Arial" w:hAnsi="Arial" w:cs="Arial"/>
          <w:sz w:val="20"/>
        </w:rPr>
        <w:t xml:space="preserve">ônjuge, o companheiro ou o parente em linha reta ou colateral, por consanguinidade ou afinidade, até o terceiro grau (Súmula Vinculante/STF nº 13, art. 5º, inciso V, </w:t>
      </w:r>
    </w:p>
    <w:p w:rsidR="006C145C" w:rsidRDefault="00C62E5A">
      <w:pPr>
        <w:spacing w:after="129" w:line="270" w:lineRule="auto"/>
        <w:ind w:left="2149" w:right="54" w:hanging="8"/>
        <w:jc w:val="both"/>
      </w:pPr>
      <w:r>
        <w:rPr>
          <w:rFonts w:ascii="Arial" w:eastAsia="Arial" w:hAnsi="Arial" w:cs="Arial"/>
          <w:sz w:val="20"/>
        </w:rPr>
        <w:t>da Lei nº 12.813, de 16 de maio de 2013 e art. 2º, inciso III, do Decreto n.º 7.203, de 0</w:t>
      </w:r>
      <w:r>
        <w:rPr>
          <w:rFonts w:ascii="Arial" w:eastAsia="Arial" w:hAnsi="Arial" w:cs="Arial"/>
          <w:sz w:val="20"/>
        </w:rPr>
        <w:t xml:space="preserve">4 de junho de 2010); </w:t>
      </w:r>
      <w:r>
        <w:rPr>
          <w:rFonts w:ascii="Arial" w:eastAsia="Arial" w:hAnsi="Arial" w:cs="Arial"/>
          <w:color w:val="003366"/>
          <w:sz w:val="20"/>
        </w:rPr>
        <w:t xml:space="preserve"> </w:t>
      </w:r>
    </w:p>
    <w:p w:rsidR="006C145C" w:rsidRDefault="00C62E5A">
      <w:pPr>
        <w:spacing w:after="129" w:line="270" w:lineRule="auto"/>
        <w:ind w:left="433" w:right="54" w:hanging="8"/>
        <w:jc w:val="both"/>
      </w:pPr>
      <w:r>
        <w:rPr>
          <w:rFonts w:ascii="Arial" w:eastAsia="Arial" w:hAnsi="Arial" w:cs="Arial"/>
          <w:sz w:val="20"/>
        </w:rPr>
        <w:t xml:space="preserve">4.4. </w:t>
      </w:r>
      <w:r>
        <w:rPr>
          <w:rFonts w:ascii="Arial" w:eastAsia="Arial" w:hAnsi="Arial" w:cs="Arial"/>
          <w:sz w:val="20"/>
        </w:rPr>
        <w:t xml:space="preserve">Nos termos do art. 7° do Decreto n° 7.203, de 2010, é vedada, ainda, a utilização, na execução dos serviços contratados, de empregado da futura Contratada que seja familiar de agente público ocupante de cargo em comissão ou função de confiança neste órgão </w:t>
      </w:r>
      <w:r>
        <w:rPr>
          <w:rFonts w:ascii="Arial" w:eastAsia="Arial" w:hAnsi="Arial" w:cs="Arial"/>
          <w:sz w:val="20"/>
        </w:rPr>
        <w:t xml:space="preserve">contratante. </w:t>
      </w:r>
    </w:p>
    <w:p w:rsidR="006C145C" w:rsidRDefault="00C62E5A">
      <w:pPr>
        <w:spacing w:after="129" w:line="270" w:lineRule="auto"/>
        <w:ind w:left="433" w:right="54" w:hanging="8"/>
        <w:jc w:val="both"/>
      </w:pPr>
      <w:r>
        <w:rPr>
          <w:rFonts w:ascii="Arial" w:eastAsia="Arial" w:hAnsi="Arial" w:cs="Arial"/>
          <w:sz w:val="20"/>
        </w:rPr>
        <w:t>4.5. É vedada a contratação de uma mesma empresa para dois ou mais serviços licitados, quando, por sua natureza, esses serviços exigirem a segregação de funções, tais como serviços de execução e de assistência à fiscalização, assegurando a po</w:t>
      </w:r>
      <w:r>
        <w:rPr>
          <w:rFonts w:ascii="Arial" w:eastAsia="Arial" w:hAnsi="Arial" w:cs="Arial"/>
          <w:sz w:val="20"/>
        </w:rPr>
        <w:t xml:space="preserve">ssibilidade de participação de todos licitantes em ambos os itens e seguindo-se a ordem de adjudicação entre eles </w:t>
      </w:r>
      <w:r>
        <w:rPr>
          <w:rFonts w:ascii="Arial" w:eastAsia="Arial" w:hAnsi="Arial" w:cs="Arial"/>
          <w:color w:val="FF0000"/>
          <w:sz w:val="20"/>
        </w:rPr>
        <w:t>(ou lotes/grupos)</w:t>
      </w:r>
      <w:r>
        <w:rPr>
          <w:rFonts w:ascii="Arial" w:eastAsia="Arial" w:hAnsi="Arial" w:cs="Arial"/>
          <w:i/>
          <w:color w:val="FF0000"/>
          <w:sz w:val="20"/>
        </w:rPr>
        <w:t>,</w:t>
      </w:r>
      <w:r>
        <w:rPr>
          <w:rFonts w:ascii="Arial" w:eastAsia="Arial" w:hAnsi="Arial" w:cs="Arial"/>
          <w:i/>
          <w:sz w:val="20"/>
        </w:rPr>
        <w:t xml:space="preserve"> </w:t>
      </w:r>
      <w:r>
        <w:rPr>
          <w:rFonts w:ascii="Arial" w:eastAsia="Arial" w:hAnsi="Arial" w:cs="Arial"/>
          <w:sz w:val="20"/>
        </w:rPr>
        <w:t xml:space="preserve">indicada no subitem seguinte; </w:t>
      </w:r>
    </w:p>
    <w:p w:rsidR="006C145C" w:rsidRDefault="00C62E5A">
      <w:pPr>
        <w:spacing w:line="270" w:lineRule="auto"/>
        <w:ind w:left="420" w:right="58" w:hanging="10"/>
        <w:jc w:val="both"/>
      </w:pPr>
      <w:r>
        <w:rPr>
          <w:rFonts w:ascii="Arial" w:eastAsia="Arial" w:hAnsi="Arial" w:cs="Arial"/>
          <w:sz w:val="20"/>
        </w:rPr>
        <w:t xml:space="preserve">4.5.1. </w:t>
      </w:r>
      <w:r>
        <w:rPr>
          <w:rFonts w:ascii="Arial" w:eastAsia="Arial" w:hAnsi="Arial" w:cs="Arial"/>
          <w:i/>
          <w:color w:val="FF0000"/>
          <w:sz w:val="20"/>
        </w:rPr>
        <w:t>(indicar a ordem de adjudicação)</w:t>
      </w:r>
      <w:r>
        <w:rPr>
          <w:rFonts w:ascii="Arial" w:eastAsia="Arial" w:hAnsi="Arial" w:cs="Arial"/>
          <w:i/>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205" w:line="249" w:lineRule="auto"/>
        <w:ind w:left="-5" w:right="57" w:hanging="10"/>
        <w:jc w:val="both"/>
      </w:pPr>
      <w:r>
        <w:rPr>
          <w:rFonts w:ascii="Arial" w:eastAsia="Arial" w:hAnsi="Arial" w:cs="Arial"/>
          <w:b/>
          <w:i/>
          <w:sz w:val="20"/>
        </w:rPr>
        <w:lastRenderedPageBreak/>
        <w:t>Nota explicativa</w:t>
      </w:r>
      <w:r>
        <w:rPr>
          <w:rFonts w:ascii="Arial" w:eastAsia="Arial" w:hAnsi="Arial" w:cs="Arial"/>
          <w:i/>
          <w:sz w:val="20"/>
        </w:rPr>
        <w:t>: Caso sejam licitados serviços que</w:t>
      </w:r>
      <w:r>
        <w:rPr>
          <w:rFonts w:ascii="Arial" w:eastAsia="Arial" w:hAnsi="Arial" w:cs="Arial"/>
          <w:i/>
          <w:sz w:val="20"/>
        </w:rPr>
        <w:t xml:space="preserve"> exijam segregação de funções, o que não se recomenda que seja efetuado no mesmo procedimento licitatório, caberá ao gestor estabelecer a ordem de adjudicação que será adotada na hipótese de o mesmo licitante apresentar a melhor proposta para itens que não</w:t>
      </w:r>
      <w:r>
        <w:rPr>
          <w:rFonts w:ascii="Arial" w:eastAsia="Arial" w:hAnsi="Arial" w:cs="Arial"/>
          <w:i/>
          <w:sz w:val="20"/>
        </w:rPr>
        <w:t xml:space="preserve"> possam ser executados pela mesma empresa (por força da necessária segregação de funções). Por isso, cabe ao gestor analisar a natureza do serviço e examiná-la com base no artigo 31 da IN 05/2017 e item 3.2 do Anexo VII-A.</w:t>
      </w:r>
      <w:r>
        <w:rPr>
          <w:rFonts w:ascii="Arial" w:eastAsia="Arial" w:hAnsi="Arial" w:cs="Arial"/>
          <w:sz w:val="20"/>
        </w:rPr>
        <w:t xml:space="preserve">  </w:t>
      </w:r>
    </w:p>
    <w:p w:rsidR="006C145C" w:rsidRDefault="00C62E5A">
      <w:pPr>
        <w:spacing w:after="129" w:line="270" w:lineRule="auto"/>
        <w:ind w:left="433" w:right="54" w:hanging="8"/>
        <w:jc w:val="both"/>
      </w:pPr>
      <w:r>
        <w:rPr>
          <w:rFonts w:ascii="Arial" w:eastAsia="Arial" w:hAnsi="Arial" w:cs="Arial"/>
          <w:sz w:val="20"/>
        </w:rPr>
        <w:t xml:space="preserve">4.6. </w:t>
      </w:r>
      <w:r>
        <w:rPr>
          <w:rFonts w:ascii="Arial" w:eastAsia="Arial" w:hAnsi="Arial" w:cs="Arial"/>
          <w:sz w:val="20"/>
        </w:rPr>
        <w:t xml:space="preserve">Como condição para participação no Pregão, o licitante assinalará “sim” ou “não” em campo próprio do sistema eletrônico, relativo às seguintes declarações:  </w:t>
      </w:r>
    </w:p>
    <w:p w:rsidR="006C145C" w:rsidRDefault="00C62E5A">
      <w:pPr>
        <w:spacing w:after="5" w:line="270" w:lineRule="auto"/>
        <w:ind w:left="1923" w:right="54" w:hanging="504"/>
        <w:jc w:val="both"/>
      </w:pPr>
      <w:r>
        <w:rPr>
          <w:rFonts w:ascii="Arial" w:eastAsia="Arial" w:hAnsi="Arial" w:cs="Arial"/>
          <w:sz w:val="20"/>
        </w:rPr>
        <w:t>4.6.1 que cumpre os requisitos estabelecidos no artigo 3° da Lei Complementar nº 123, de 2006, est</w:t>
      </w:r>
      <w:r>
        <w:rPr>
          <w:rFonts w:ascii="Arial" w:eastAsia="Arial" w:hAnsi="Arial" w:cs="Arial"/>
          <w:sz w:val="20"/>
        </w:rPr>
        <w:t xml:space="preserve">ando apto a usufruir do tratamento favorecido estabelecido em seus arts. 42 a 49. </w:t>
      </w:r>
    </w:p>
    <w:p w:rsidR="006C145C" w:rsidRDefault="00C62E5A">
      <w:pPr>
        <w:spacing w:after="6" w:line="270" w:lineRule="auto"/>
        <w:ind w:left="2276" w:right="54" w:hanging="8"/>
        <w:jc w:val="both"/>
      </w:pPr>
      <w:r>
        <w:rPr>
          <w:rFonts w:ascii="Arial" w:eastAsia="Arial" w:hAnsi="Arial" w:cs="Arial"/>
          <w:sz w:val="20"/>
        </w:rPr>
        <w:t xml:space="preserve">4.6.1.1. nos itens exclusivos para participação de microempresas e empresas de pequeno porte, a assinalação do campo “não” impedirá o prosseguimento no certame; </w:t>
      </w:r>
    </w:p>
    <w:p w:rsidR="006C145C" w:rsidRDefault="00C62E5A">
      <w:pPr>
        <w:spacing w:after="6" w:line="270" w:lineRule="auto"/>
        <w:ind w:left="2276" w:right="54" w:hanging="8"/>
        <w:jc w:val="both"/>
      </w:pPr>
      <w:r>
        <w:rPr>
          <w:rFonts w:ascii="Arial" w:eastAsia="Arial" w:hAnsi="Arial" w:cs="Arial"/>
          <w:sz w:val="20"/>
        </w:rPr>
        <w:t>4.6.1.2. no</w:t>
      </w:r>
      <w:r>
        <w:rPr>
          <w:rFonts w:ascii="Arial" w:eastAsia="Arial" w:hAnsi="Arial" w:cs="Arial"/>
          <w:sz w:val="20"/>
        </w:rPr>
        <w:t>s itens em que a participação não for exclusiva para microempresas e empresas de pequeno porte, a assinalação do campo “não” apenas produzirá o efeito de o licitante não ter direito ao tratamento favorecido previsto na Lei Complementar nº 123, de 2006, mes</w:t>
      </w:r>
      <w:r>
        <w:rPr>
          <w:rFonts w:ascii="Arial" w:eastAsia="Arial" w:hAnsi="Arial" w:cs="Arial"/>
          <w:sz w:val="20"/>
        </w:rPr>
        <w:t xml:space="preserve">mo que microempresa, empresa de pequeno porte ou sociedade cooperativa. </w:t>
      </w:r>
    </w:p>
    <w:p w:rsidR="006C145C" w:rsidRDefault="00C62E5A">
      <w:pPr>
        <w:spacing w:after="17"/>
        <w:ind w:left="2268"/>
      </w:pPr>
      <w:r>
        <w:rPr>
          <w:rFonts w:ascii="Arial" w:eastAsia="Arial" w:hAnsi="Arial" w:cs="Arial"/>
          <w:sz w:val="20"/>
        </w:rPr>
        <w:t xml:space="preserve"> </w:t>
      </w:r>
    </w:p>
    <w:p w:rsidR="006C145C" w:rsidRDefault="00C62E5A">
      <w:pPr>
        <w:spacing w:after="7" w:line="270" w:lineRule="auto"/>
        <w:ind w:left="1427" w:right="54" w:hanging="8"/>
        <w:jc w:val="both"/>
      </w:pPr>
      <w:r>
        <w:rPr>
          <w:rFonts w:ascii="Arial" w:eastAsia="Arial" w:hAnsi="Arial" w:cs="Arial"/>
          <w:sz w:val="20"/>
        </w:rPr>
        <w:t xml:space="preserve">4.6.2 que está ciente e concorda com as condições contidas no Edital e seus anexos; </w:t>
      </w:r>
    </w:p>
    <w:p w:rsidR="006C145C" w:rsidRDefault="00C62E5A">
      <w:pPr>
        <w:spacing w:after="8" w:line="270" w:lineRule="auto"/>
        <w:ind w:left="1923" w:right="54" w:hanging="504"/>
        <w:jc w:val="both"/>
      </w:pPr>
      <w:r>
        <w:rPr>
          <w:rFonts w:ascii="Arial" w:eastAsia="Arial" w:hAnsi="Arial" w:cs="Arial"/>
          <w:sz w:val="20"/>
        </w:rPr>
        <w:t>4.6.3 que cumpre os requisitos para a habilitação definidos no Edital e que a proposta apresenta</w:t>
      </w:r>
      <w:r>
        <w:rPr>
          <w:rFonts w:ascii="Arial" w:eastAsia="Arial" w:hAnsi="Arial" w:cs="Arial"/>
          <w:sz w:val="20"/>
        </w:rPr>
        <w:t xml:space="preserve">da está em conformidade com as exigências editalícias; </w:t>
      </w:r>
    </w:p>
    <w:p w:rsidR="006C145C" w:rsidRDefault="00C62E5A">
      <w:pPr>
        <w:spacing w:after="5" w:line="270" w:lineRule="auto"/>
        <w:ind w:left="1923" w:right="54" w:hanging="504"/>
        <w:jc w:val="both"/>
      </w:pPr>
      <w:r>
        <w:rPr>
          <w:rFonts w:ascii="Arial" w:eastAsia="Arial" w:hAnsi="Arial" w:cs="Arial"/>
          <w:sz w:val="20"/>
        </w:rPr>
        <w:t xml:space="preserve">4.6.4 que inexistem fatos impeditivos para sua habilitação no certame, ciente da obrigatoriedade de declarar ocorrências posteriores;  </w:t>
      </w:r>
    </w:p>
    <w:p w:rsidR="006C145C" w:rsidRDefault="00C62E5A">
      <w:pPr>
        <w:spacing w:after="8" w:line="270" w:lineRule="auto"/>
        <w:ind w:left="1923" w:right="54" w:hanging="504"/>
        <w:jc w:val="both"/>
      </w:pPr>
      <w:r>
        <w:rPr>
          <w:rFonts w:ascii="Arial" w:eastAsia="Arial" w:hAnsi="Arial" w:cs="Arial"/>
          <w:sz w:val="20"/>
        </w:rPr>
        <w:t>4.6.5 que não emprega menor de 18 anos em trabalho noturno, peri</w:t>
      </w:r>
      <w:r>
        <w:rPr>
          <w:rFonts w:ascii="Arial" w:eastAsia="Arial" w:hAnsi="Arial" w:cs="Arial"/>
          <w:sz w:val="20"/>
        </w:rPr>
        <w:t xml:space="preserve">goso ou insalubre e não emprega menor de 16 anos, salvo menor, a partir de 14 anos, na condição de aprendiz, nos termos do artigo 7°, XXXIII, da Constituição; </w:t>
      </w:r>
    </w:p>
    <w:p w:rsidR="006C145C" w:rsidRDefault="00C62E5A">
      <w:pPr>
        <w:spacing w:after="5" w:line="270" w:lineRule="auto"/>
        <w:ind w:left="1923" w:right="54" w:hanging="504"/>
        <w:jc w:val="both"/>
      </w:pPr>
      <w:r>
        <w:rPr>
          <w:rFonts w:ascii="Arial" w:eastAsia="Arial" w:hAnsi="Arial" w:cs="Arial"/>
          <w:sz w:val="20"/>
        </w:rPr>
        <w:t>4.6.6 que a proposta foi elaborada de forma independente, nos termos da Instrução Normativa SLTI</w:t>
      </w:r>
      <w:r>
        <w:rPr>
          <w:rFonts w:ascii="Arial" w:eastAsia="Arial" w:hAnsi="Arial" w:cs="Arial"/>
          <w:sz w:val="20"/>
        </w:rPr>
        <w:t xml:space="preserve">/MP nº 2, de 16 de setembro de 2009. </w:t>
      </w:r>
    </w:p>
    <w:p w:rsidR="006C145C" w:rsidRDefault="00C62E5A">
      <w:pPr>
        <w:spacing w:after="8" w:line="270" w:lineRule="auto"/>
        <w:ind w:left="1923" w:right="54" w:hanging="504"/>
        <w:jc w:val="both"/>
      </w:pPr>
      <w:r>
        <w:rPr>
          <w:rFonts w:ascii="Arial" w:eastAsia="Arial" w:hAnsi="Arial" w:cs="Arial"/>
          <w:sz w:val="20"/>
        </w:rPr>
        <w:t xml:space="preserve">4.6.7 </w:t>
      </w:r>
      <w:r>
        <w:rPr>
          <w:rFonts w:ascii="Arial" w:eastAsia="Arial" w:hAnsi="Arial" w:cs="Arial"/>
          <w:color w:val="FF0000"/>
          <w:sz w:val="20"/>
        </w:rPr>
        <w:t xml:space="preserve"> </w:t>
      </w:r>
      <w:r>
        <w:rPr>
          <w:rFonts w:ascii="Arial" w:eastAsia="Arial" w:hAnsi="Arial" w:cs="Arial"/>
          <w:sz w:val="20"/>
        </w:rPr>
        <w:t xml:space="preserve">que não possui, em sua cadeia produtiva, empregados executando trabalho degradante ou forçado, observando o disposto nos incisos III e IV do art. 1º e no inciso III do art. 5º da Constituição Federal; </w:t>
      </w:r>
    </w:p>
    <w:p w:rsidR="006C145C" w:rsidRDefault="00C62E5A">
      <w:pPr>
        <w:spacing w:after="129" w:line="270" w:lineRule="auto"/>
        <w:ind w:left="1923" w:right="54" w:hanging="504"/>
        <w:jc w:val="both"/>
      </w:pPr>
      <w:r>
        <w:rPr>
          <w:rFonts w:ascii="Arial" w:eastAsia="Arial" w:hAnsi="Arial" w:cs="Arial"/>
          <w:sz w:val="20"/>
        </w:rPr>
        <w:t>4.6.8  qu</w:t>
      </w:r>
      <w:r>
        <w:rPr>
          <w:rFonts w:ascii="Arial" w:eastAsia="Arial" w:hAnsi="Arial" w:cs="Arial"/>
          <w:sz w:val="20"/>
        </w:rPr>
        <w:t>e os serviços são prestados por empresas que comprovem cumprimento de reserva de cargos prevista em lei para pessoa com deficiência ou para reabilitado da Previdência Social e que atendam às regras de acessibilidade previstas na legislação, conforme dispos</w:t>
      </w:r>
      <w:r>
        <w:rPr>
          <w:rFonts w:ascii="Arial" w:eastAsia="Arial" w:hAnsi="Arial" w:cs="Arial"/>
          <w:sz w:val="20"/>
        </w:rPr>
        <w:t xml:space="preserve">to no art. 93 da Lei nº 8.213, de 24 de julho de 1991. </w:t>
      </w:r>
    </w:p>
    <w:p w:rsidR="006C145C" w:rsidRDefault="00C62E5A">
      <w:pPr>
        <w:spacing w:after="483" w:line="270" w:lineRule="auto"/>
        <w:ind w:left="433" w:right="54" w:hanging="8"/>
        <w:jc w:val="both"/>
      </w:pPr>
      <w:r>
        <w:rPr>
          <w:rFonts w:ascii="Arial" w:eastAsia="Arial" w:hAnsi="Arial" w:cs="Arial"/>
          <w:sz w:val="20"/>
        </w:rPr>
        <w:t xml:space="preserve">4.7. A declaração falsa relativa ao cumprimento de qualquer condição sujeitará o licitante às sanções previstas em lei e neste Edital. </w:t>
      </w:r>
    </w:p>
    <w:p w:rsidR="006C145C" w:rsidRDefault="00C62E5A">
      <w:pPr>
        <w:pStyle w:val="Ttulo3"/>
        <w:spacing w:after="150" w:line="249" w:lineRule="auto"/>
        <w:ind w:left="7" w:right="37"/>
        <w:jc w:val="both"/>
      </w:pPr>
      <w:r>
        <w:t xml:space="preserve">5. DA APRESENTAÇÃO DA PROPOSTA E DOS DOCUMENTOS DE HABILITAÇÃO </w:t>
      </w:r>
    </w:p>
    <w:p w:rsidR="006C145C" w:rsidRDefault="00C62E5A">
      <w:pPr>
        <w:spacing w:after="129" w:line="270" w:lineRule="auto"/>
        <w:ind w:left="433" w:right="54" w:hanging="8"/>
        <w:jc w:val="both"/>
      </w:pPr>
      <w:r>
        <w:rPr>
          <w:rFonts w:ascii="Arial" w:eastAsia="Arial" w:hAnsi="Arial" w:cs="Arial"/>
          <w:sz w:val="20"/>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w:t>
      </w:r>
      <w:r>
        <w:rPr>
          <w:rFonts w:ascii="Arial" w:eastAsia="Arial" w:hAnsi="Arial" w:cs="Arial"/>
          <w:sz w:val="20"/>
        </w:rPr>
        <w:t xml:space="preserve">pública, quando, então, encerrar-se-á automaticamente a etapa de envio dessa documentação.  </w:t>
      </w:r>
    </w:p>
    <w:p w:rsidR="006C145C" w:rsidRDefault="00C62E5A">
      <w:pPr>
        <w:spacing w:after="129" w:line="270" w:lineRule="auto"/>
        <w:ind w:left="433" w:right="54" w:hanging="8"/>
        <w:jc w:val="both"/>
      </w:pPr>
      <w:r>
        <w:rPr>
          <w:rFonts w:ascii="Arial" w:eastAsia="Arial" w:hAnsi="Arial" w:cs="Arial"/>
          <w:sz w:val="20"/>
        </w:rPr>
        <w:t xml:space="preserve">5.2. O envio da proposta, acompanhada dos documentos de habilitação exigidos neste Edital, ocorrerá por meio de chave de acesso e senha. </w:t>
      </w:r>
    </w:p>
    <w:p w:rsidR="006C145C" w:rsidRDefault="00C62E5A">
      <w:pPr>
        <w:spacing w:after="129" w:line="270" w:lineRule="auto"/>
        <w:ind w:left="433" w:right="54" w:hanging="8"/>
        <w:jc w:val="both"/>
      </w:pPr>
      <w:r>
        <w:rPr>
          <w:rFonts w:ascii="Arial" w:eastAsia="Arial" w:hAnsi="Arial" w:cs="Arial"/>
          <w:sz w:val="20"/>
        </w:rPr>
        <w:t>5.3. Os licitantes poderã</w:t>
      </w:r>
      <w:r>
        <w:rPr>
          <w:rFonts w:ascii="Arial" w:eastAsia="Arial" w:hAnsi="Arial" w:cs="Arial"/>
          <w:sz w:val="20"/>
        </w:rPr>
        <w:t xml:space="preserve">o deixar de apresentar os documentos de habilitação que constem do SICAF, assegurado aos demais licitantes o direito de acesso aos dados constantes dos sistemas. </w:t>
      </w:r>
    </w:p>
    <w:p w:rsidR="006C145C" w:rsidRDefault="00C62E5A">
      <w:pPr>
        <w:spacing w:after="129" w:line="270" w:lineRule="auto"/>
        <w:ind w:left="433" w:right="54" w:hanging="8"/>
        <w:jc w:val="both"/>
      </w:pPr>
      <w:r>
        <w:rPr>
          <w:rFonts w:ascii="Arial" w:eastAsia="Arial" w:hAnsi="Arial" w:cs="Arial"/>
          <w:sz w:val="20"/>
        </w:rPr>
        <w:lastRenderedPageBreak/>
        <w:t>5.4. As Microempresas e Empresas de Pequeno Porte deverão encaminhar a documentação de habili</w:t>
      </w:r>
      <w:r>
        <w:rPr>
          <w:rFonts w:ascii="Arial" w:eastAsia="Arial" w:hAnsi="Arial" w:cs="Arial"/>
          <w:sz w:val="20"/>
        </w:rPr>
        <w:t xml:space="preserve">tação, ainda que haja alguma restrição de regularidade fiscal e trabalhista, nos termos do art. 43, § 1º da LC nº 123, de 2006.  </w:t>
      </w:r>
    </w:p>
    <w:p w:rsidR="006C145C" w:rsidRDefault="00C62E5A">
      <w:pPr>
        <w:spacing w:after="129" w:line="270" w:lineRule="auto"/>
        <w:ind w:left="433" w:right="54" w:hanging="8"/>
        <w:jc w:val="both"/>
      </w:pPr>
      <w:r>
        <w:rPr>
          <w:rFonts w:ascii="Arial" w:eastAsia="Arial" w:hAnsi="Arial" w:cs="Arial"/>
          <w:sz w:val="20"/>
        </w:rPr>
        <w:t>5.5. Incumbirá ao licitante acompanhar as operações no sistema eletrônico durante a sessão pública do Pregão, ficando responsá</w:t>
      </w:r>
      <w:r>
        <w:rPr>
          <w:rFonts w:ascii="Arial" w:eastAsia="Arial" w:hAnsi="Arial" w:cs="Arial"/>
          <w:sz w:val="20"/>
        </w:rPr>
        <w:t xml:space="preserve">vel pelo ônus decorrente da perda de negócios, diante da inobservância de quaisquer mensagens emitidas pelo sistema ou de sua desconexão.  </w:t>
      </w:r>
    </w:p>
    <w:p w:rsidR="006C145C" w:rsidRDefault="00C62E5A">
      <w:pPr>
        <w:spacing w:after="129" w:line="270" w:lineRule="auto"/>
        <w:ind w:left="433" w:right="54" w:hanging="8"/>
        <w:jc w:val="both"/>
      </w:pPr>
      <w:r>
        <w:rPr>
          <w:rFonts w:ascii="Arial" w:eastAsia="Arial" w:hAnsi="Arial" w:cs="Arial"/>
          <w:sz w:val="20"/>
        </w:rPr>
        <w:t>5.6. Até a abertura da sessão pública, os licitantes poderão retirar ou substituir a proposta e os documentos de hab</w:t>
      </w:r>
      <w:r>
        <w:rPr>
          <w:rFonts w:ascii="Arial" w:eastAsia="Arial" w:hAnsi="Arial" w:cs="Arial"/>
          <w:sz w:val="20"/>
        </w:rPr>
        <w:t xml:space="preserve">ilitação anteriormente inseridos no sistema; </w:t>
      </w:r>
    </w:p>
    <w:p w:rsidR="006C145C" w:rsidRDefault="00C62E5A">
      <w:pPr>
        <w:spacing w:after="129" w:line="270" w:lineRule="auto"/>
        <w:ind w:left="433" w:right="54" w:hanging="8"/>
        <w:jc w:val="both"/>
      </w:pPr>
      <w:r>
        <w:rPr>
          <w:rFonts w:ascii="Arial" w:eastAsia="Arial" w:hAnsi="Arial" w:cs="Arial"/>
          <w:sz w:val="20"/>
        </w:rPr>
        <w:t xml:space="preserve">5.7. Não será estabelecida, nessa etapa do certame, ordem de classificação entre as propostas apresentadas, o que somente ocorrerá após a realização dos procedimentos de negociação e julgamento da proposta. </w:t>
      </w:r>
    </w:p>
    <w:p w:rsidR="006C145C" w:rsidRDefault="00C62E5A">
      <w:pPr>
        <w:spacing w:after="483" w:line="270" w:lineRule="auto"/>
        <w:ind w:left="433" w:right="54" w:hanging="8"/>
        <w:jc w:val="both"/>
      </w:pPr>
      <w:r>
        <w:rPr>
          <w:rFonts w:ascii="Arial" w:eastAsia="Arial" w:hAnsi="Arial" w:cs="Arial"/>
          <w:sz w:val="20"/>
        </w:rPr>
        <w:t>5.</w:t>
      </w:r>
      <w:r>
        <w:rPr>
          <w:rFonts w:ascii="Arial" w:eastAsia="Arial" w:hAnsi="Arial" w:cs="Arial"/>
          <w:sz w:val="20"/>
        </w:rPr>
        <w:t xml:space="preserve">8. Os documentos que compõem a proposta e a habilitação do licitante melhor classificado somente serão disponibilizados para avaliação do pregoeiro e para acesso público após o encerramento do envio de lances. </w:t>
      </w:r>
    </w:p>
    <w:p w:rsidR="006C145C" w:rsidRDefault="00C62E5A">
      <w:pPr>
        <w:pStyle w:val="Ttulo3"/>
        <w:spacing w:after="150" w:line="249" w:lineRule="auto"/>
        <w:ind w:left="7" w:right="37"/>
        <w:jc w:val="both"/>
      </w:pPr>
      <w:r>
        <w:t xml:space="preserve">6. DO PREENCHIMENTO DA PROPOSTA </w:t>
      </w:r>
    </w:p>
    <w:p w:rsidR="006C145C" w:rsidRDefault="00C62E5A">
      <w:pPr>
        <w:spacing w:after="129" w:line="270" w:lineRule="auto"/>
        <w:ind w:left="433" w:right="54" w:hanging="8"/>
        <w:jc w:val="both"/>
      </w:pPr>
      <w:r>
        <w:rPr>
          <w:rFonts w:ascii="Arial" w:eastAsia="Arial" w:hAnsi="Arial" w:cs="Arial"/>
          <w:sz w:val="20"/>
        </w:rPr>
        <w:t>6.1. O licit</w:t>
      </w:r>
      <w:r>
        <w:rPr>
          <w:rFonts w:ascii="Arial" w:eastAsia="Arial" w:hAnsi="Arial" w:cs="Arial"/>
          <w:sz w:val="20"/>
        </w:rPr>
        <w:t xml:space="preserve">ante deverá enviar sua proposta mediante o preenchimento, no sistema eletrônico, dos seguintes campos: </w:t>
      </w:r>
    </w:p>
    <w:p w:rsidR="006C145C" w:rsidRDefault="00C62E5A">
      <w:pPr>
        <w:spacing w:after="168"/>
        <w:ind w:right="286"/>
        <w:jc w:val="right"/>
      </w:pPr>
      <w:r>
        <w:rPr>
          <w:rFonts w:ascii="Arial" w:eastAsia="Arial" w:hAnsi="Arial" w:cs="Arial"/>
          <w:sz w:val="20"/>
        </w:rPr>
        <w:t xml:space="preserve">6.1.1 </w:t>
      </w:r>
      <w:r>
        <w:rPr>
          <w:rFonts w:ascii="Arial" w:eastAsia="Arial" w:hAnsi="Arial" w:cs="Arial"/>
          <w:i/>
          <w:color w:val="FF0000"/>
          <w:sz w:val="20"/>
        </w:rPr>
        <w:t xml:space="preserve"> valor ...... (mensal, unitário, etc, conforme o caso) e ...... (anual, total)</w:t>
      </w:r>
      <w:r>
        <w:rPr>
          <w:rFonts w:ascii="Arial" w:eastAsia="Arial" w:hAnsi="Arial" w:cs="Arial"/>
          <w:sz w:val="20"/>
        </w:rPr>
        <w:t xml:space="preserve"> </w:t>
      </w:r>
      <w:r>
        <w:rPr>
          <w:rFonts w:ascii="Arial" w:eastAsia="Arial" w:hAnsi="Arial" w:cs="Arial"/>
          <w:i/>
          <w:color w:val="FF0000"/>
          <w:sz w:val="20"/>
        </w:rPr>
        <w:t>do item;</w:t>
      </w:r>
      <w:r>
        <w:rPr>
          <w:rFonts w:ascii="Arial" w:eastAsia="Arial" w:hAnsi="Arial" w:cs="Arial"/>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72" w:line="249" w:lineRule="auto"/>
        <w:ind w:left="384" w:right="57" w:hanging="10"/>
        <w:jc w:val="both"/>
      </w:pPr>
      <w:r>
        <w:rPr>
          <w:rFonts w:ascii="Arial" w:eastAsia="Arial" w:hAnsi="Arial" w:cs="Arial"/>
          <w:b/>
          <w:i/>
          <w:sz w:val="20"/>
        </w:rPr>
        <w:t>Nota Explicativa</w:t>
      </w:r>
      <w:r>
        <w:rPr>
          <w:rFonts w:ascii="Arial" w:eastAsia="Arial" w:hAnsi="Arial" w:cs="Arial"/>
          <w:i/>
          <w:sz w:val="20"/>
        </w:rPr>
        <w:t xml:space="preserve">: </w:t>
      </w:r>
      <w:r>
        <w:rPr>
          <w:rFonts w:ascii="Arial" w:eastAsia="Arial" w:hAnsi="Arial" w:cs="Arial"/>
          <w:i/>
          <w:sz w:val="20"/>
        </w:rPr>
        <w:t xml:space="preserve">Deve a autoridade optar por uma ou outra redação do item em conformidade ao objeto licitado e ao critério de julgamento já estabelecido no edital. </w:t>
      </w:r>
    </w:p>
    <w:p w:rsidR="006C145C" w:rsidRDefault="00C62E5A">
      <w:pPr>
        <w:spacing w:after="156" w:line="270" w:lineRule="auto"/>
        <w:ind w:left="1922" w:right="54" w:hanging="504"/>
        <w:jc w:val="both"/>
      </w:pPr>
      <w:r>
        <w:rPr>
          <w:rFonts w:ascii="Arial" w:eastAsia="Arial" w:hAnsi="Arial" w:cs="Arial"/>
          <w:sz w:val="20"/>
        </w:rPr>
        <w:t>6.1.2 Descrição do objeto, contendo as informações similares à especificação do Termo de Referência, incluin</w:t>
      </w:r>
      <w:r>
        <w:rPr>
          <w:rFonts w:ascii="Arial" w:eastAsia="Arial" w:hAnsi="Arial" w:cs="Arial"/>
          <w:sz w:val="20"/>
        </w:rPr>
        <w:t xml:space="preserve">do-se, dentre outras, as seguintes informações:  </w:t>
      </w:r>
    </w:p>
    <w:p w:rsidR="006C145C" w:rsidRDefault="00C62E5A">
      <w:pPr>
        <w:pBdr>
          <w:top w:val="single" w:sz="4" w:space="0" w:color="000000"/>
          <w:left w:val="single" w:sz="4" w:space="0" w:color="000000"/>
          <w:right w:val="single" w:sz="4" w:space="0" w:color="000000"/>
        </w:pBdr>
        <w:shd w:val="clear" w:color="auto" w:fill="FFFFCC"/>
        <w:spacing w:after="118" w:line="279" w:lineRule="auto"/>
        <w:ind w:left="-5" w:right="46" w:hanging="10"/>
        <w:jc w:val="both"/>
      </w:pPr>
      <w:r>
        <w:rPr>
          <w:rFonts w:ascii="Arial" w:eastAsia="Arial" w:hAnsi="Arial" w:cs="Arial"/>
          <w:b/>
          <w:i/>
          <w:sz w:val="20"/>
        </w:rPr>
        <w:t>Nota explicativa</w:t>
      </w:r>
      <w:r>
        <w:rPr>
          <w:rFonts w:ascii="Arial" w:eastAsia="Arial" w:hAnsi="Arial" w:cs="Arial"/>
          <w:i/>
          <w:sz w:val="20"/>
        </w:rPr>
        <w:t>: O preenchimento do campo "descrição detalhada do objeto contratado" tem causado alguns embaraços aos pregões, especialmente quando se exige o preenchimento de vários dados. Para evitar iss</w:t>
      </w:r>
      <w:r>
        <w:rPr>
          <w:rFonts w:ascii="Arial" w:eastAsia="Arial" w:hAnsi="Arial" w:cs="Arial"/>
          <w:i/>
          <w:sz w:val="20"/>
        </w:rPr>
        <w:t>o, e considerando que o licitante já declarou que sua proposta está de acordo com as condições do Edital, optou-se por simplesmente remeter às especificações no Termo de Referência, para que, assim, a análise da proposta se dê no momento adequado, da aceit</w:t>
      </w:r>
      <w:r>
        <w:rPr>
          <w:rFonts w:ascii="Arial" w:eastAsia="Arial" w:hAnsi="Arial" w:cs="Arial"/>
          <w:i/>
          <w:sz w:val="20"/>
        </w:rPr>
        <w:t xml:space="preserve">ação da proposta, e não na etapa de classificação delas à sessão pública.  </w:t>
      </w:r>
    </w:p>
    <w:p w:rsidR="006C145C" w:rsidRDefault="00C62E5A">
      <w:pPr>
        <w:pBdr>
          <w:top w:val="single" w:sz="4" w:space="0" w:color="000000"/>
          <w:left w:val="single" w:sz="4" w:space="0" w:color="000000"/>
          <w:right w:val="single" w:sz="4" w:space="0" w:color="000000"/>
        </w:pBdr>
        <w:shd w:val="clear" w:color="auto" w:fill="FFFFCC"/>
        <w:spacing w:after="117" w:line="279" w:lineRule="auto"/>
        <w:ind w:left="-5" w:right="46" w:hanging="10"/>
        <w:jc w:val="both"/>
      </w:pPr>
      <w:r>
        <w:rPr>
          <w:rFonts w:ascii="Arial" w:eastAsia="Arial" w:hAnsi="Arial" w:cs="Arial"/>
          <w:i/>
          <w:sz w:val="20"/>
        </w:rPr>
        <w:t>Desta forma, o Edital pode e deve exigir que a proposta contenha determinados elementos, os quais auxiliarão o órgão licitante a examinar de forma objetiva, na fase de aceitação, s</w:t>
      </w:r>
      <w:r>
        <w:rPr>
          <w:rFonts w:ascii="Arial" w:eastAsia="Arial" w:hAnsi="Arial" w:cs="Arial"/>
          <w:i/>
          <w:sz w:val="20"/>
        </w:rPr>
        <w:t xml:space="preserve">ua real adequação e exequibilidade. Sem a indicação de tais elementos, o órgão não dispõe de informações suficientes para julgar a aceitabilidade da proposta. </w:t>
      </w:r>
    </w:p>
    <w:p w:rsidR="006C145C" w:rsidRDefault="00C62E5A">
      <w:pPr>
        <w:pBdr>
          <w:left w:val="single" w:sz="4" w:space="0" w:color="000000"/>
          <w:bottom w:val="single" w:sz="4" w:space="0" w:color="000000"/>
          <w:right w:val="single" w:sz="4" w:space="0" w:color="000000"/>
        </w:pBdr>
        <w:shd w:val="clear" w:color="auto" w:fill="FFFFCC"/>
        <w:spacing w:after="120" w:line="278" w:lineRule="auto"/>
        <w:ind w:left="-5" w:right="55" w:hanging="10"/>
        <w:jc w:val="both"/>
      </w:pPr>
      <w:r>
        <w:rPr>
          <w:rFonts w:ascii="Arial" w:eastAsia="Arial" w:hAnsi="Arial" w:cs="Arial"/>
          <w:i/>
          <w:sz w:val="20"/>
        </w:rPr>
        <w:t xml:space="preserve">Mas tal exigência é muito diferente de exigir o preenchimento do campo “descrição detalhada do objeto” no sistema de pregão eletrônico, que só tem causado embaraço.  </w:t>
      </w:r>
    </w:p>
    <w:p w:rsidR="006C145C" w:rsidRDefault="00C62E5A">
      <w:pPr>
        <w:pBdr>
          <w:left w:val="single" w:sz="4" w:space="0" w:color="000000"/>
          <w:bottom w:val="single" w:sz="4" w:space="0" w:color="000000"/>
          <w:right w:val="single" w:sz="4" w:space="0" w:color="000000"/>
        </w:pBdr>
        <w:shd w:val="clear" w:color="auto" w:fill="FFFFCC"/>
        <w:spacing w:after="120" w:line="278" w:lineRule="auto"/>
        <w:ind w:left="-5" w:right="55" w:hanging="10"/>
        <w:jc w:val="both"/>
      </w:pPr>
      <w:r>
        <w:rPr>
          <w:rFonts w:ascii="Arial" w:eastAsia="Arial" w:hAnsi="Arial" w:cs="Arial"/>
          <w:i/>
          <w:sz w:val="20"/>
        </w:rPr>
        <w:t>Assim, recomendamos que, de acordo com o objeto da licitação, o órgão examine os demais d</w:t>
      </w:r>
      <w:r>
        <w:rPr>
          <w:rFonts w:ascii="Arial" w:eastAsia="Arial" w:hAnsi="Arial" w:cs="Arial"/>
          <w:i/>
          <w:sz w:val="20"/>
        </w:rPr>
        <w:t xml:space="preserve">ados pertinentes (além do preço) que deverão ser analisados na fase de aceitação da proposta e insira no Edital a exigência de os licitantes informarem tais dados em suas propostas. </w:t>
      </w:r>
    </w:p>
    <w:p w:rsidR="006C145C" w:rsidRDefault="00C62E5A">
      <w:pPr>
        <w:pBdr>
          <w:left w:val="single" w:sz="4" w:space="0" w:color="000000"/>
          <w:bottom w:val="single" w:sz="4" w:space="0" w:color="000000"/>
          <w:right w:val="single" w:sz="4" w:space="0" w:color="000000"/>
        </w:pBdr>
        <w:shd w:val="clear" w:color="auto" w:fill="FFFFCC"/>
        <w:spacing w:after="120" w:line="278" w:lineRule="auto"/>
        <w:ind w:left="-5" w:right="55" w:hanging="10"/>
        <w:jc w:val="both"/>
      </w:pPr>
      <w:r>
        <w:rPr>
          <w:rFonts w:ascii="Arial" w:eastAsia="Arial" w:hAnsi="Arial" w:cs="Arial"/>
          <w:i/>
          <w:sz w:val="20"/>
        </w:rPr>
        <w:t xml:space="preserve">Caso o órgão ou entidade entenda relevante o preenchimento de algum dado </w:t>
      </w:r>
      <w:r>
        <w:rPr>
          <w:rFonts w:ascii="Arial" w:eastAsia="Arial" w:hAnsi="Arial" w:cs="Arial"/>
          <w:i/>
          <w:sz w:val="20"/>
        </w:rPr>
        <w:t xml:space="preserve">específico no campo “descrição detalhada do objeto”, alertamos que só se deve exigir o preenchimento de dados que sejam relevantes e efetivamente utilizados para a classificação e aceitação da proposta. Cite-se recente decisão do TCU sobre o tema (Acórdão </w:t>
      </w:r>
      <w:r>
        <w:rPr>
          <w:rFonts w:ascii="Arial" w:eastAsia="Arial" w:hAnsi="Arial" w:cs="Arial"/>
          <w:i/>
          <w:sz w:val="20"/>
        </w:rPr>
        <w:t xml:space="preserve">nº 2.279/2009 - 2ª Câmara): </w:t>
      </w:r>
    </w:p>
    <w:p w:rsidR="006C145C" w:rsidRDefault="00C62E5A">
      <w:pPr>
        <w:pBdr>
          <w:left w:val="single" w:sz="4" w:space="0" w:color="000000"/>
          <w:bottom w:val="single" w:sz="4" w:space="0" w:color="000000"/>
          <w:right w:val="single" w:sz="4" w:space="0" w:color="000000"/>
        </w:pBdr>
        <w:shd w:val="clear" w:color="auto" w:fill="FFFFCC"/>
        <w:spacing w:after="120" w:line="278" w:lineRule="auto"/>
        <w:ind w:left="-5" w:right="55" w:hanging="10"/>
        <w:jc w:val="both"/>
      </w:pPr>
      <w:r>
        <w:rPr>
          <w:rFonts w:ascii="Arial" w:eastAsia="Arial" w:hAnsi="Arial" w:cs="Arial"/>
          <w:i/>
          <w:sz w:val="20"/>
        </w:rPr>
        <w:t xml:space="preserve">"1.5.1.1. eleja os quesitos fundamentais que devam constar da descrição detalhada do campo do COMPRASNET, quando esta se demonstrar extensa, a fim de evitar a apresentação de propostas </w:t>
      </w:r>
      <w:r>
        <w:rPr>
          <w:rFonts w:ascii="Arial" w:eastAsia="Arial" w:hAnsi="Arial" w:cs="Arial"/>
          <w:i/>
          <w:sz w:val="20"/>
        </w:rPr>
        <w:lastRenderedPageBreak/>
        <w:t>incompletas (por falta de espaço no referi</w:t>
      </w:r>
      <w:r>
        <w:rPr>
          <w:rFonts w:ascii="Arial" w:eastAsia="Arial" w:hAnsi="Arial" w:cs="Arial"/>
          <w:i/>
          <w:sz w:val="20"/>
        </w:rPr>
        <w:t xml:space="preserve">do campo para indicação de todos os itens técnicos do Edital e/ou do Termo de Referência), gerando questionamentos evitáveis;" </w:t>
      </w:r>
    </w:p>
    <w:p w:rsidR="006C145C" w:rsidRDefault="00C62E5A">
      <w:pPr>
        <w:pBdr>
          <w:left w:val="single" w:sz="4" w:space="0" w:color="000000"/>
          <w:bottom w:val="single" w:sz="4" w:space="0" w:color="000000"/>
          <w:right w:val="single" w:sz="4" w:space="0" w:color="000000"/>
        </w:pBdr>
        <w:shd w:val="clear" w:color="auto" w:fill="FFFFCC"/>
        <w:spacing w:after="147" w:line="278" w:lineRule="auto"/>
        <w:ind w:left="-5" w:right="55" w:hanging="10"/>
        <w:jc w:val="both"/>
      </w:pPr>
      <w:r>
        <w:rPr>
          <w:rFonts w:ascii="Arial" w:eastAsia="Arial" w:hAnsi="Arial" w:cs="Arial"/>
          <w:i/>
          <w:sz w:val="20"/>
        </w:rPr>
        <w:t>Lembramos que, na fase de julgamento, também poderá ser solicitado pelo Pregoeiro o envio de arquivo anexo, contendo as informaç</w:t>
      </w:r>
      <w:r>
        <w:rPr>
          <w:rFonts w:ascii="Arial" w:eastAsia="Arial" w:hAnsi="Arial" w:cs="Arial"/>
          <w:i/>
          <w:sz w:val="20"/>
        </w:rPr>
        <w:t xml:space="preserve">ões relevantes para a análise da proposta. </w:t>
      </w:r>
    </w:p>
    <w:p w:rsidR="006C145C" w:rsidRDefault="00C62E5A">
      <w:pPr>
        <w:spacing w:after="8" w:line="270" w:lineRule="auto"/>
        <w:ind w:left="1728" w:right="58" w:hanging="648"/>
        <w:jc w:val="both"/>
      </w:pPr>
      <w:r>
        <w:rPr>
          <w:rFonts w:ascii="Arial" w:eastAsia="Arial" w:hAnsi="Arial" w:cs="Arial"/>
          <w:i/>
          <w:color w:val="FF0000"/>
          <w:sz w:val="20"/>
        </w:rPr>
        <w:t>6.1.2.1. A indicação dos sindicatos, acordos coletivos, convenções coletivas ou sentenças normativas que regem as categorias profissionais que executarão o serviço e as respectivas datas bases e vigências, com ba</w:t>
      </w:r>
      <w:r>
        <w:rPr>
          <w:rFonts w:ascii="Arial" w:eastAsia="Arial" w:hAnsi="Arial" w:cs="Arial"/>
          <w:i/>
          <w:color w:val="FF0000"/>
          <w:sz w:val="20"/>
        </w:rPr>
        <w:t xml:space="preserve">se na Classificação Brasileira de Ocupações - CBO; </w:t>
      </w:r>
    </w:p>
    <w:p w:rsidR="006C145C" w:rsidRDefault="00C62E5A">
      <w:pPr>
        <w:spacing w:after="157" w:line="270" w:lineRule="auto"/>
        <w:ind w:left="1728" w:right="58" w:hanging="648"/>
        <w:jc w:val="both"/>
      </w:pPr>
      <w:r>
        <w:rPr>
          <w:rFonts w:ascii="Arial" w:eastAsia="Arial" w:hAnsi="Arial" w:cs="Arial"/>
          <w:i/>
          <w:color w:val="FF0000"/>
          <w:sz w:val="20"/>
        </w:rPr>
        <w:t>6.1.2.2. Produtividade adotada e, se esta for diferente daquela utilizada pela Administração como referência, ou não estiver contida na faixa referencial de produtividade, mas admitida pelo ato convocatór</w:t>
      </w:r>
      <w:r>
        <w:rPr>
          <w:rFonts w:ascii="Arial" w:eastAsia="Arial" w:hAnsi="Arial" w:cs="Arial"/>
          <w:i/>
          <w:color w:val="FF0000"/>
          <w:sz w:val="20"/>
        </w:rPr>
        <w:t xml:space="preserve">io, a respectiva comprovação de exequibilidade;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71" w:line="249" w:lineRule="auto"/>
        <w:ind w:left="-5" w:right="57" w:hanging="10"/>
        <w:jc w:val="both"/>
      </w:pPr>
      <w:r>
        <w:rPr>
          <w:rFonts w:ascii="Arial" w:eastAsia="Arial" w:hAnsi="Arial" w:cs="Arial"/>
          <w:b/>
          <w:i/>
          <w:sz w:val="20"/>
        </w:rPr>
        <w:t>Nota explicativa</w:t>
      </w:r>
      <w:r>
        <w:rPr>
          <w:rFonts w:ascii="Arial" w:eastAsia="Arial" w:hAnsi="Arial" w:cs="Arial"/>
          <w:i/>
          <w:sz w:val="20"/>
        </w:rPr>
        <w:t>: O órgão deve exigir a indicação da produtividade exclusivamente quando tal fator for mensurável, caso em que o estudo da produtividade utilizada pela Administração para servir de referência deve ser disponibilizado, conforme alínea “d5” do item 2.6 do An</w:t>
      </w:r>
      <w:r>
        <w:rPr>
          <w:rFonts w:ascii="Arial" w:eastAsia="Arial" w:hAnsi="Arial" w:cs="Arial"/>
          <w:i/>
          <w:sz w:val="20"/>
        </w:rPr>
        <w:t xml:space="preserve">exo V da IN 05/2017 que estabelece o Instrumento de Medição do Resultado (IMR).  </w:t>
      </w:r>
    </w:p>
    <w:p w:rsidR="006C145C" w:rsidRDefault="00C62E5A">
      <w:pPr>
        <w:tabs>
          <w:tab w:val="center" w:pos="959"/>
          <w:tab w:val="center" w:pos="4654"/>
        </w:tabs>
        <w:spacing w:after="174"/>
      </w:pPr>
      <w:r>
        <w:tab/>
      </w:r>
      <w:r>
        <w:rPr>
          <w:rFonts w:ascii="Arial" w:eastAsia="Arial" w:hAnsi="Arial" w:cs="Arial"/>
          <w:i/>
          <w:color w:val="FF0000"/>
          <w:sz w:val="20"/>
        </w:rPr>
        <w:t xml:space="preserve">6.1.2.3. </w:t>
      </w:r>
      <w:r>
        <w:rPr>
          <w:rFonts w:ascii="Arial" w:eastAsia="Arial" w:hAnsi="Arial" w:cs="Arial"/>
          <w:i/>
          <w:color w:val="FF0000"/>
          <w:sz w:val="20"/>
        </w:rPr>
        <w:tab/>
        <w:t xml:space="preserve">A quantidade de pessoal que será alocado na execução contratual;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71" w:line="249" w:lineRule="auto"/>
        <w:ind w:left="-5" w:right="57" w:hanging="10"/>
        <w:jc w:val="both"/>
      </w:pPr>
      <w:r>
        <w:rPr>
          <w:rFonts w:ascii="Arial" w:eastAsia="Arial" w:hAnsi="Arial" w:cs="Arial"/>
          <w:b/>
          <w:i/>
          <w:sz w:val="20"/>
        </w:rPr>
        <w:t>Nota explicativa</w:t>
      </w:r>
      <w:r>
        <w:rPr>
          <w:rFonts w:ascii="Arial" w:eastAsia="Arial" w:hAnsi="Arial" w:cs="Arial"/>
          <w:i/>
          <w:sz w:val="20"/>
        </w:rPr>
        <w:t>: O órgão poderá exigir a relação dos materiais e equipamentos que serão utiliza</w:t>
      </w:r>
      <w:r>
        <w:rPr>
          <w:rFonts w:ascii="Arial" w:eastAsia="Arial" w:hAnsi="Arial" w:cs="Arial"/>
          <w:i/>
          <w:sz w:val="20"/>
        </w:rPr>
        <w:t xml:space="preserve">dos na execução dos serviços, indicando o quantitativo e sua especificação, quando tal fator for mensurável, notadamente quando a lista não for muito extensa e, ao mesmo tempo, importante para a contratação. </w:t>
      </w:r>
    </w:p>
    <w:p w:rsidR="006C145C" w:rsidRDefault="00C62E5A">
      <w:pPr>
        <w:spacing w:after="130" w:line="270" w:lineRule="auto"/>
        <w:ind w:left="420" w:right="58" w:hanging="10"/>
        <w:jc w:val="both"/>
      </w:pPr>
      <w:r>
        <w:rPr>
          <w:rFonts w:ascii="Arial" w:eastAsia="Arial" w:hAnsi="Arial" w:cs="Arial"/>
          <w:i/>
          <w:color w:val="FF0000"/>
          <w:sz w:val="20"/>
        </w:rPr>
        <w:t>6.2. Os licitantes poderão apresentar produtivi</w:t>
      </w:r>
      <w:r>
        <w:rPr>
          <w:rFonts w:ascii="Arial" w:eastAsia="Arial" w:hAnsi="Arial" w:cs="Arial"/>
          <w:i/>
          <w:color w:val="FF0000"/>
          <w:sz w:val="20"/>
        </w:rPr>
        <w:t>dades diferenciadas daquela estabelecida pela Administração como referência, nos termos do item 6.1.2.2, desde que não alterem o objeto da contratação, não contrariem dispositivos legais vigentes e, caso não estejam contidas nas faixas referenciais de prod</w:t>
      </w:r>
      <w:r>
        <w:rPr>
          <w:rFonts w:ascii="Arial" w:eastAsia="Arial" w:hAnsi="Arial" w:cs="Arial"/>
          <w:i/>
          <w:color w:val="FF0000"/>
          <w:sz w:val="20"/>
        </w:rPr>
        <w:t xml:space="preserve">utividade, comprovem a exequibilidade da proposta. </w:t>
      </w:r>
    </w:p>
    <w:p w:rsidR="006C145C" w:rsidRDefault="00C62E5A">
      <w:pPr>
        <w:spacing w:after="157" w:line="270" w:lineRule="auto"/>
        <w:ind w:left="420" w:right="58" w:hanging="10"/>
        <w:jc w:val="both"/>
      </w:pPr>
      <w:r>
        <w:rPr>
          <w:rFonts w:ascii="Arial" w:eastAsia="Arial" w:hAnsi="Arial" w:cs="Arial"/>
          <w:i/>
          <w:color w:val="FF0000"/>
          <w:sz w:val="20"/>
        </w:rPr>
        <w:t>6.3. Para efeito do subitem anterior, admite-se a adequação técnica da metodologia empregada pela contratada, visando assegurar a execução do objeto, desde que mantidas as condições para a justa remuneraç</w:t>
      </w:r>
      <w:r>
        <w:rPr>
          <w:rFonts w:ascii="Arial" w:eastAsia="Arial" w:hAnsi="Arial" w:cs="Arial"/>
          <w:i/>
          <w:color w:val="FF0000"/>
          <w:sz w:val="20"/>
        </w:rPr>
        <w:t xml:space="preserve">ão do serviço.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74" w:line="249" w:lineRule="auto"/>
        <w:ind w:left="-5" w:right="57" w:hanging="10"/>
        <w:jc w:val="both"/>
      </w:pPr>
      <w:r>
        <w:rPr>
          <w:rFonts w:ascii="Arial" w:eastAsia="Arial" w:hAnsi="Arial" w:cs="Arial"/>
          <w:b/>
          <w:i/>
          <w:sz w:val="20"/>
        </w:rPr>
        <w:t>Nota explicativa</w:t>
      </w:r>
      <w:r>
        <w:rPr>
          <w:rFonts w:ascii="Arial" w:eastAsia="Arial" w:hAnsi="Arial" w:cs="Arial"/>
          <w:i/>
          <w:sz w:val="20"/>
        </w:rPr>
        <w:t xml:space="preserve">: Os subitens acima deverão ser inseridos caso seja indicada pela Administração a produtividade utilizada para servir de referência quanto à realização dos serviços.  </w:t>
      </w:r>
    </w:p>
    <w:p w:rsidR="006C145C" w:rsidRDefault="00C62E5A">
      <w:pPr>
        <w:tabs>
          <w:tab w:val="center" w:pos="4504"/>
        </w:tabs>
        <w:spacing w:after="129" w:line="270" w:lineRule="auto"/>
      </w:pPr>
      <w:r>
        <w:rPr>
          <w:rFonts w:ascii="Arial" w:eastAsia="Arial" w:hAnsi="Arial" w:cs="Arial"/>
          <w:sz w:val="20"/>
        </w:rPr>
        <w:t xml:space="preserve">6.4. </w:t>
      </w:r>
      <w:r>
        <w:rPr>
          <w:rFonts w:ascii="Arial" w:eastAsia="Arial" w:hAnsi="Arial" w:cs="Arial"/>
          <w:sz w:val="20"/>
        </w:rPr>
        <w:tab/>
        <w:t>Todas as especificações do objeto contidas na pro</w:t>
      </w:r>
      <w:r>
        <w:rPr>
          <w:rFonts w:ascii="Arial" w:eastAsia="Arial" w:hAnsi="Arial" w:cs="Arial"/>
          <w:sz w:val="20"/>
        </w:rPr>
        <w:t xml:space="preserve">posta vinculam a Contratada. </w:t>
      </w:r>
    </w:p>
    <w:p w:rsidR="006C145C" w:rsidRDefault="00C62E5A">
      <w:pPr>
        <w:spacing w:after="129" w:line="270" w:lineRule="auto"/>
        <w:ind w:left="433" w:right="54" w:hanging="8"/>
        <w:jc w:val="both"/>
      </w:pPr>
      <w:r>
        <w:rPr>
          <w:rFonts w:ascii="Arial" w:eastAsia="Arial" w:hAnsi="Arial" w:cs="Arial"/>
          <w:sz w:val="20"/>
        </w:rPr>
        <w:t xml:space="preserve">6.5. Nos valores propostos estarão inclusos todos os custos operacionais, encargos previdenciários, trabalhistas, tributários, comerciais e quaisquer outros que incidam direta ou indiretamente </w:t>
      </w:r>
      <w:r>
        <w:rPr>
          <w:rFonts w:ascii="Arial" w:eastAsia="Arial" w:hAnsi="Arial" w:cs="Arial"/>
          <w:sz w:val="20"/>
        </w:rPr>
        <w:t xml:space="preserve">na prestação dos serviços, apurados mediante o preenchimento do modelo de Planilha de Custos e Formação de Preços, conforme anexo deste Edital; </w:t>
      </w:r>
    </w:p>
    <w:p w:rsidR="006C145C" w:rsidRDefault="00C62E5A">
      <w:pPr>
        <w:spacing w:after="8" w:line="270" w:lineRule="auto"/>
        <w:ind w:left="1922" w:right="54" w:hanging="504"/>
        <w:jc w:val="both"/>
      </w:pPr>
      <w:r>
        <w:rPr>
          <w:rFonts w:ascii="Arial" w:eastAsia="Arial" w:hAnsi="Arial" w:cs="Arial"/>
          <w:sz w:val="20"/>
        </w:rPr>
        <w:t>6.5.1 A Contratada deverá arcar com o ônus decorrente de eventual equívoco no dimensionamento dos quantitativos</w:t>
      </w:r>
      <w:r>
        <w:rPr>
          <w:rFonts w:ascii="Arial" w:eastAsia="Arial" w:hAnsi="Arial" w:cs="Arial"/>
          <w:sz w:val="20"/>
        </w:rPr>
        <w:t xml:space="preserve"> de sua proposta, inclusive quanto aos custos variáveis decorrentes de fatores futuros e incertos, tais como os valores providos com o quantitativo de vale transporte, devendo complementá-los, caso o previsto inicialmente em sua proposta não seja satisfató</w:t>
      </w:r>
      <w:r>
        <w:rPr>
          <w:rFonts w:ascii="Arial" w:eastAsia="Arial" w:hAnsi="Arial" w:cs="Arial"/>
          <w:sz w:val="20"/>
        </w:rPr>
        <w:t xml:space="preserve">rio para o atendimento do objeto da licitação, exceto quando ocorrer algum dos eventos arrolados nos incisos do §1° do artigo 57 da Lei n° 8.666, de 1993. </w:t>
      </w:r>
    </w:p>
    <w:p w:rsidR="006C145C" w:rsidRDefault="00C62E5A">
      <w:pPr>
        <w:spacing w:after="6" w:line="270" w:lineRule="auto"/>
        <w:ind w:left="1922" w:right="54" w:hanging="504"/>
        <w:jc w:val="both"/>
      </w:pPr>
      <w:r>
        <w:rPr>
          <w:rFonts w:ascii="Arial" w:eastAsia="Arial" w:hAnsi="Arial" w:cs="Arial"/>
          <w:sz w:val="20"/>
        </w:rPr>
        <w:t>6.5.2 Caso o eventual equívoco no dimensionamento dos quantitativos se revele superior às necessidad</w:t>
      </w:r>
      <w:r>
        <w:rPr>
          <w:rFonts w:ascii="Arial" w:eastAsia="Arial" w:hAnsi="Arial" w:cs="Arial"/>
          <w:sz w:val="20"/>
        </w:rPr>
        <w:t>es da contratante, a Administração deverá efetuar o pagamento seguindo estritamente as regras contratuais de faturamento dos serviços demandados e executados, concomitantemente com a realização, se necessário e cabível, de adequação contratual do quantitat</w:t>
      </w:r>
      <w:r>
        <w:rPr>
          <w:rFonts w:ascii="Arial" w:eastAsia="Arial" w:hAnsi="Arial" w:cs="Arial"/>
          <w:sz w:val="20"/>
        </w:rPr>
        <w:t xml:space="preserve">ivo necessário, com base na alínea "b" do inciso I do art. 65 da Lei n. 8.666/93 e nos termos do art. 63, §2° da IN SEGES/MP n.5/2017.  </w:t>
      </w:r>
    </w:p>
    <w:p w:rsidR="006C145C" w:rsidRDefault="00C62E5A">
      <w:pPr>
        <w:spacing w:after="157" w:line="270" w:lineRule="auto"/>
        <w:ind w:left="1922" w:right="58" w:hanging="504"/>
        <w:jc w:val="both"/>
      </w:pPr>
      <w:r>
        <w:rPr>
          <w:rFonts w:ascii="Arial" w:eastAsia="Arial" w:hAnsi="Arial" w:cs="Arial"/>
          <w:i/>
          <w:sz w:val="20"/>
        </w:rPr>
        <w:lastRenderedPageBreak/>
        <w:t xml:space="preserve">6.5.3 </w:t>
      </w:r>
      <w:r>
        <w:rPr>
          <w:rFonts w:ascii="Arial" w:eastAsia="Arial" w:hAnsi="Arial" w:cs="Arial"/>
          <w:i/>
          <w:color w:val="FF0000"/>
          <w:sz w:val="20"/>
        </w:rPr>
        <w:t>A proposta apresentada deverá contemplar o valor total dos custos da contratação, inclusive aqueles estimados par</w:t>
      </w:r>
      <w:r>
        <w:rPr>
          <w:rFonts w:ascii="Arial" w:eastAsia="Arial" w:hAnsi="Arial" w:cs="Arial"/>
          <w:i/>
          <w:color w:val="FF0000"/>
          <w:sz w:val="20"/>
        </w:rPr>
        <w:t xml:space="preserve">a as ocorrências de fatos geradores.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173" w:line="250" w:lineRule="auto"/>
        <w:ind w:left="-5" w:right="56" w:hanging="10"/>
        <w:jc w:val="both"/>
      </w:pPr>
      <w:r>
        <w:rPr>
          <w:rFonts w:ascii="Arial" w:eastAsia="Arial" w:hAnsi="Arial" w:cs="Arial"/>
          <w:b/>
          <w:i/>
          <w:sz w:val="20"/>
        </w:rPr>
        <w:t>Nota Explicativa:</w:t>
      </w:r>
      <w:r>
        <w:rPr>
          <w:rFonts w:ascii="Arial" w:eastAsia="Arial" w:hAnsi="Arial" w:cs="Arial"/>
          <w:i/>
          <w:sz w:val="20"/>
        </w:rPr>
        <w:t xml:space="preserve"> O subitem acima deverá ser inserido no edital, em atenção aos itens 7.10 e 8.9 do Anexo VII-A da IN SEGES/MP n.º 05, de 2017, caso o Pagamento pelo Fato Gerador tenha sido adotado pela Administração, </w:t>
      </w:r>
      <w:r>
        <w:rPr>
          <w:rFonts w:ascii="Arial" w:eastAsia="Arial" w:hAnsi="Arial" w:cs="Arial"/>
          <w:i/>
          <w:sz w:val="20"/>
        </w:rPr>
        <w:t>conforme disposições do respectivo Termo de Referência.</w:t>
      </w:r>
      <w:r>
        <w:rPr>
          <w:rFonts w:ascii="Arial" w:eastAsia="Arial" w:hAnsi="Arial" w:cs="Arial"/>
          <w:i/>
          <w:color w:val="FF0000"/>
          <w:sz w:val="20"/>
        </w:rPr>
        <w:t xml:space="preserve"> </w:t>
      </w:r>
    </w:p>
    <w:p w:rsidR="006C145C" w:rsidRDefault="00C62E5A">
      <w:pPr>
        <w:spacing w:after="129" w:line="270" w:lineRule="auto"/>
        <w:ind w:left="505" w:right="54" w:hanging="8"/>
        <w:jc w:val="both"/>
      </w:pPr>
      <w:r>
        <w:rPr>
          <w:rFonts w:ascii="Arial" w:eastAsia="Arial" w:hAnsi="Arial" w:cs="Arial"/>
          <w:sz w:val="20"/>
        </w:rPr>
        <w:t>6.6. A empresa é a única responsável pela cotação correta dos encargos tributários. Em caso de erro ou cotação incompatível com o regime tributário a que se submete, serão adotadas as orientações a s</w:t>
      </w:r>
      <w:r>
        <w:rPr>
          <w:rFonts w:ascii="Arial" w:eastAsia="Arial" w:hAnsi="Arial" w:cs="Arial"/>
          <w:sz w:val="20"/>
        </w:rPr>
        <w:t xml:space="preserve">eguir: </w:t>
      </w:r>
    </w:p>
    <w:p w:rsidR="006C145C" w:rsidRDefault="00C62E5A">
      <w:pPr>
        <w:spacing w:after="129" w:line="270" w:lineRule="auto"/>
        <w:ind w:left="1922" w:right="54" w:hanging="504"/>
        <w:jc w:val="both"/>
      </w:pPr>
      <w:r>
        <w:rPr>
          <w:rFonts w:ascii="Arial" w:eastAsia="Arial" w:hAnsi="Arial" w:cs="Arial"/>
          <w:sz w:val="20"/>
        </w:rPr>
        <w:t xml:space="preserve">6.6.1 cotação de percentual menor que o adequado: o percentual será mantido durante toda a execução contratual; </w:t>
      </w:r>
    </w:p>
    <w:p w:rsidR="006C145C" w:rsidRDefault="00C62E5A">
      <w:pPr>
        <w:spacing w:after="156" w:line="270" w:lineRule="auto"/>
        <w:ind w:left="1922" w:right="54" w:hanging="504"/>
        <w:jc w:val="both"/>
      </w:pPr>
      <w:r>
        <w:rPr>
          <w:rFonts w:ascii="Arial" w:eastAsia="Arial" w:hAnsi="Arial" w:cs="Arial"/>
          <w:sz w:val="20"/>
        </w:rPr>
        <w:t xml:space="preserve">6.6.2 </w:t>
      </w:r>
      <w:r>
        <w:rPr>
          <w:rFonts w:ascii="Arial" w:eastAsia="Arial" w:hAnsi="Arial" w:cs="Arial"/>
          <w:sz w:val="20"/>
        </w:rPr>
        <w:t xml:space="preserve">cotação de percentual maior que o adequado: o excesso será suprimido, unilateralmente, da planilha e haverá glosa, quando do pagamento, e/ou redução, quando da repactuação, para fins de total ressarcimento do débito.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171" w:line="250" w:lineRule="auto"/>
        <w:ind w:left="-5" w:right="56" w:hanging="10"/>
        <w:jc w:val="both"/>
      </w:pPr>
      <w:r>
        <w:rPr>
          <w:rFonts w:ascii="Arial" w:eastAsia="Arial" w:hAnsi="Arial" w:cs="Arial"/>
          <w:b/>
          <w:i/>
          <w:sz w:val="20"/>
        </w:rPr>
        <w:t xml:space="preserve">Nota Explicativa: </w:t>
      </w:r>
      <w:r>
        <w:rPr>
          <w:rFonts w:ascii="Arial" w:eastAsia="Arial" w:hAnsi="Arial" w:cs="Arial"/>
          <w:i/>
          <w:sz w:val="20"/>
        </w:rPr>
        <w:t>a disposição do subi</w:t>
      </w:r>
      <w:r>
        <w:rPr>
          <w:rFonts w:ascii="Arial" w:eastAsia="Arial" w:hAnsi="Arial" w:cs="Arial"/>
          <w:i/>
          <w:sz w:val="20"/>
        </w:rPr>
        <w:t xml:space="preserve">tem acima se dá para atender as orientações dos Acórdãos TCU n° 3.037/2009-Plenário, nº 1.696/2010 - 2ª Câmara, nº 1.442/2010-2ª Câmara, nº 387/2010-2ª Câmara e nº 2622/2013-Plenário. </w:t>
      </w:r>
    </w:p>
    <w:p w:rsidR="006C145C" w:rsidRDefault="00C62E5A">
      <w:pPr>
        <w:spacing w:after="129" w:line="270" w:lineRule="auto"/>
        <w:ind w:left="505" w:right="54" w:hanging="8"/>
        <w:jc w:val="both"/>
      </w:pPr>
      <w:r>
        <w:rPr>
          <w:rFonts w:ascii="Arial" w:eastAsia="Arial" w:hAnsi="Arial" w:cs="Arial"/>
          <w:sz w:val="20"/>
        </w:rPr>
        <w:t>6.7. Se o regime tributário da empresa implicar o recolhimento de tribu</w:t>
      </w:r>
      <w:r>
        <w:rPr>
          <w:rFonts w:ascii="Arial" w:eastAsia="Arial" w:hAnsi="Arial" w:cs="Arial"/>
          <w:sz w:val="20"/>
        </w:rPr>
        <w:t>tos em percentuais variáveis, a cotação adequada será a que corresponde à média dos efetivos recolhimentos da empresa nos últimos doze meses, devendo o licitante ou contratada apresentar ao pregoeiro ou à fiscalização, a qualquer tempo, comprovação da adeq</w:t>
      </w:r>
      <w:r>
        <w:rPr>
          <w:rFonts w:ascii="Arial" w:eastAsia="Arial" w:hAnsi="Arial" w:cs="Arial"/>
          <w:sz w:val="20"/>
        </w:rPr>
        <w:t xml:space="preserve">uação dos recolhimentos, para os fins do previsto no subitem anterior.  </w:t>
      </w:r>
    </w:p>
    <w:p w:rsidR="006C145C" w:rsidRDefault="00C62E5A">
      <w:pPr>
        <w:spacing w:after="129" w:line="270" w:lineRule="auto"/>
        <w:ind w:left="505" w:right="54" w:hanging="8"/>
        <w:jc w:val="both"/>
      </w:pPr>
      <w:r>
        <w:rPr>
          <w:rFonts w:ascii="Arial" w:eastAsia="Arial" w:hAnsi="Arial" w:cs="Arial"/>
          <w:sz w:val="20"/>
        </w:rPr>
        <w:t xml:space="preserve">6.8. Independentemente do percentual de tributo inserido na planilha, no pagamento dos serviços, serão retidos na fonte os percentuais estabelecidos na legislação vigente. </w:t>
      </w:r>
    </w:p>
    <w:p w:rsidR="006C145C" w:rsidRDefault="00C62E5A">
      <w:pPr>
        <w:spacing w:after="130" w:line="270" w:lineRule="auto"/>
        <w:ind w:left="507" w:right="58" w:hanging="10"/>
        <w:jc w:val="both"/>
      </w:pPr>
      <w:r>
        <w:rPr>
          <w:rFonts w:ascii="Arial" w:eastAsia="Arial" w:hAnsi="Arial" w:cs="Arial"/>
          <w:i/>
          <w:color w:val="FF0000"/>
          <w:sz w:val="20"/>
        </w:rPr>
        <w:t>6.9. Na pr</w:t>
      </w:r>
      <w:r>
        <w:rPr>
          <w:rFonts w:ascii="Arial" w:eastAsia="Arial" w:hAnsi="Arial" w:cs="Arial"/>
          <w:i/>
          <w:color w:val="FF0000"/>
          <w:sz w:val="20"/>
        </w:rPr>
        <w:t xml:space="preserve">esente licitação, a Microempresa e a Empresa de Pequeno Porte não poderão se beneficiar do regime de tributação pelo Simples Nacional, visto que os serviços serão prestados com disponibilização de trabalhadores em dedicação exclusiva de mão de obra, o que </w:t>
      </w:r>
      <w:r>
        <w:rPr>
          <w:rFonts w:ascii="Arial" w:eastAsia="Arial" w:hAnsi="Arial" w:cs="Arial"/>
          <w:i/>
          <w:color w:val="FF0000"/>
          <w:sz w:val="20"/>
        </w:rPr>
        <w:t xml:space="preserve">configura cessão de mão de obra para fins tributários, conforme art. 17, inciso XII, da Lei Complementar nº 123/2006. </w:t>
      </w:r>
    </w:p>
    <w:p w:rsidR="006C145C" w:rsidRDefault="00C62E5A">
      <w:pPr>
        <w:pStyle w:val="Ttulo3"/>
        <w:spacing w:after="3"/>
        <w:ind w:left="2151"/>
        <w:jc w:val="left"/>
      </w:pPr>
      <w:r>
        <w:rPr>
          <w:i/>
          <w:color w:val="FF0000"/>
          <w:u w:val="single" w:color="FF0000"/>
        </w:rPr>
        <w:t>OU</w:t>
      </w:r>
      <w:r>
        <w:rPr>
          <w:i/>
          <w:color w:val="FF0000"/>
        </w:rPr>
        <w:t xml:space="preserve">  </w:t>
      </w:r>
    </w:p>
    <w:p w:rsidR="006C145C" w:rsidRDefault="00C62E5A">
      <w:pPr>
        <w:spacing w:after="157" w:line="270" w:lineRule="auto"/>
        <w:ind w:left="1140" w:right="58" w:hanging="432"/>
        <w:jc w:val="both"/>
      </w:pPr>
      <w:r>
        <w:rPr>
          <w:rFonts w:ascii="Arial" w:eastAsia="Arial" w:hAnsi="Arial" w:cs="Arial"/>
          <w:i/>
          <w:color w:val="FF0000"/>
          <w:sz w:val="20"/>
        </w:rPr>
        <w:t xml:space="preserve">6.9. </w:t>
      </w:r>
      <w:r>
        <w:rPr>
          <w:rFonts w:ascii="Arial" w:eastAsia="Arial" w:hAnsi="Arial" w:cs="Arial"/>
          <w:i/>
          <w:color w:val="FF0000"/>
          <w:sz w:val="20"/>
        </w:rPr>
        <w:t xml:space="preserve">Na presente licitação, a Microempresa e a Empresa de Pequeno Porte poderão se beneficiar do regime de tributação pelo Simples Nacional, nos termos do art. 18, § 5º-C, inciso VI, c/c § 5º-H, da Lei Complementar nº 123/2006.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155" w:line="250" w:lineRule="auto"/>
        <w:ind w:left="577" w:right="56" w:hanging="10"/>
        <w:jc w:val="both"/>
      </w:pPr>
      <w:r>
        <w:rPr>
          <w:rFonts w:ascii="Arial" w:eastAsia="Arial" w:hAnsi="Arial" w:cs="Arial"/>
          <w:b/>
          <w:i/>
          <w:sz w:val="20"/>
        </w:rPr>
        <w:t>Nota explicativa</w:t>
      </w:r>
      <w:r>
        <w:rPr>
          <w:rFonts w:ascii="Arial" w:eastAsia="Arial" w:hAnsi="Arial" w:cs="Arial"/>
          <w:i/>
          <w:sz w:val="20"/>
        </w:rPr>
        <w:t>: A segunda alternativa de redação deverá ser utilizada caso a licitação tenha por objeto os serviços de vigilância, limpeza ou</w:t>
      </w:r>
      <w:r>
        <w:rPr>
          <w:rFonts w:ascii="Arial" w:eastAsia="Arial" w:hAnsi="Arial" w:cs="Arial"/>
          <w:b/>
          <w:i/>
          <w:sz w:val="20"/>
        </w:rPr>
        <w:t xml:space="preserve"> </w:t>
      </w:r>
      <w:r>
        <w:rPr>
          <w:rFonts w:ascii="Arial" w:eastAsia="Arial" w:hAnsi="Arial" w:cs="Arial"/>
          <w:i/>
          <w:sz w:val="20"/>
        </w:rPr>
        <w:t xml:space="preserve">conservação.  </w:t>
      </w:r>
    </w:p>
    <w:p w:rsidR="006C145C" w:rsidRDefault="00C62E5A">
      <w:pPr>
        <w:spacing w:after="129" w:line="270" w:lineRule="auto"/>
        <w:ind w:left="505" w:right="54" w:hanging="8"/>
        <w:jc w:val="both"/>
      </w:pPr>
      <w:r>
        <w:rPr>
          <w:rFonts w:ascii="Arial" w:eastAsia="Arial" w:hAnsi="Arial" w:cs="Arial"/>
          <w:sz w:val="20"/>
        </w:rPr>
        <w:t>6.10. A apresentação das propostas implica obrigatoriedade do cumprimento das disposições nelas contidas, em conf</w:t>
      </w:r>
      <w:r>
        <w:rPr>
          <w:rFonts w:ascii="Arial" w:eastAsia="Arial" w:hAnsi="Arial" w:cs="Arial"/>
          <w:sz w:val="20"/>
        </w:rPr>
        <w:t>ormidade com o que dispõe o Termo de Referência, assumindo o proponente o compromisso de executar os serviços nos seus termos, bem como de fornecer os materiais, equipamentos, ferramentas e utensílios necessários, em quantidades e qualidades adequadas à pe</w:t>
      </w:r>
      <w:r>
        <w:rPr>
          <w:rFonts w:ascii="Arial" w:eastAsia="Arial" w:hAnsi="Arial" w:cs="Arial"/>
          <w:sz w:val="20"/>
        </w:rPr>
        <w:t xml:space="preserve">rfeita execução contratual, promovendo, quando requerido, sua substituição. </w:t>
      </w:r>
    </w:p>
    <w:p w:rsidR="006C145C" w:rsidRDefault="00C62E5A">
      <w:pPr>
        <w:spacing w:after="129" w:line="270" w:lineRule="auto"/>
        <w:ind w:left="505" w:right="116" w:hanging="8"/>
        <w:jc w:val="both"/>
      </w:pPr>
      <w:r>
        <w:rPr>
          <w:rFonts w:ascii="Arial" w:eastAsia="Arial" w:hAnsi="Arial" w:cs="Arial"/>
          <w:sz w:val="20"/>
        </w:rPr>
        <w:t>6.11. Os preços ofertados, tanto na proposta inicial, quanto na etapa de lances, serão de exclusiva responsabilidade do licitante, não lhe assistindo o direito de pleitear qualque</w:t>
      </w:r>
      <w:r>
        <w:rPr>
          <w:rFonts w:ascii="Arial" w:eastAsia="Arial" w:hAnsi="Arial" w:cs="Arial"/>
          <w:sz w:val="20"/>
        </w:rPr>
        <w:t xml:space="preserve">r alteração, sob alegação de erro, omissão ou qualquer outro pretexto. </w:t>
      </w:r>
    </w:p>
    <w:p w:rsidR="006C145C" w:rsidRDefault="00C62E5A">
      <w:pPr>
        <w:spacing w:after="173" w:line="269" w:lineRule="auto"/>
        <w:ind w:left="497" w:right="51"/>
        <w:jc w:val="both"/>
      </w:pPr>
      <w:r>
        <w:rPr>
          <w:rFonts w:ascii="Arial" w:eastAsia="Arial" w:hAnsi="Arial" w:cs="Arial"/>
          <w:sz w:val="20"/>
          <w:shd w:val="clear" w:color="auto" w:fill="FFFF00"/>
        </w:rPr>
        <w:t xml:space="preserve">6.12. O prazo de validade da proposta não será inferior a </w:t>
      </w:r>
      <w:r>
        <w:rPr>
          <w:rFonts w:ascii="Arial" w:eastAsia="Arial" w:hAnsi="Arial" w:cs="Arial"/>
          <w:color w:val="FF0000"/>
          <w:sz w:val="20"/>
          <w:shd w:val="clear" w:color="auto" w:fill="FFFF00"/>
        </w:rPr>
        <w:t xml:space="preserve">........ </w:t>
      </w:r>
      <w:r>
        <w:rPr>
          <w:rFonts w:ascii="Arial" w:eastAsia="Arial" w:hAnsi="Arial" w:cs="Arial"/>
          <w:i/>
          <w:color w:val="FF0000"/>
          <w:sz w:val="20"/>
          <w:shd w:val="clear" w:color="auto" w:fill="FFFF00"/>
        </w:rPr>
        <w:t>[mínimo de quatro horas]</w:t>
      </w:r>
      <w:r>
        <w:rPr>
          <w:rFonts w:ascii="Arial" w:eastAsia="Arial" w:hAnsi="Arial" w:cs="Arial"/>
          <w:sz w:val="20"/>
          <w:shd w:val="clear" w:color="auto" w:fill="FFFF00"/>
        </w:rPr>
        <w:t>,</w:t>
      </w:r>
      <w:r>
        <w:rPr>
          <w:rFonts w:ascii="Arial" w:eastAsia="Arial" w:hAnsi="Arial" w:cs="Arial"/>
          <w:sz w:val="20"/>
        </w:rPr>
        <w:t xml:space="preserve">  </w:t>
      </w:r>
      <w:r>
        <w:rPr>
          <w:rFonts w:ascii="Arial" w:eastAsia="Arial" w:hAnsi="Arial" w:cs="Arial"/>
          <w:sz w:val="20"/>
          <w:shd w:val="clear" w:color="auto" w:fill="FFFF00"/>
        </w:rPr>
        <w:t>dias</w:t>
      </w:r>
      <w:r>
        <w:rPr>
          <w:rFonts w:ascii="Arial" w:eastAsia="Arial" w:hAnsi="Arial" w:cs="Arial"/>
          <w:b/>
          <w:sz w:val="20"/>
          <w:shd w:val="clear" w:color="auto" w:fill="FFFF00"/>
        </w:rPr>
        <w:t>,</w:t>
      </w:r>
      <w:r>
        <w:rPr>
          <w:rFonts w:ascii="Arial" w:eastAsia="Arial" w:hAnsi="Arial" w:cs="Arial"/>
          <w:sz w:val="20"/>
          <w:shd w:val="clear" w:color="auto" w:fill="FFFF00"/>
        </w:rPr>
        <w:t xml:space="preserve"> a contar da data de sua apresentação.</w:t>
      </w:r>
      <w:r>
        <w:rPr>
          <w:rFonts w:ascii="Arial" w:eastAsia="Arial" w:hAnsi="Arial" w:cs="Arial"/>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71" w:line="249" w:lineRule="auto"/>
        <w:ind w:left="-5" w:right="118" w:hanging="10"/>
        <w:jc w:val="both"/>
      </w:pPr>
      <w:r>
        <w:rPr>
          <w:rFonts w:ascii="Arial" w:eastAsia="Arial" w:hAnsi="Arial" w:cs="Arial"/>
          <w:b/>
          <w:i/>
          <w:sz w:val="20"/>
        </w:rPr>
        <w:t xml:space="preserve">Nota Explicativa: </w:t>
      </w:r>
      <w:r>
        <w:rPr>
          <w:rFonts w:ascii="Arial" w:eastAsia="Arial" w:hAnsi="Arial" w:cs="Arial"/>
          <w:i/>
          <w:sz w:val="20"/>
        </w:rPr>
        <w:t>Art. 48, § 3º, do Decreto n</w:t>
      </w:r>
      <w:r>
        <w:rPr>
          <w:rFonts w:ascii="Arial" w:eastAsia="Arial" w:hAnsi="Arial" w:cs="Arial"/>
          <w:i/>
          <w:sz w:val="20"/>
        </w:rPr>
        <w:t xml:space="preserve">º 10.024, de 2019: “O prazo de validade das propostas será de sessenta dias, salvo disposição específica do Edital”. Desta forma, é possível prever prazo diferente, de acordo com as peculiaridades da licitação. </w:t>
      </w:r>
    </w:p>
    <w:p w:rsidR="006C145C" w:rsidRDefault="00C62E5A">
      <w:pPr>
        <w:spacing w:after="129" w:line="270" w:lineRule="auto"/>
        <w:ind w:left="505" w:right="54" w:hanging="8"/>
        <w:jc w:val="both"/>
      </w:pPr>
      <w:r>
        <w:rPr>
          <w:rFonts w:ascii="Arial" w:eastAsia="Arial" w:hAnsi="Arial" w:cs="Arial"/>
          <w:sz w:val="20"/>
        </w:rPr>
        <w:lastRenderedPageBreak/>
        <w:t>6.13. Os licitantes devem respeitar os preço</w:t>
      </w:r>
      <w:r>
        <w:rPr>
          <w:rFonts w:ascii="Arial" w:eastAsia="Arial" w:hAnsi="Arial" w:cs="Arial"/>
          <w:sz w:val="20"/>
        </w:rPr>
        <w:t xml:space="preserve">s máximos estabelecidos nas normas de regência de contratações públicas federais, quando participarem de licitações públicas; </w:t>
      </w:r>
    </w:p>
    <w:p w:rsidR="006C145C" w:rsidRDefault="00C62E5A">
      <w:pPr>
        <w:spacing w:after="483" w:line="270" w:lineRule="auto"/>
        <w:ind w:left="1923" w:right="116" w:hanging="504"/>
        <w:jc w:val="both"/>
      </w:pPr>
      <w:r>
        <w:rPr>
          <w:rFonts w:ascii="Arial" w:eastAsia="Arial" w:hAnsi="Arial" w:cs="Arial"/>
          <w:sz w:val="20"/>
        </w:rPr>
        <w:t xml:space="preserve">6.13.1 </w:t>
      </w:r>
      <w:r>
        <w:rPr>
          <w:rFonts w:ascii="Arial" w:eastAsia="Arial" w:hAnsi="Arial" w:cs="Arial"/>
          <w:sz w:val="20"/>
        </w:rPr>
        <w:t>O descumprimento das regras supramencionadas pela Administração por parte dos contratados pode ensejar a responsabilização pelo Tribunal de Contas da União e, após o devido processo legal, gerar as seguintes consequências: assinatura de prazo para a adoção</w:t>
      </w:r>
      <w:r>
        <w:rPr>
          <w:rFonts w:ascii="Arial" w:eastAsia="Arial" w:hAnsi="Arial" w:cs="Arial"/>
          <w:sz w:val="20"/>
        </w:rPr>
        <w:t xml:space="preserve"> das medidas necessárias ao exato cumprimento da lei, nos termos do art. 71, inciso IX, da Constituição; ou condenação dos agentes públicos responsáveis e da empresa contratada ao pagamento dos prejuízos ao erário, caso verificada a ocorrência de superfatu</w:t>
      </w:r>
      <w:r>
        <w:rPr>
          <w:rFonts w:ascii="Arial" w:eastAsia="Arial" w:hAnsi="Arial" w:cs="Arial"/>
          <w:sz w:val="20"/>
        </w:rPr>
        <w:t xml:space="preserve">ramento por sobrepreço na execução do contrato </w:t>
      </w:r>
    </w:p>
    <w:p w:rsidR="006C145C" w:rsidRDefault="00C62E5A">
      <w:pPr>
        <w:spacing w:after="25" w:line="249" w:lineRule="auto"/>
        <w:ind w:left="7" w:right="37" w:hanging="10"/>
        <w:jc w:val="both"/>
      </w:pPr>
      <w:r>
        <w:rPr>
          <w:rFonts w:ascii="Arial" w:eastAsia="Arial" w:hAnsi="Arial" w:cs="Arial"/>
          <w:b/>
          <w:sz w:val="20"/>
        </w:rPr>
        <w:t xml:space="preserve">7.  DA ABERTURA DA SESSÃO, CLASSIFICAÇÃO DAS PROPOSTAS E FORMULAÇÃO DE </w:t>
      </w:r>
    </w:p>
    <w:p w:rsidR="006C145C" w:rsidRDefault="00C62E5A">
      <w:pPr>
        <w:pStyle w:val="Ttulo3"/>
        <w:spacing w:after="150" w:line="249" w:lineRule="auto"/>
        <w:ind w:left="370" w:right="37"/>
        <w:jc w:val="both"/>
      </w:pPr>
      <w:r>
        <w:t xml:space="preserve">LANCES </w:t>
      </w:r>
    </w:p>
    <w:p w:rsidR="006C145C" w:rsidRDefault="00C62E5A">
      <w:pPr>
        <w:spacing w:after="129" w:line="270" w:lineRule="auto"/>
        <w:ind w:left="788" w:right="54" w:hanging="360"/>
        <w:jc w:val="both"/>
      </w:pPr>
      <w:r>
        <w:rPr>
          <w:rFonts w:ascii="Arial" w:eastAsia="Arial" w:hAnsi="Arial" w:cs="Arial"/>
          <w:sz w:val="20"/>
        </w:rPr>
        <w:t>7.1 A abertura da presente licitação dar-se-</w:t>
      </w:r>
      <w:r>
        <w:rPr>
          <w:rFonts w:ascii="Arial" w:eastAsia="Arial" w:hAnsi="Arial" w:cs="Arial"/>
          <w:sz w:val="20"/>
        </w:rPr>
        <w:t xml:space="preserve">á em sessão pública, por meio de sistema eletrônico, na data, horário e local indicados neste Edital. </w:t>
      </w:r>
    </w:p>
    <w:p w:rsidR="006C145C" w:rsidRDefault="00C62E5A">
      <w:pPr>
        <w:spacing w:after="129" w:line="270" w:lineRule="auto"/>
        <w:ind w:left="785" w:right="120" w:hanging="360"/>
        <w:jc w:val="both"/>
      </w:pPr>
      <w:r>
        <w:rPr>
          <w:rFonts w:ascii="Arial" w:eastAsia="Arial" w:hAnsi="Arial" w:cs="Arial"/>
          <w:sz w:val="20"/>
        </w:rPr>
        <w:t>7.2 O Pregoeiro verificará as propostas apresentadas, desclassificando desde logo aquelas que não estejam em conformidade com os requisitos estabelecidos</w:t>
      </w:r>
      <w:r>
        <w:rPr>
          <w:rFonts w:ascii="Arial" w:eastAsia="Arial" w:hAnsi="Arial" w:cs="Arial"/>
          <w:sz w:val="20"/>
        </w:rPr>
        <w:t xml:space="preserve"> neste Edital, contenham vícios insanáveis, ilegalidades, ou não apresentem as especificações exigidas no Termo de Referência.  </w:t>
      </w:r>
    </w:p>
    <w:p w:rsidR="006C145C" w:rsidRDefault="00C62E5A">
      <w:pPr>
        <w:tabs>
          <w:tab w:val="center" w:pos="758"/>
          <w:tab w:val="center" w:pos="4236"/>
        </w:tabs>
        <w:spacing w:after="129" w:line="270" w:lineRule="auto"/>
      </w:pPr>
      <w:r>
        <w:tab/>
      </w:r>
      <w:r>
        <w:rPr>
          <w:rFonts w:ascii="Arial" w:eastAsia="Arial" w:hAnsi="Arial" w:cs="Arial"/>
          <w:sz w:val="20"/>
        </w:rPr>
        <w:t xml:space="preserve">7.2.1 </w:t>
      </w:r>
      <w:r>
        <w:rPr>
          <w:rFonts w:ascii="Arial" w:eastAsia="Arial" w:hAnsi="Arial" w:cs="Arial"/>
          <w:sz w:val="20"/>
        </w:rPr>
        <w:tab/>
        <w:t xml:space="preserve">Também será desclassificada a proposta que identifique o licitante. </w:t>
      </w:r>
    </w:p>
    <w:p w:rsidR="006C145C" w:rsidRDefault="00C62E5A">
      <w:pPr>
        <w:spacing w:after="129" w:line="270" w:lineRule="auto"/>
        <w:ind w:left="1712" w:right="54" w:hanging="720"/>
        <w:jc w:val="both"/>
      </w:pPr>
      <w:r>
        <w:rPr>
          <w:rFonts w:ascii="Arial" w:eastAsia="Arial" w:hAnsi="Arial" w:cs="Arial"/>
          <w:sz w:val="20"/>
        </w:rPr>
        <w:t xml:space="preserve">7.2.2 A desclassificação será sempre fundamentada </w:t>
      </w:r>
      <w:r>
        <w:rPr>
          <w:rFonts w:ascii="Arial" w:eastAsia="Arial" w:hAnsi="Arial" w:cs="Arial"/>
          <w:sz w:val="20"/>
        </w:rPr>
        <w:t xml:space="preserve">e registrada no sistema, com acompanhamento em tempo real por todos os participantes. </w:t>
      </w:r>
    </w:p>
    <w:p w:rsidR="006C145C" w:rsidRDefault="00C62E5A">
      <w:pPr>
        <w:spacing w:after="129" w:line="270" w:lineRule="auto"/>
        <w:ind w:left="1712" w:right="54" w:hanging="720"/>
        <w:jc w:val="both"/>
      </w:pPr>
      <w:r>
        <w:rPr>
          <w:rFonts w:ascii="Arial" w:eastAsia="Arial" w:hAnsi="Arial" w:cs="Arial"/>
          <w:sz w:val="20"/>
        </w:rPr>
        <w:t xml:space="preserve">7.2.3 A não desclassificação da proposta não impede o seu julgamento definitivo em sentido contrário, levado a efeito na fase de aceitação. </w:t>
      </w:r>
    </w:p>
    <w:p w:rsidR="006C145C" w:rsidRDefault="00C62E5A">
      <w:pPr>
        <w:spacing w:after="129" w:line="270" w:lineRule="auto"/>
        <w:ind w:left="785" w:right="54" w:hanging="360"/>
        <w:jc w:val="both"/>
      </w:pPr>
      <w:r>
        <w:rPr>
          <w:rFonts w:ascii="Arial" w:eastAsia="Arial" w:hAnsi="Arial" w:cs="Arial"/>
          <w:sz w:val="20"/>
        </w:rPr>
        <w:t>7.3 O sistema ordenará autom</w:t>
      </w:r>
      <w:r>
        <w:rPr>
          <w:rFonts w:ascii="Arial" w:eastAsia="Arial" w:hAnsi="Arial" w:cs="Arial"/>
          <w:sz w:val="20"/>
        </w:rPr>
        <w:t xml:space="preserve">aticamente as propostas classificadas, sendo que somente estas participarão da fase de lances. </w:t>
      </w:r>
    </w:p>
    <w:p w:rsidR="006C145C" w:rsidRDefault="00C62E5A">
      <w:pPr>
        <w:spacing w:after="129" w:line="270" w:lineRule="auto"/>
        <w:ind w:left="433" w:right="54" w:hanging="8"/>
        <w:jc w:val="both"/>
      </w:pPr>
      <w:r>
        <w:rPr>
          <w:rFonts w:ascii="Arial" w:eastAsia="Arial" w:hAnsi="Arial" w:cs="Arial"/>
          <w:sz w:val="20"/>
        </w:rPr>
        <w:t xml:space="preserve">7.4 O sistema disponibilizará campo próprio para troca de mensagens entre o Pregoeiro e os licitantes. </w:t>
      </w:r>
    </w:p>
    <w:p w:rsidR="006C145C" w:rsidRDefault="00C62E5A">
      <w:pPr>
        <w:spacing w:after="129" w:line="270" w:lineRule="auto"/>
        <w:ind w:left="433" w:right="54" w:hanging="8"/>
        <w:jc w:val="both"/>
      </w:pPr>
      <w:r>
        <w:rPr>
          <w:rFonts w:ascii="Arial" w:eastAsia="Arial" w:hAnsi="Arial" w:cs="Arial"/>
          <w:sz w:val="20"/>
        </w:rPr>
        <w:t xml:space="preserve">7.5 </w:t>
      </w:r>
      <w:r>
        <w:rPr>
          <w:rFonts w:ascii="Arial" w:eastAsia="Arial" w:hAnsi="Arial" w:cs="Arial"/>
          <w:sz w:val="20"/>
        </w:rPr>
        <w:t xml:space="preserve">Iniciada a etapa competitiva, os licitantes deverão encaminhar lances exclusivamente por meio de sistema eletrônico, sendo imediatamente informados do seu recebimento e do valor consignado no registro.  </w:t>
      </w:r>
    </w:p>
    <w:p w:rsidR="006C145C" w:rsidRDefault="00C62E5A">
      <w:pPr>
        <w:tabs>
          <w:tab w:val="center" w:pos="1469"/>
          <w:tab w:val="center" w:pos="5167"/>
        </w:tabs>
        <w:spacing w:after="174"/>
      </w:pPr>
      <w:r>
        <w:tab/>
      </w:r>
      <w:r>
        <w:rPr>
          <w:rFonts w:ascii="Arial" w:eastAsia="Arial" w:hAnsi="Arial" w:cs="Arial"/>
          <w:i/>
          <w:color w:val="FF0000"/>
          <w:sz w:val="20"/>
        </w:rPr>
        <w:t xml:space="preserve">7.5.1 </w:t>
      </w:r>
      <w:r>
        <w:rPr>
          <w:rFonts w:ascii="Arial" w:eastAsia="Arial" w:hAnsi="Arial" w:cs="Arial"/>
          <w:i/>
          <w:color w:val="FF0000"/>
          <w:sz w:val="20"/>
        </w:rPr>
        <w:tab/>
        <w:t>O lance deverá ser ofertado pelo valor anual</w:t>
      </w:r>
      <w:r>
        <w:rPr>
          <w:rFonts w:ascii="Arial" w:eastAsia="Arial" w:hAnsi="Arial" w:cs="Arial"/>
          <w:i/>
          <w:color w:val="FF0000"/>
          <w:sz w:val="20"/>
        </w:rPr>
        <w:t xml:space="preserve">/total/unitário do item.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74" w:line="249" w:lineRule="auto"/>
        <w:ind w:left="370" w:right="57" w:hanging="10"/>
        <w:jc w:val="both"/>
      </w:pPr>
      <w:r>
        <w:rPr>
          <w:rFonts w:ascii="Arial" w:eastAsia="Arial" w:hAnsi="Arial" w:cs="Arial"/>
          <w:b/>
          <w:i/>
          <w:sz w:val="20"/>
        </w:rPr>
        <w:t>Nota explicativa</w:t>
      </w:r>
      <w:r>
        <w:rPr>
          <w:rFonts w:ascii="Arial" w:eastAsia="Arial" w:hAnsi="Arial" w:cs="Arial"/>
          <w:i/>
          <w:sz w:val="20"/>
        </w:rPr>
        <w:t xml:space="preserve">: Deve a autoridade optar por uma ou outra redação do item em conformidade ao objeto licitado e ao critério de julgamento já estabelecido no edital, bem como o que dispõe o Termo de Referência. </w:t>
      </w:r>
      <w:r>
        <w:rPr>
          <w:rFonts w:ascii="Arial" w:eastAsia="Arial" w:hAnsi="Arial" w:cs="Arial"/>
          <w:i/>
          <w:color w:val="FF0000"/>
          <w:sz w:val="20"/>
        </w:rPr>
        <w:t xml:space="preserve"> </w:t>
      </w:r>
    </w:p>
    <w:p w:rsidR="006C145C" w:rsidRDefault="00C62E5A">
      <w:pPr>
        <w:spacing w:after="129" w:line="270" w:lineRule="auto"/>
        <w:ind w:left="785" w:right="54" w:hanging="360"/>
        <w:jc w:val="both"/>
      </w:pPr>
      <w:r>
        <w:rPr>
          <w:rFonts w:ascii="Arial" w:eastAsia="Arial" w:hAnsi="Arial" w:cs="Arial"/>
          <w:sz w:val="20"/>
        </w:rPr>
        <w:t>7.6  Os licitantes</w:t>
      </w:r>
      <w:r>
        <w:rPr>
          <w:rFonts w:ascii="Arial" w:eastAsia="Arial" w:hAnsi="Arial" w:cs="Arial"/>
          <w:sz w:val="20"/>
        </w:rPr>
        <w:t xml:space="preserve"> poderão oferecer lances sucessivos, observando o horário fixado para abertura da sessão e as regras estabelecidas no Edital. </w:t>
      </w:r>
    </w:p>
    <w:p w:rsidR="006C145C" w:rsidRDefault="00C62E5A">
      <w:pPr>
        <w:spacing w:after="129" w:line="270" w:lineRule="auto"/>
        <w:ind w:left="785" w:right="54" w:hanging="360"/>
        <w:jc w:val="both"/>
      </w:pPr>
      <w:r>
        <w:rPr>
          <w:rFonts w:ascii="Arial" w:eastAsia="Arial" w:hAnsi="Arial" w:cs="Arial"/>
          <w:sz w:val="20"/>
        </w:rPr>
        <w:t>7.7 O licitante somente poderá oferecer lance de valor inferior ou percentual de desconto superior ao último por ele ofertado e r</w:t>
      </w:r>
      <w:r>
        <w:rPr>
          <w:rFonts w:ascii="Arial" w:eastAsia="Arial" w:hAnsi="Arial" w:cs="Arial"/>
          <w:sz w:val="20"/>
        </w:rPr>
        <w:t xml:space="preserve">egistrado pelo sistema.  </w:t>
      </w:r>
    </w:p>
    <w:p w:rsidR="006C145C" w:rsidRDefault="00C62E5A">
      <w:pPr>
        <w:spacing w:after="277" w:line="270" w:lineRule="auto"/>
        <w:ind w:left="770" w:right="58" w:hanging="360"/>
        <w:jc w:val="both"/>
      </w:pPr>
      <w:r>
        <w:rPr>
          <w:rFonts w:ascii="Arial" w:eastAsia="Arial" w:hAnsi="Arial" w:cs="Arial"/>
          <w:i/>
          <w:color w:val="FF0000"/>
          <w:sz w:val="20"/>
        </w:rPr>
        <w:t xml:space="preserve">7.8 O intervalo mínimo de diferença de valores ou percentuais entre os lances, que incidirá tanto em relação aos lances intermediários quanto em relação à proposta que cobrir a melhor oferta deverá ser de ........ (....).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263" w:line="249" w:lineRule="auto"/>
        <w:ind w:left="-5" w:right="57" w:hanging="10"/>
        <w:jc w:val="both"/>
      </w:pPr>
      <w:r>
        <w:rPr>
          <w:rFonts w:ascii="Arial" w:eastAsia="Arial" w:hAnsi="Arial" w:cs="Arial"/>
          <w:b/>
          <w:i/>
          <w:sz w:val="20"/>
        </w:rPr>
        <w:t xml:space="preserve">Nota Explicativa: </w:t>
      </w:r>
      <w:r>
        <w:rPr>
          <w:rFonts w:ascii="Arial" w:eastAsia="Arial" w:hAnsi="Arial" w:cs="Arial"/>
          <w:i/>
          <w:sz w:val="20"/>
        </w:rPr>
        <w:t>Adotado o modo de disputa aberto, a previsão do item acima de intervalo mínimo de diferença de valores ou de percentuais entre os lances é obrigatória,</w:t>
      </w:r>
      <w:r>
        <w:rPr>
          <w:rFonts w:ascii="Arial" w:eastAsia="Arial" w:hAnsi="Arial" w:cs="Arial"/>
          <w:b/>
          <w:i/>
          <w:sz w:val="20"/>
        </w:rPr>
        <w:t xml:space="preserve"> </w:t>
      </w:r>
      <w:r>
        <w:rPr>
          <w:rFonts w:ascii="Arial" w:eastAsia="Arial" w:hAnsi="Arial" w:cs="Arial"/>
          <w:i/>
          <w:sz w:val="20"/>
        </w:rPr>
        <w:t xml:space="preserve">conforme artigo 31, parágrafo único </w:t>
      </w:r>
      <w:r>
        <w:rPr>
          <w:rFonts w:ascii="Arial" w:eastAsia="Arial" w:hAnsi="Arial" w:cs="Arial"/>
          <w:i/>
          <w:sz w:val="20"/>
        </w:rPr>
        <w:lastRenderedPageBreak/>
        <w:t>do Decreto nº 10.024, de 20 de setembro de 2019. J</w:t>
      </w:r>
      <w:r>
        <w:rPr>
          <w:rFonts w:ascii="Arial" w:eastAsia="Arial" w:hAnsi="Arial" w:cs="Arial"/>
          <w:i/>
          <w:sz w:val="20"/>
        </w:rPr>
        <w:t>á para o modo de disputa “aberto e fechado”, tal previsão é facultativa.</w:t>
      </w:r>
      <w:r>
        <w:rPr>
          <w:rFonts w:ascii="Arial" w:eastAsia="Arial" w:hAnsi="Arial" w:cs="Arial"/>
          <w:i/>
          <w:color w:val="FF0000"/>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294" w:line="249" w:lineRule="auto"/>
        <w:ind w:left="-5" w:right="57" w:hanging="10"/>
        <w:jc w:val="both"/>
      </w:pPr>
      <w:r>
        <w:rPr>
          <w:rFonts w:ascii="Arial" w:eastAsia="Arial" w:hAnsi="Arial" w:cs="Arial"/>
          <w:i/>
          <w:sz w:val="20"/>
        </w:rPr>
        <w:t>O</w:t>
      </w:r>
      <w:r>
        <w:rPr>
          <w:rFonts w:ascii="Arial" w:eastAsia="Arial" w:hAnsi="Arial" w:cs="Arial"/>
          <w:b/>
          <w:i/>
          <w:sz w:val="20"/>
        </w:rPr>
        <w:t xml:space="preserve"> </w:t>
      </w:r>
      <w:r>
        <w:rPr>
          <w:rFonts w:ascii="Arial" w:eastAsia="Arial" w:hAnsi="Arial" w:cs="Arial"/>
          <w:i/>
          <w:sz w:val="20"/>
        </w:rPr>
        <w:t>subitem acima poderá ser acrescentado para incluir intervalo mínimo de valor (em moeda corrente) entre os lances, que implique repercussão financeira que efetivamente diferencie um</w:t>
      </w:r>
      <w:r>
        <w:rPr>
          <w:rFonts w:ascii="Arial" w:eastAsia="Arial" w:hAnsi="Arial" w:cs="Arial"/>
          <w:i/>
          <w:sz w:val="20"/>
        </w:rPr>
        <w:t xml:space="preserve">a proposta da outra, nos termos da Instrução Normativa SLTI/MP nº 03/2013, e do art. 30, §3º do Decreto nº 10.024/19. </w:t>
      </w:r>
    </w:p>
    <w:p w:rsidR="006C145C" w:rsidRDefault="00C62E5A">
      <w:pPr>
        <w:spacing w:after="274" w:line="270" w:lineRule="auto"/>
        <w:ind w:left="785" w:right="54" w:hanging="360"/>
        <w:jc w:val="both"/>
      </w:pPr>
      <w:r>
        <w:rPr>
          <w:rFonts w:ascii="Arial" w:eastAsia="Arial" w:hAnsi="Arial" w:cs="Arial"/>
          <w:sz w:val="20"/>
        </w:rPr>
        <w:t>7.9 O intervalo entre os lances enviados pelo mesmo licitante não poderá ser inferior a vinte (20) segundos e o intervalo entre lances nã</w:t>
      </w:r>
      <w:r>
        <w:rPr>
          <w:rFonts w:ascii="Arial" w:eastAsia="Arial" w:hAnsi="Arial" w:cs="Arial"/>
          <w:sz w:val="20"/>
        </w:rPr>
        <w:t xml:space="preserve">o poderá ser inferior a três (3) segundos, sob pena de serem automaticamente descartados pelo sistema os respectivos lances.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319" w:line="249" w:lineRule="auto"/>
        <w:ind w:left="-5" w:right="57" w:hanging="10"/>
        <w:jc w:val="both"/>
      </w:pPr>
      <w:r>
        <w:rPr>
          <w:rFonts w:ascii="Arial" w:eastAsia="Arial" w:hAnsi="Arial" w:cs="Arial"/>
          <w:b/>
          <w:i/>
          <w:sz w:val="20"/>
        </w:rPr>
        <w:t xml:space="preserve">Nota Explicativa: </w:t>
      </w:r>
      <w:r>
        <w:rPr>
          <w:rFonts w:ascii="Arial" w:eastAsia="Arial" w:hAnsi="Arial" w:cs="Arial"/>
          <w:i/>
          <w:sz w:val="20"/>
        </w:rPr>
        <w:t>Utilize a redação abaixo no caso de modo de disputa aberto.</w:t>
      </w:r>
      <w:r>
        <w:rPr>
          <w:rFonts w:ascii="Arial" w:eastAsia="Arial" w:hAnsi="Arial" w:cs="Arial"/>
          <w:b/>
          <w:i/>
          <w:sz w:val="20"/>
        </w:rPr>
        <w:t xml:space="preserve"> </w:t>
      </w:r>
      <w:r>
        <w:rPr>
          <w:rFonts w:ascii="Arial" w:eastAsia="Arial" w:hAnsi="Arial" w:cs="Arial"/>
          <w:i/>
          <w:sz w:val="20"/>
        </w:rPr>
        <w:t>No modo de disputa aberto, a fase de lances resume-s</w:t>
      </w:r>
      <w:r>
        <w:rPr>
          <w:rFonts w:ascii="Arial" w:eastAsia="Arial" w:hAnsi="Arial" w:cs="Arial"/>
          <w:i/>
          <w:sz w:val="20"/>
        </w:rPr>
        <w:t xml:space="preserve">e à disputa eletrônica, realizada por todos os licitantes, oportunidade em que os valores são registrados pelo sistema e o lance vencedor é aquele que contém o melhor preço, obtido no encerramento da sessão. </w:t>
      </w:r>
    </w:p>
    <w:p w:rsidR="006C145C" w:rsidRDefault="00C62E5A">
      <w:pPr>
        <w:spacing w:after="130" w:line="270" w:lineRule="auto"/>
        <w:ind w:left="770" w:right="58" w:hanging="360"/>
        <w:jc w:val="both"/>
      </w:pPr>
      <w:r>
        <w:rPr>
          <w:rFonts w:ascii="Arial" w:eastAsia="Arial" w:hAnsi="Arial" w:cs="Arial"/>
          <w:i/>
          <w:color w:val="FF0000"/>
          <w:sz w:val="20"/>
        </w:rPr>
        <w:t xml:space="preserve">7.10 </w:t>
      </w:r>
      <w:r>
        <w:rPr>
          <w:rFonts w:ascii="Arial" w:eastAsia="Arial" w:hAnsi="Arial" w:cs="Arial"/>
          <w:i/>
          <w:color w:val="FF0000"/>
          <w:sz w:val="20"/>
        </w:rPr>
        <w:tab/>
      </w:r>
      <w:r>
        <w:rPr>
          <w:rFonts w:ascii="Arial" w:eastAsia="Arial" w:hAnsi="Arial" w:cs="Arial"/>
          <w:i/>
          <w:color w:val="FF0000"/>
          <w:sz w:val="20"/>
        </w:rPr>
        <w:t xml:space="preserve">Será adotado para o envio de lances no pregão eletrônico o modo de disputa “aberto”, em que os licitantes apresentarão lances públicos e sucessivos, com prorrogações. </w:t>
      </w:r>
    </w:p>
    <w:p w:rsidR="006C145C" w:rsidRDefault="00C62E5A">
      <w:pPr>
        <w:spacing w:after="130" w:line="270" w:lineRule="auto"/>
        <w:ind w:left="770" w:right="58" w:hanging="360"/>
        <w:jc w:val="both"/>
      </w:pPr>
      <w:r>
        <w:rPr>
          <w:rFonts w:ascii="Arial" w:eastAsia="Arial" w:hAnsi="Arial" w:cs="Arial"/>
          <w:i/>
          <w:color w:val="FF0000"/>
          <w:sz w:val="20"/>
        </w:rPr>
        <w:t xml:space="preserve">7.11 A etapa de lances da sessão pública terá duração de dez minutos e, após isso, será </w:t>
      </w:r>
      <w:r>
        <w:rPr>
          <w:rFonts w:ascii="Arial" w:eastAsia="Arial" w:hAnsi="Arial" w:cs="Arial"/>
          <w:i/>
          <w:color w:val="FF0000"/>
          <w:sz w:val="20"/>
        </w:rPr>
        <w:t xml:space="preserve">prorrogada automaticamente pelo sistema quando houver lance ofertado nos últimos dois minutos do período de duração da sessão pública. </w:t>
      </w:r>
    </w:p>
    <w:p w:rsidR="006C145C" w:rsidRDefault="00C62E5A">
      <w:pPr>
        <w:spacing w:after="130" w:line="270" w:lineRule="auto"/>
        <w:ind w:left="770" w:right="58" w:hanging="360"/>
        <w:jc w:val="both"/>
      </w:pPr>
      <w:r>
        <w:rPr>
          <w:rFonts w:ascii="Arial" w:eastAsia="Arial" w:hAnsi="Arial" w:cs="Arial"/>
          <w:i/>
          <w:color w:val="FF0000"/>
          <w:sz w:val="20"/>
        </w:rPr>
        <w:t>7.12 A prorrogação automática da etapa de lances, de que trata o item anterior, será de dois minutos e ocorrerá sucessiv</w:t>
      </w:r>
      <w:r>
        <w:rPr>
          <w:rFonts w:ascii="Arial" w:eastAsia="Arial" w:hAnsi="Arial" w:cs="Arial"/>
          <w:i/>
          <w:color w:val="FF0000"/>
          <w:sz w:val="20"/>
        </w:rPr>
        <w:t xml:space="preserve">amente sempre que houver lances enviados nesse período de prorrogação, inclusive no caso de lances intermediários. </w:t>
      </w:r>
    </w:p>
    <w:p w:rsidR="006C145C" w:rsidRDefault="00C62E5A">
      <w:pPr>
        <w:spacing w:after="130" w:line="270" w:lineRule="auto"/>
        <w:ind w:left="770" w:right="58" w:hanging="360"/>
        <w:jc w:val="both"/>
      </w:pPr>
      <w:r>
        <w:rPr>
          <w:rFonts w:ascii="Arial" w:eastAsia="Arial" w:hAnsi="Arial" w:cs="Arial"/>
          <w:i/>
          <w:color w:val="FF0000"/>
          <w:sz w:val="20"/>
        </w:rPr>
        <w:t xml:space="preserve">7.13 Não havendo novos lances na forma estabelecida nos itens anteriores, a sessão pública encerrar-se-á automaticamente. </w:t>
      </w:r>
    </w:p>
    <w:p w:rsidR="006C145C" w:rsidRDefault="00C62E5A">
      <w:pPr>
        <w:spacing w:after="299" w:line="270" w:lineRule="auto"/>
        <w:ind w:left="770" w:right="173" w:hanging="360"/>
        <w:jc w:val="both"/>
      </w:pPr>
      <w:r>
        <w:rPr>
          <w:rFonts w:ascii="Arial" w:eastAsia="Arial" w:hAnsi="Arial" w:cs="Arial"/>
          <w:i/>
          <w:color w:val="FF0000"/>
          <w:sz w:val="20"/>
        </w:rPr>
        <w:t xml:space="preserve">7.14 Encerrada a </w:t>
      </w:r>
      <w:r>
        <w:rPr>
          <w:rFonts w:ascii="Arial" w:eastAsia="Arial" w:hAnsi="Arial" w:cs="Arial"/>
          <w:i/>
          <w:color w:val="FF0000"/>
          <w:sz w:val="20"/>
        </w:rPr>
        <w:t xml:space="preserve">fase competitiva sem que haja a prorrogação automática pelo sistema, poderá o pregoeiro, assessorado pela equipe de apoio, justificadamente, admitir o reinício da sessão pública de lances, em prol da consecução do melhor preço. </w:t>
      </w:r>
      <w:r>
        <w:rPr>
          <w:rFonts w:ascii="Arial" w:eastAsia="Arial" w:hAnsi="Arial" w:cs="Arial"/>
          <w:b/>
          <w:sz w:val="20"/>
        </w:rPr>
        <w:t xml:space="preserve">OU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321" w:line="249" w:lineRule="auto"/>
        <w:ind w:left="-5" w:right="171" w:hanging="10"/>
        <w:jc w:val="both"/>
      </w:pPr>
      <w:r>
        <w:rPr>
          <w:rFonts w:ascii="Arial" w:eastAsia="Arial" w:hAnsi="Arial" w:cs="Arial"/>
          <w:b/>
          <w:i/>
          <w:sz w:val="20"/>
        </w:rPr>
        <w:t xml:space="preserve">Nota Explicativa: </w:t>
      </w:r>
      <w:r>
        <w:rPr>
          <w:rFonts w:ascii="Arial" w:eastAsia="Arial" w:hAnsi="Arial" w:cs="Arial"/>
          <w:i/>
          <w:sz w:val="20"/>
        </w:rPr>
        <w:t>Utiliz</w:t>
      </w:r>
      <w:r>
        <w:rPr>
          <w:rFonts w:ascii="Arial" w:eastAsia="Arial" w:hAnsi="Arial" w:cs="Arial"/>
          <w:i/>
          <w:sz w:val="20"/>
        </w:rPr>
        <w:t>e a redação abaixo no caso de modo de disputa “aberto e fechado”.</w:t>
      </w:r>
      <w:r>
        <w:rPr>
          <w:rFonts w:ascii="Arial" w:eastAsia="Arial" w:hAnsi="Arial" w:cs="Arial"/>
          <w:b/>
          <w:i/>
          <w:sz w:val="20"/>
        </w:rPr>
        <w:t xml:space="preserve"> </w:t>
      </w:r>
      <w:r>
        <w:rPr>
          <w:rFonts w:ascii="Arial" w:eastAsia="Arial" w:hAnsi="Arial" w:cs="Arial"/>
          <w:i/>
          <w:sz w:val="20"/>
        </w:rPr>
        <w:t>No modo de disputa “aberto e fechado” inicia-se com a apresentação de lances sucessivos (fase aberta), com envio final de um lance fechado pelos detentores das melhores propostas da fase abe</w:t>
      </w:r>
      <w:r>
        <w:rPr>
          <w:rFonts w:ascii="Arial" w:eastAsia="Arial" w:hAnsi="Arial" w:cs="Arial"/>
          <w:i/>
          <w:sz w:val="20"/>
        </w:rPr>
        <w:t xml:space="preserve">rta (fase fechada).   </w:t>
      </w:r>
    </w:p>
    <w:p w:rsidR="006C145C" w:rsidRDefault="00C62E5A">
      <w:pPr>
        <w:spacing w:after="130" w:line="270" w:lineRule="auto"/>
        <w:ind w:left="770" w:right="176" w:hanging="360"/>
        <w:jc w:val="both"/>
      </w:pPr>
      <w:r>
        <w:rPr>
          <w:rFonts w:ascii="Arial" w:eastAsia="Arial" w:hAnsi="Arial" w:cs="Arial"/>
          <w:i/>
          <w:color w:val="FF0000"/>
          <w:sz w:val="20"/>
        </w:rPr>
        <w:t xml:space="preserve">7.10 Será adotado para o envio de lances no pregão eletrônico o modo de disputa “aberto e fechado”, em que os licitantes apresentarão lances públicos e sucessivos, com lance final e fechado. </w:t>
      </w:r>
    </w:p>
    <w:p w:rsidR="006C145C" w:rsidRDefault="00C62E5A">
      <w:pPr>
        <w:spacing w:after="130" w:line="270" w:lineRule="auto"/>
        <w:ind w:left="770" w:right="176" w:hanging="360"/>
        <w:jc w:val="both"/>
      </w:pPr>
      <w:r>
        <w:rPr>
          <w:rFonts w:ascii="Arial" w:eastAsia="Arial" w:hAnsi="Arial" w:cs="Arial"/>
          <w:i/>
          <w:color w:val="FF0000"/>
          <w:sz w:val="20"/>
        </w:rPr>
        <w:t xml:space="preserve">7.11 A etapa de lances da sessão pública </w:t>
      </w:r>
      <w:r>
        <w:rPr>
          <w:rFonts w:ascii="Arial" w:eastAsia="Arial" w:hAnsi="Arial" w:cs="Arial"/>
          <w:i/>
          <w:color w:val="FF0000"/>
          <w:sz w:val="20"/>
        </w:rPr>
        <w:t>terá duração inicial de quinze minutos. Após esse prazo, o sistema encaminhará aviso de fechamento iminente dos lances, após o que transcorrerá o período de tempo de até dez minutos, aleatoriamente determinado, findo o qual será automaticamente encerrada a</w:t>
      </w:r>
      <w:r>
        <w:rPr>
          <w:rFonts w:ascii="Arial" w:eastAsia="Arial" w:hAnsi="Arial" w:cs="Arial"/>
          <w:i/>
          <w:color w:val="FF0000"/>
          <w:sz w:val="20"/>
        </w:rPr>
        <w:t xml:space="preserve"> recepção de lances. </w:t>
      </w:r>
    </w:p>
    <w:p w:rsidR="006C145C" w:rsidRDefault="00C62E5A">
      <w:pPr>
        <w:spacing w:after="118" w:line="278" w:lineRule="auto"/>
        <w:ind w:left="770" w:right="11" w:hanging="360"/>
      </w:pPr>
      <w:r>
        <w:rPr>
          <w:rFonts w:ascii="Arial" w:eastAsia="Arial" w:hAnsi="Arial" w:cs="Arial"/>
          <w:i/>
          <w:color w:val="FF0000"/>
          <w:sz w:val="20"/>
        </w:rPr>
        <w:t xml:space="preserve">7.12 </w:t>
      </w:r>
      <w:r>
        <w:rPr>
          <w:rFonts w:ascii="Arial" w:eastAsia="Arial" w:hAnsi="Arial" w:cs="Arial"/>
          <w:i/>
          <w:color w:val="FF0000"/>
          <w:sz w:val="20"/>
        </w:rPr>
        <w:tab/>
        <w:t>Encerrado o prazo previsto no item anterior, o sistema abrirá oportunidade para que o autor da oferta de valor mais baixo e os das ofertas com preços até dez por cento superiores àquela possam ofertar um lance final e fechado em</w:t>
      </w:r>
      <w:r>
        <w:rPr>
          <w:rFonts w:ascii="Arial" w:eastAsia="Arial" w:hAnsi="Arial" w:cs="Arial"/>
          <w:i/>
          <w:color w:val="FF0000"/>
          <w:sz w:val="20"/>
        </w:rPr>
        <w:t xml:space="preserve"> até cinco minutos, o qual será sigiloso até o encerramento deste prazo. </w:t>
      </w:r>
    </w:p>
    <w:p w:rsidR="006C145C" w:rsidRDefault="00C62E5A">
      <w:pPr>
        <w:spacing w:after="118" w:line="278" w:lineRule="auto"/>
        <w:ind w:left="1722" w:right="11" w:hanging="730"/>
      </w:pPr>
      <w:r>
        <w:rPr>
          <w:rFonts w:ascii="Arial" w:eastAsia="Arial" w:hAnsi="Arial" w:cs="Arial"/>
          <w:i/>
          <w:color w:val="FF0000"/>
          <w:sz w:val="20"/>
        </w:rPr>
        <w:t>7.12.1 Não havendo pelo menos três ofertas nas condições definidas neste item, poderão os autores dos melhores lances, na ordem de classificação, até o máximo de três, oferecer um la</w:t>
      </w:r>
      <w:r>
        <w:rPr>
          <w:rFonts w:ascii="Arial" w:eastAsia="Arial" w:hAnsi="Arial" w:cs="Arial"/>
          <w:i/>
          <w:color w:val="FF0000"/>
          <w:sz w:val="20"/>
        </w:rPr>
        <w:t xml:space="preserve">nce final e fechado em até cinco minutos, o qual será sigiloso até o encerramento deste prazo. </w:t>
      </w:r>
    </w:p>
    <w:p w:rsidR="006C145C" w:rsidRDefault="00C62E5A">
      <w:pPr>
        <w:spacing w:after="130" w:line="270" w:lineRule="auto"/>
        <w:ind w:left="770" w:right="58" w:hanging="360"/>
        <w:jc w:val="both"/>
      </w:pPr>
      <w:r>
        <w:rPr>
          <w:rFonts w:ascii="Arial" w:eastAsia="Arial" w:hAnsi="Arial" w:cs="Arial"/>
          <w:i/>
          <w:color w:val="FF0000"/>
          <w:sz w:val="20"/>
        </w:rPr>
        <w:lastRenderedPageBreak/>
        <w:t xml:space="preserve">7.13 Após o término dos prazos estabelecidos nos itens anteriores, o sistema ordenará os lances segundo a ordem crescente de valores. </w:t>
      </w:r>
    </w:p>
    <w:p w:rsidR="006C145C" w:rsidRDefault="00C62E5A">
      <w:pPr>
        <w:spacing w:after="130" w:line="270" w:lineRule="auto"/>
        <w:ind w:left="1712" w:right="175" w:hanging="720"/>
        <w:jc w:val="both"/>
      </w:pPr>
      <w:r>
        <w:rPr>
          <w:rFonts w:ascii="Arial" w:eastAsia="Arial" w:hAnsi="Arial" w:cs="Arial"/>
          <w:i/>
          <w:color w:val="FF0000"/>
          <w:sz w:val="20"/>
        </w:rPr>
        <w:t xml:space="preserve">7.13.1 </w:t>
      </w:r>
      <w:r>
        <w:rPr>
          <w:rFonts w:ascii="Arial" w:eastAsia="Arial" w:hAnsi="Arial" w:cs="Arial"/>
          <w:i/>
          <w:color w:val="FF0000"/>
          <w:sz w:val="20"/>
        </w:rPr>
        <w:t xml:space="preserve">Não havendo lance final e fechado classificado na forma estabelecida nos itens anteriores, haverá o reinício da etapa fechada, para que os demais licitantes, até o </w:t>
      </w:r>
    </w:p>
    <w:p w:rsidR="006C145C" w:rsidRDefault="00C62E5A">
      <w:pPr>
        <w:spacing w:after="130" w:line="270" w:lineRule="auto"/>
        <w:ind w:left="1712" w:right="175" w:hanging="720"/>
        <w:jc w:val="both"/>
      </w:pPr>
      <w:r>
        <w:rPr>
          <w:rFonts w:ascii="Arial" w:eastAsia="Arial" w:hAnsi="Arial" w:cs="Arial"/>
          <w:i/>
          <w:color w:val="FF0000"/>
          <w:sz w:val="20"/>
        </w:rPr>
        <w:t>máximo de três, na ordem de classificação, possam ofertar um lance final e fechado em até c</w:t>
      </w:r>
      <w:r>
        <w:rPr>
          <w:rFonts w:ascii="Arial" w:eastAsia="Arial" w:hAnsi="Arial" w:cs="Arial"/>
          <w:i/>
          <w:color w:val="FF0000"/>
          <w:sz w:val="20"/>
        </w:rPr>
        <w:t xml:space="preserve">inco minutos, o qual será sigiloso até o encerramento deste prazo. </w:t>
      </w:r>
    </w:p>
    <w:p w:rsidR="006C145C" w:rsidRDefault="00C62E5A">
      <w:pPr>
        <w:spacing w:after="130" w:line="270" w:lineRule="auto"/>
        <w:ind w:left="770" w:right="175" w:hanging="360"/>
        <w:jc w:val="both"/>
      </w:pPr>
      <w:r>
        <w:rPr>
          <w:rFonts w:ascii="Arial" w:eastAsia="Arial" w:hAnsi="Arial" w:cs="Arial"/>
          <w:i/>
          <w:color w:val="FF0000"/>
          <w:sz w:val="20"/>
        </w:rPr>
        <w:t>7.14 Poderá o pregoeiro, auxiliado pela equipe de apoio, justificadamente, admitir o reinício da etapa fechada, caso nenhum licitante classificado na etapa de lance fechado atender às exig</w:t>
      </w:r>
      <w:r>
        <w:rPr>
          <w:rFonts w:ascii="Arial" w:eastAsia="Arial" w:hAnsi="Arial" w:cs="Arial"/>
          <w:i/>
          <w:color w:val="FF0000"/>
          <w:sz w:val="20"/>
        </w:rPr>
        <w:t xml:space="preserve">ências de habilitação. </w:t>
      </w:r>
    </w:p>
    <w:p w:rsidR="006C145C" w:rsidRDefault="00C62E5A">
      <w:pPr>
        <w:spacing w:after="129" w:line="270" w:lineRule="auto"/>
        <w:ind w:left="785" w:right="179" w:hanging="360"/>
        <w:jc w:val="both"/>
      </w:pPr>
      <w:r>
        <w:rPr>
          <w:rFonts w:ascii="Arial" w:eastAsia="Arial" w:hAnsi="Arial" w:cs="Arial"/>
          <w:sz w:val="20"/>
        </w:rPr>
        <w:t xml:space="preserve">7.15 Em caso de falha no sistema, os lances em desacordo com os subitens anteriores deverão ser desconsiderados pelo pregoeiro, devendo a ocorrência ser comunicada imediatamente à Secretaria de Gestão do Ministério da Economia; </w:t>
      </w:r>
    </w:p>
    <w:p w:rsidR="006C145C" w:rsidRDefault="00C62E5A">
      <w:pPr>
        <w:spacing w:after="129" w:line="270" w:lineRule="auto"/>
        <w:ind w:left="1712" w:right="54" w:hanging="720"/>
        <w:jc w:val="both"/>
      </w:pPr>
      <w:r>
        <w:rPr>
          <w:rFonts w:ascii="Arial" w:eastAsia="Arial" w:hAnsi="Arial" w:cs="Arial"/>
          <w:sz w:val="20"/>
        </w:rPr>
        <w:t>7.1</w:t>
      </w:r>
      <w:r>
        <w:rPr>
          <w:rFonts w:ascii="Arial" w:eastAsia="Arial" w:hAnsi="Arial" w:cs="Arial"/>
          <w:sz w:val="20"/>
        </w:rPr>
        <w:t xml:space="preserve">5.1 Na hipótese do subitem anterior, a ocorrência será registrada em campo próprio do sistema.  </w:t>
      </w:r>
    </w:p>
    <w:p w:rsidR="006C145C" w:rsidRDefault="00C62E5A">
      <w:pPr>
        <w:spacing w:after="129" w:line="270" w:lineRule="auto"/>
        <w:ind w:left="785" w:right="54" w:hanging="360"/>
        <w:jc w:val="both"/>
      </w:pPr>
      <w:r>
        <w:rPr>
          <w:rFonts w:ascii="Arial" w:eastAsia="Arial" w:hAnsi="Arial" w:cs="Arial"/>
          <w:sz w:val="20"/>
        </w:rPr>
        <w:t xml:space="preserve">7.16 Não serão aceitos dois ou mais lances de mesmo valor, prevalecendo aquele que for recebido e registrado em primeiro lugar.  </w:t>
      </w:r>
    </w:p>
    <w:p w:rsidR="006C145C" w:rsidRDefault="00C62E5A">
      <w:pPr>
        <w:spacing w:after="129" w:line="270" w:lineRule="auto"/>
        <w:ind w:left="785" w:right="54" w:hanging="360"/>
        <w:jc w:val="both"/>
      </w:pPr>
      <w:r>
        <w:rPr>
          <w:rFonts w:ascii="Arial" w:eastAsia="Arial" w:hAnsi="Arial" w:cs="Arial"/>
          <w:sz w:val="20"/>
        </w:rPr>
        <w:t xml:space="preserve">7.17 Durante o transcurso da </w:t>
      </w:r>
      <w:r>
        <w:rPr>
          <w:rFonts w:ascii="Arial" w:eastAsia="Arial" w:hAnsi="Arial" w:cs="Arial"/>
          <w:sz w:val="20"/>
        </w:rPr>
        <w:t xml:space="preserve">sessão pública, os licitantes serão informados, em tempo real, do valor do menor lance registrado, vedada a identificação do licitante.  </w:t>
      </w:r>
    </w:p>
    <w:p w:rsidR="006C145C" w:rsidRDefault="00C62E5A">
      <w:pPr>
        <w:spacing w:after="129" w:line="270" w:lineRule="auto"/>
        <w:ind w:left="433" w:right="54" w:hanging="8"/>
        <w:jc w:val="both"/>
      </w:pPr>
      <w:r>
        <w:rPr>
          <w:rFonts w:ascii="Arial" w:eastAsia="Arial" w:hAnsi="Arial" w:cs="Arial"/>
          <w:sz w:val="20"/>
        </w:rPr>
        <w:t>7.18 No caso de desconexão com o Pregoeiro, no decorrer da etapa competitiva do Pregão, o sistema eletrônico poderá pe</w:t>
      </w:r>
      <w:r>
        <w:rPr>
          <w:rFonts w:ascii="Arial" w:eastAsia="Arial" w:hAnsi="Arial" w:cs="Arial"/>
          <w:sz w:val="20"/>
        </w:rPr>
        <w:t xml:space="preserve">rmanecer acessível aos licitantes para a recepção dos lances. </w:t>
      </w:r>
    </w:p>
    <w:p w:rsidR="006C145C" w:rsidRDefault="00C62E5A">
      <w:pPr>
        <w:spacing w:after="129" w:line="270" w:lineRule="auto"/>
        <w:ind w:left="433" w:right="54" w:hanging="8"/>
        <w:jc w:val="both"/>
      </w:pPr>
      <w:r>
        <w:rPr>
          <w:rFonts w:ascii="Arial" w:eastAsia="Arial" w:hAnsi="Arial" w:cs="Arial"/>
          <w:sz w:val="20"/>
        </w:rPr>
        <w:t>7.19 Quando a desconexão do sistema eletrônico para o pregoeiro persistir por tempo superior a dez minutos, a sessão pública será suspensa e reiniciada somente após decorridas vinte e quatro ho</w:t>
      </w:r>
      <w:r>
        <w:rPr>
          <w:rFonts w:ascii="Arial" w:eastAsia="Arial" w:hAnsi="Arial" w:cs="Arial"/>
          <w:sz w:val="20"/>
        </w:rPr>
        <w:t xml:space="preserve">ras da comunicação do fato pelo Pregoeiro aos participantes, no sítio eletrônico utilizado para divulgação.  </w:t>
      </w:r>
    </w:p>
    <w:p w:rsidR="006C145C" w:rsidRDefault="00C62E5A">
      <w:pPr>
        <w:spacing w:after="129" w:line="270" w:lineRule="auto"/>
        <w:ind w:left="5" w:right="54" w:hanging="8"/>
        <w:jc w:val="both"/>
      </w:pPr>
      <w:r>
        <w:rPr>
          <w:rFonts w:ascii="Arial" w:eastAsia="Arial" w:hAnsi="Arial" w:cs="Arial"/>
          <w:sz w:val="20"/>
        </w:rPr>
        <w:t xml:space="preserve">7.20 O critério de julgamento adotado será o </w:t>
      </w:r>
      <w:r>
        <w:rPr>
          <w:rFonts w:ascii="Arial" w:eastAsia="Arial" w:hAnsi="Arial" w:cs="Arial"/>
          <w:i/>
          <w:color w:val="FF0000"/>
          <w:sz w:val="20"/>
        </w:rPr>
        <w:t>menor preço/maior desconto</w:t>
      </w:r>
      <w:r>
        <w:rPr>
          <w:rFonts w:ascii="Arial" w:eastAsia="Arial" w:hAnsi="Arial" w:cs="Arial"/>
          <w:sz w:val="20"/>
        </w:rPr>
        <w:t xml:space="preserve">, conforme definido neste Edital e seus anexos. </w:t>
      </w:r>
    </w:p>
    <w:p w:rsidR="006C145C" w:rsidRDefault="00C62E5A">
      <w:pPr>
        <w:tabs>
          <w:tab w:val="center" w:pos="733"/>
          <w:tab w:val="center" w:pos="5047"/>
        </w:tabs>
        <w:spacing w:after="129" w:line="270" w:lineRule="auto"/>
        <w:ind w:left="-3"/>
      </w:pPr>
      <w:r>
        <w:tab/>
      </w:r>
      <w:r>
        <w:rPr>
          <w:rFonts w:ascii="Arial" w:eastAsia="Arial" w:hAnsi="Arial" w:cs="Arial"/>
          <w:sz w:val="20"/>
        </w:rPr>
        <w:t xml:space="preserve">7.21 </w:t>
      </w:r>
      <w:r>
        <w:rPr>
          <w:rFonts w:ascii="Arial" w:eastAsia="Arial" w:hAnsi="Arial" w:cs="Arial"/>
          <w:sz w:val="20"/>
        </w:rPr>
        <w:tab/>
      </w:r>
      <w:r>
        <w:rPr>
          <w:rFonts w:ascii="Arial" w:eastAsia="Arial" w:hAnsi="Arial" w:cs="Arial"/>
          <w:sz w:val="20"/>
        </w:rPr>
        <w:t xml:space="preserve">Caso o licitante não apresente lances, concorrerá com o valor de sua proposta. </w:t>
      </w:r>
    </w:p>
    <w:p w:rsidR="006C145C" w:rsidRDefault="00C62E5A">
      <w:pPr>
        <w:spacing w:after="129" w:line="270" w:lineRule="auto"/>
        <w:ind w:left="5" w:right="54" w:hanging="8"/>
        <w:jc w:val="both"/>
      </w:pPr>
      <w:r>
        <w:rPr>
          <w:rFonts w:ascii="Arial" w:eastAsia="Arial" w:hAnsi="Arial" w:cs="Arial"/>
          <w:sz w:val="20"/>
        </w:rPr>
        <w:t>7.22 Em relação a itens não exclusivos para participação de microempresas e empresas de pequeno porte, uma vez encerrada a etapa de lances, será efetivada a verificação automát</w:t>
      </w:r>
      <w:r>
        <w:rPr>
          <w:rFonts w:ascii="Arial" w:eastAsia="Arial" w:hAnsi="Arial" w:cs="Arial"/>
          <w:sz w:val="20"/>
        </w:rPr>
        <w:t>ica, junto à Receita Federal, do porte da entidade empresarial. O sistema identificará em coluna própria as microempresas e empresas de pequeno porte participantes, procedendo à comparação com os valores da primeira colocada, se esta for empresa de maior p</w:t>
      </w:r>
      <w:r>
        <w:rPr>
          <w:rFonts w:ascii="Arial" w:eastAsia="Arial" w:hAnsi="Arial" w:cs="Arial"/>
          <w:sz w:val="20"/>
        </w:rPr>
        <w:t xml:space="preserve">orte, assim como das demais classificadas, para o fim de aplicar-se o disposto nos arts. 44 e 45 da LC nº 123, de 2006, regulamentada pelo Decreto nº 8.538, de 2015. </w:t>
      </w:r>
    </w:p>
    <w:p w:rsidR="006C145C" w:rsidRDefault="00C62E5A">
      <w:pPr>
        <w:spacing w:after="129" w:line="270" w:lineRule="auto"/>
        <w:ind w:left="5" w:right="54" w:hanging="8"/>
        <w:jc w:val="both"/>
      </w:pPr>
      <w:r>
        <w:rPr>
          <w:rFonts w:ascii="Arial" w:eastAsia="Arial" w:hAnsi="Arial" w:cs="Arial"/>
          <w:sz w:val="20"/>
        </w:rPr>
        <w:t>7.23 Nessas condições, as propostas de microempresas e empresas de pequeno porte que se e</w:t>
      </w:r>
      <w:r>
        <w:rPr>
          <w:rFonts w:ascii="Arial" w:eastAsia="Arial" w:hAnsi="Arial" w:cs="Arial"/>
          <w:sz w:val="20"/>
        </w:rPr>
        <w:t xml:space="preserve">ncontrarem na faixa de até 5% (cinco por cento) acima da melhor proposta ou melhor lance serão consideradas empatadas com a primeira colocada. </w:t>
      </w:r>
    </w:p>
    <w:p w:rsidR="006C145C" w:rsidRDefault="00C62E5A">
      <w:pPr>
        <w:spacing w:after="129" w:line="270" w:lineRule="auto"/>
        <w:ind w:left="5" w:right="54" w:hanging="8"/>
        <w:jc w:val="both"/>
      </w:pPr>
      <w:r>
        <w:rPr>
          <w:rFonts w:ascii="Arial" w:eastAsia="Arial" w:hAnsi="Arial" w:cs="Arial"/>
          <w:sz w:val="20"/>
        </w:rPr>
        <w:t>7.24 A melhor classificada nos termos do item anterior terá o direito de encaminhar uma última oferta para desem</w:t>
      </w:r>
      <w:r>
        <w:rPr>
          <w:rFonts w:ascii="Arial" w:eastAsia="Arial" w:hAnsi="Arial" w:cs="Arial"/>
          <w:sz w:val="20"/>
        </w:rPr>
        <w:t xml:space="preserve">pate, obrigatoriamente em valor inferior ao da primeira colocada, no prazo de 5 (cinco) minutos controlados pelo sistema, contados após a comunicação automática para tanto. </w:t>
      </w:r>
    </w:p>
    <w:p w:rsidR="006C145C" w:rsidRDefault="00C62E5A">
      <w:pPr>
        <w:spacing w:after="129" w:line="270" w:lineRule="auto"/>
        <w:ind w:left="5" w:right="54" w:hanging="8"/>
        <w:jc w:val="both"/>
      </w:pPr>
      <w:r>
        <w:rPr>
          <w:rFonts w:ascii="Arial" w:eastAsia="Arial" w:hAnsi="Arial" w:cs="Arial"/>
          <w:sz w:val="20"/>
        </w:rPr>
        <w:t>7.25 Caso a microempresa ou a empresa de pequeno porte melhor classificada desista</w:t>
      </w:r>
      <w:r>
        <w:rPr>
          <w:rFonts w:ascii="Arial" w:eastAsia="Arial" w:hAnsi="Arial" w:cs="Arial"/>
          <w:sz w:val="20"/>
        </w:rPr>
        <w:t xml:space="preserve"> ou não se manifeste no prazo estabelecido, serão convocadas as demais licitantes microempresa e empresa de pequeno porte que se encontrem naquele intervalo de 5% (cinco por cento), na ordem de classificação, para o exercício do mesmo direito, no prazo est</w:t>
      </w:r>
      <w:r>
        <w:rPr>
          <w:rFonts w:ascii="Arial" w:eastAsia="Arial" w:hAnsi="Arial" w:cs="Arial"/>
          <w:sz w:val="20"/>
        </w:rPr>
        <w:t xml:space="preserve">abelecido no subitem anterior. </w:t>
      </w:r>
    </w:p>
    <w:p w:rsidR="006C145C" w:rsidRDefault="00C62E5A">
      <w:pPr>
        <w:spacing w:after="129" w:line="270" w:lineRule="auto"/>
        <w:ind w:left="5" w:right="54" w:hanging="8"/>
        <w:jc w:val="both"/>
      </w:pPr>
      <w:r>
        <w:rPr>
          <w:rFonts w:ascii="Arial" w:eastAsia="Arial" w:hAnsi="Arial" w:cs="Arial"/>
          <w:sz w:val="20"/>
        </w:rPr>
        <w:t>7.26 No caso de equivalência dos valores apresentados pelas microempresas e empresas de pequeno porte que se encontrem nos intervalos estabelecidos nos subitens anteriores, será realizado sorteio entre elas para que se ident</w:t>
      </w:r>
      <w:r>
        <w:rPr>
          <w:rFonts w:ascii="Arial" w:eastAsia="Arial" w:hAnsi="Arial" w:cs="Arial"/>
          <w:sz w:val="20"/>
        </w:rPr>
        <w:t xml:space="preserve">ifique aquela que primeiro poderá apresentar melhor oferta. </w:t>
      </w:r>
    </w:p>
    <w:p w:rsidR="006C145C" w:rsidRDefault="00C62E5A">
      <w:pPr>
        <w:spacing w:after="129" w:line="270" w:lineRule="auto"/>
        <w:ind w:left="357" w:right="54" w:hanging="360"/>
        <w:jc w:val="both"/>
      </w:pPr>
      <w:r>
        <w:rPr>
          <w:rFonts w:ascii="Arial" w:eastAsia="Arial" w:hAnsi="Arial" w:cs="Arial"/>
          <w:sz w:val="20"/>
        </w:rPr>
        <w:lastRenderedPageBreak/>
        <w:t>7.27 A ordem de apresentação pelos licitantes é utilizada como um dos critérios de classificação, de maneira que só poderá haver empate entre propostas iguais (não seguidas de lances), ou entre l</w:t>
      </w:r>
      <w:r>
        <w:rPr>
          <w:rFonts w:ascii="Arial" w:eastAsia="Arial" w:hAnsi="Arial" w:cs="Arial"/>
          <w:sz w:val="20"/>
        </w:rPr>
        <w:t xml:space="preserve">ances finais da fase fechada do modo de disputa aberto e fechado. </w:t>
      </w:r>
    </w:p>
    <w:p w:rsidR="006C145C" w:rsidRDefault="00C62E5A">
      <w:pPr>
        <w:spacing w:after="129" w:line="270" w:lineRule="auto"/>
        <w:ind w:left="1286" w:right="54" w:hanging="720"/>
        <w:jc w:val="both"/>
      </w:pPr>
      <w:r>
        <w:rPr>
          <w:rFonts w:ascii="Arial" w:eastAsia="Arial" w:hAnsi="Arial" w:cs="Arial"/>
          <w:sz w:val="20"/>
        </w:rPr>
        <w:t>7.27.1 Havendo eventual empate entre propostas ou lances, o critério de desempate será aquele previsto no art. 3º, § 2º, da Lei nº 8.666, de 1993, assegurando-se a preferência, sucessivamen</w:t>
      </w:r>
      <w:r>
        <w:rPr>
          <w:rFonts w:ascii="Arial" w:eastAsia="Arial" w:hAnsi="Arial" w:cs="Arial"/>
          <w:sz w:val="20"/>
        </w:rPr>
        <w:t xml:space="preserve">te, aos serviços: </w:t>
      </w:r>
    </w:p>
    <w:p w:rsidR="006C145C" w:rsidRDefault="00C62E5A">
      <w:pPr>
        <w:tabs>
          <w:tab w:val="center" w:pos="1963"/>
          <w:tab w:val="center" w:pos="4536"/>
        </w:tabs>
        <w:spacing w:after="129" w:line="270" w:lineRule="auto"/>
      </w:pPr>
      <w:r>
        <w:tab/>
      </w:r>
      <w:r>
        <w:rPr>
          <w:rFonts w:ascii="Arial" w:eastAsia="Arial" w:hAnsi="Arial" w:cs="Arial"/>
          <w:sz w:val="20"/>
        </w:rPr>
        <w:t xml:space="preserve">7.27.1.1 </w:t>
      </w:r>
      <w:r>
        <w:rPr>
          <w:rFonts w:ascii="Arial" w:eastAsia="Arial" w:hAnsi="Arial" w:cs="Arial"/>
          <w:sz w:val="20"/>
        </w:rPr>
        <w:tab/>
        <w:t xml:space="preserve">prestados por empresas brasileiras;  </w:t>
      </w:r>
    </w:p>
    <w:p w:rsidR="006C145C" w:rsidRDefault="00C62E5A">
      <w:pPr>
        <w:tabs>
          <w:tab w:val="center" w:pos="1963"/>
          <w:tab w:val="right" w:pos="9302"/>
        </w:tabs>
        <w:spacing w:after="3"/>
      </w:pPr>
      <w:r>
        <w:tab/>
      </w:r>
      <w:r>
        <w:rPr>
          <w:rFonts w:ascii="Arial" w:eastAsia="Arial" w:hAnsi="Arial" w:cs="Arial"/>
          <w:sz w:val="20"/>
        </w:rPr>
        <w:t xml:space="preserve">7.27.1.2 </w:t>
      </w:r>
      <w:r>
        <w:rPr>
          <w:rFonts w:ascii="Arial" w:eastAsia="Arial" w:hAnsi="Arial" w:cs="Arial"/>
          <w:sz w:val="20"/>
        </w:rPr>
        <w:tab/>
        <w:t xml:space="preserve">prestados por empresas que invistam em pesquisa e no </w:t>
      </w:r>
    </w:p>
    <w:p w:rsidR="006C145C" w:rsidRDefault="00C62E5A">
      <w:pPr>
        <w:spacing w:after="129" w:line="270" w:lineRule="auto"/>
        <w:ind w:left="1792" w:right="54" w:hanging="8"/>
        <w:jc w:val="both"/>
      </w:pPr>
      <w:r>
        <w:rPr>
          <w:rFonts w:ascii="Arial" w:eastAsia="Arial" w:hAnsi="Arial" w:cs="Arial"/>
          <w:sz w:val="20"/>
        </w:rPr>
        <w:t xml:space="preserve">desenvolvimento de tecnologia no País; </w:t>
      </w:r>
    </w:p>
    <w:p w:rsidR="006C145C" w:rsidRDefault="00C62E5A">
      <w:pPr>
        <w:spacing w:after="129" w:line="270" w:lineRule="auto"/>
        <w:ind w:left="1784" w:right="54" w:hanging="721"/>
        <w:jc w:val="both"/>
      </w:pPr>
      <w:r>
        <w:rPr>
          <w:rFonts w:ascii="Arial" w:eastAsia="Arial" w:hAnsi="Arial" w:cs="Arial"/>
          <w:sz w:val="20"/>
        </w:rPr>
        <w:t xml:space="preserve">7.27.1.3 </w:t>
      </w:r>
      <w:r>
        <w:rPr>
          <w:rFonts w:ascii="Arial" w:eastAsia="Arial" w:hAnsi="Arial" w:cs="Arial"/>
          <w:sz w:val="20"/>
        </w:rPr>
        <w:t xml:space="preserve">prestados por empresas que comprovem cumprimento de reserva de cargos prevista em lei para pessoa com deficiência ou para reabilitado da Previdência Social e que atendam às regras de acessibilidade previstas na legislação. </w:t>
      </w:r>
    </w:p>
    <w:p w:rsidR="006C145C" w:rsidRDefault="00C62E5A">
      <w:pPr>
        <w:spacing w:after="129" w:line="270" w:lineRule="auto"/>
        <w:ind w:left="357" w:right="54" w:hanging="360"/>
        <w:jc w:val="both"/>
      </w:pPr>
      <w:r>
        <w:rPr>
          <w:rFonts w:ascii="Arial" w:eastAsia="Arial" w:hAnsi="Arial" w:cs="Arial"/>
          <w:sz w:val="20"/>
        </w:rPr>
        <w:t>7.28 Persistindo o empate, a pro</w:t>
      </w:r>
      <w:r>
        <w:rPr>
          <w:rFonts w:ascii="Arial" w:eastAsia="Arial" w:hAnsi="Arial" w:cs="Arial"/>
          <w:sz w:val="20"/>
        </w:rPr>
        <w:t xml:space="preserve">posta vencedora será sorteada pelo sistema eletrônico dentre as propostas empatadas.  </w:t>
      </w:r>
    </w:p>
    <w:p w:rsidR="006C145C" w:rsidRDefault="00C62E5A">
      <w:pPr>
        <w:spacing w:after="129" w:line="270" w:lineRule="auto"/>
        <w:ind w:left="357" w:right="54" w:hanging="360"/>
        <w:jc w:val="both"/>
      </w:pPr>
      <w:r>
        <w:rPr>
          <w:rFonts w:ascii="Arial" w:eastAsia="Arial" w:hAnsi="Arial" w:cs="Arial"/>
          <w:sz w:val="20"/>
        </w:rPr>
        <w:t xml:space="preserve">7.29 Encerrada a etapa de envio de lances da sessão pública, o pregoeiro deverá encaminhar, pelo sistema eletrônico, contraproposta ao licitante que tenha apresentado o </w:t>
      </w:r>
      <w:r>
        <w:rPr>
          <w:rFonts w:ascii="Arial" w:eastAsia="Arial" w:hAnsi="Arial" w:cs="Arial"/>
          <w:sz w:val="20"/>
        </w:rPr>
        <w:t xml:space="preserve">melhor preço, para que seja obtida melhor proposta, vedada a negociação em condições diferentes das previstas neste Edital. </w:t>
      </w:r>
    </w:p>
    <w:p w:rsidR="006C145C" w:rsidRDefault="00C62E5A">
      <w:pPr>
        <w:spacing w:after="129" w:line="270" w:lineRule="auto"/>
        <w:ind w:left="1712" w:right="54" w:hanging="720"/>
        <w:jc w:val="both"/>
      </w:pPr>
      <w:r>
        <w:rPr>
          <w:rFonts w:ascii="Arial" w:eastAsia="Arial" w:hAnsi="Arial" w:cs="Arial"/>
          <w:sz w:val="20"/>
        </w:rPr>
        <w:t xml:space="preserve">7.29.1 A negociação será realizada por meio do sistema, podendo ser acompanhada pelos demais licitantes. </w:t>
      </w:r>
    </w:p>
    <w:p w:rsidR="006C145C" w:rsidRDefault="00C62E5A">
      <w:pPr>
        <w:spacing w:after="130" w:line="269" w:lineRule="auto"/>
        <w:ind w:left="1722" w:right="51" w:hanging="730"/>
        <w:jc w:val="both"/>
      </w:pPr>
      <w:r>
        <w:rPr>
          <w:rFonts w:ascii="Arial" w:eastAsia="Arial" w:hAnsi="Arial" w:cs="Arial"/>
          <w:sz w:val="20"/>
          <w:shd w:val="clear" w:color="auto" w:fill="FFFF00"/>
        </w:rPr>
        <w:t xml:space="preserve">7.29.2 </w:t>
      </w:r>
      <w:r>
        <w:rPr>
          <w:rFonts w:ascii="Arial" w:eastAsia="Arial" w:hAnsi="Arial" w:cs="Arial"/>
          <w:sz w:val="20"/>
        </w:rPr>
        <w:t xml:space="preserve">O </w:t>
      </w:r>
      <w:r>
        <w:rPr>
          <w:rFonts w:ascii="Arial" w:eastAsia="Arial" w:hAnsi="Arial" w:cs="Arial"/>
          <w:sz w:val="20"/>
          <w:shd w:val="clear" w:color="auto" w:fill="FFFF00"/>
        </w:rPr>
        <w:t>pregoeiro solici</w:t>
      </w:r>
      <w:r>
        <w:rPr>
          <w:rFonts w:ascii="Arial" w:eastAsia="Arial" w:hAnsi="Arial" w:cs="Arial"/>
          <w:sz w:val="20"/>
          <w:shd w:val="clear" w:color="auto" w:fill="FFFF00"/>
        </w:rPr>
        <w:t xml:space="preserve">tará ao licitante melhor classificado que, no prazo de </w:t>
      </w:r>
      <w:r>
        <w:rPr>
          <w:rFonts w:ascii="Arial" w:eastAsia="Arial" w:hAnsi="Arial" w:cs="Arial"/>
          <w:color w:val="FF0000"/>
          <w:sz w:val="20"/>
          <w:shd w:val="clear" w:color="auto" w:fill="FFFF00"/>
        </w:rPr>
        <w:t>....... (.........)</w:t>
      </w:r>
      <w:r>
        <w:rPr>
          <w:rFonts w:ascii="Arial" w:eastAsia="Arial" w:hAnsi="Arial" w:cs="Arial"/>
          <w:i/>
          <w:sz w:val="20"/>
        </w:rPr>
        <w:t xml:space="preserve"> </w:t>
      </w:r>
      <w:r>
        <w:rPr>
          <w:rFonts w:ascii="Arial" w:eastAsia="Arial" w:hAnsi="Arial" w:cs="Arial"/>
          <w:sz w:val="20"/>
          <w:shd w:val="clear" w:color="auto" w:fill="FFFF00"/>
        </w:rPr>
        <w:t xml:space="preserve">horas </w:t>
      </w:r>
      <w:r>
        <w:rPr>
          <w:rFonts w:ascii="Arial" w:eastAsia="Arial" w:hAnsi="Arial" w:cs="Arial"/>
          <w:i/>
          <w:color w:val="FF0000"/>
          <w:sz w:val="20"/>
          <w:shd w:val="clear" w:color="auto" w:fill="FFFF00"/>
        </w:rPr>
        <w:t>[mínimo de quatro horas]</w:t>
      </w:r>
      <w:r>
        <w:rPr>
          <w:rFonts w:ascii="Arial" w:eastAsia="Arial" w:hAnsi="Arial" w:cs="Arial"/>
          <w:sz w:val="20"/>
          <w:shd w:val="clear" w:color="auto" w:fill="FFFF00"/>
        </w:rPr>
        <w:t>, envie a proposta adequada ao último lance ofertado</w:t>
      </w:r>
      <w:r>
        <w:rPr>
          <w:rFonts w:ascii="Arial" w:eastAsia="Arial" w:hAnsi="Arial" w:cs="Arial"/>
          <w:sz w:val="20"/>
        </w:rPr>
        <w:t xml:space="preserve"> </w:t>
      </w:r>
      <w:r>
        <w:rPr>
          <w:rFonts w:ascii="Arial" w:eastAsia="Arial" w:hAnsi="Arial" w:cs="Arial"/>
          <w:sz w:val="20"/>
          <w:shd w:val="clear" w:color="auto" w:fill="FFFF00"/>
        </w:rPr>
        <w:t>após a negociação realizada, acompanhada, se for o caso, dos documentos</w:t>
      </w:r>
      <w:r>
        <w:rPr>
          <w:rFonts w:ascii="Arial" w:eastAsia="Arial" w:hAnsi="Arial" w:cs="Arial"/>
          <w:sz w:val="20"/>
        </w:rPr>
        <w:t xml:space="preserve"> </w:t>
      </w:r>
      <w:r>
        <w:rPr>
          <w:rFonts w:ascii="Arial" w:eastAsia="Arial" w:hAnsi="Arial" w:cs="Arial"/>
          <w:sz w:val="20"/>
          <w:shd w:val="clear" w:color="auto" w:fill="FFFF00"/>
        </w:rPr>
        <w:t>complementares, quando necessários à confirmação daqueles exigidos neste Edital</w:t>
      </w:r>
      <w:r>
        <w:rPr>
          <w:rFonts w:ascii="Arial" w:eastAsia="Arial" w:hAnsi="Arial" w:cs="Arial"/>
          <w:sz w:val="20"/>
        </w:rPr>
        <w:t xml:space="preserve"> </w:t>
      </w:r>
      <w:r>
        <w:rPr>
          <w:rFonts w:ascii="Arial" w:eastAsia="Arial" w:hAnsi="Arial" w:cs="Arial"/>
          <w:sz w:val="20"/>
          <w:shd w:val="clear" w:color="auto" w:fill="FFFF00"/>
        </w:rPr>
        <w:t>e já apresentados.</w:t>
      </w:r>
      <w:r>
        <w:rPr>
          <w:rFonts w:ascii="Arial" w:eastAsia="Arial" w:hAnsi="Arial" w:cs="Arial"/>
          <w:sz w:val="20"/>
        </w:rPr>
        <w:t xml:space="preserve">  </w:t>
      </w:r>
    </w:p>
    <w:p w:rsidR="006C145C" w:rsidRDefault="00C62E5A">
      <w:pPr>
        <w:spacing w:after="485" w:line="270" w:lineRule="auto"/>
        <w:ind w:left="785" w:right="54" w:hanging="360"/>
        <w:jc w:val="both"/>
      </w:pPr>
      <w:r>
        <w:rPr>
          <w:rFonts w:ascii="Arial" w:eastAsia="Arial" w:hAnsi="Arial" w:cs="Arial"/>
          <w:sz w:val="20"/>
        </w:rPr>
        <w:t xml:space="preserve">7.30 Após a negociação do preço, o Pregoeiro iniciará a fase de aceitação e julgamento da proposta. </w:t>
      </w:r>
    </w:p>
    <w:p w:rsidR="006C145C" w:rsidRDefault="00C62E5A">
      <w:pPr>
        <w:numPr>
          <w:ilvl w:val="0"/>
          <w:numId w:val="7"/>
        </w:numPr>
        <w:spacing w:after="176" w:line="249" w:lineRule="auto"/>
        <w:ind w:right="37" w:hanging="360"/>
        <w:jc w:val="both"/>
      </w:pPr>
      <w:r>
        <w:rPr>
          <w:rFonts w:ascii="Arial" w:eastAsia="Arial" w:hAnsi="Arial" w:cs="Arial"/>
          <w:b/>
          <w:sz w:val="20"/>
        </w:rPr>
        <w:t xml:space="preserve">DA ACEITABILIDADE DA PROPOSTA VENCEDORA.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2" w:line="249" w:lineRule="auto"/>
        <w:ind w:left="-5" w:right="57" w:hanging="10"/>
        <w:jc w:val="both"/>
      </w:pPr>
      <w:r>
        <w:rPr>
          <w:rFonts w:ascii="Arial" w:eastAsia="Arial" w:hAnsi="Arial" w:cs="Arial"/>
          <w:b/>
          <w:i/>
          <w:sz w:val="20"/>
        </w:rPr>
        <w:t>Nota Explicativa</w:t>
      </w:r>
      <w:r>
        <w:rPr>
          <w:rFonts w:ascii="Arial" w:eastAsia="Arial" w:hAnsi="Arial" w:cs="Arial"/>
          <w:i/>
          <w:sz w:val="20"/>
        </w:rPr>
        <w:t>: Como condição prévia à aceitação da proposta, caso o licitante detentor da proposta classificada em primeiro lugar tenha usufruído do tratamento diferenciado previsto nos artigos 44 e 45 da Lei Complementar n° 123, de 2006, o Pregoeiro de</w:t>
      </w:r>
      <w:r>
        <w:rPr>
          <w:rFonts w:ascii="Arial" w:eastAsia="Arial" w:hAnsi="Arial" w:cs="Arial"/>
          <w:i/>
          <w:sz w:val="20"/>
        </w:rPr>
        <w:t>verá consultar o Portal da Transparência do Governo Federal, seção “Despesas – Gastos Diretos do Governo – Favorecido (pessoas físicas, empresas e outros)”, para verificar se o somatório dos valores das ordens bancárias por ele recebidas, no exercício ante</w:t>
      </w:r>
      <w:r>
        <w:rPr>
          <w:rFonts w:ascii="Arial" w:eastAsia="Arial" w:hAnsi="Arial" w:cs="Arial"/>
          <w:i/>
          <w:sz w:val="20"/>
        </w:rPr>
        <w:t xml:space="preserve">rior, extrapola o limite previsto no artigo 3°, inciso II, da Lei Complementar n° 123, de 2006, ou o limite proporcional de que trata o artigo 3°, § 2°, do mesmo diploma, em caso de início de atividade no exercício considerado.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3" w:line="249" w:lineRule="auto"/>
        <w:ind w:left="-5" w:right="57" w:hanging="10"/>
        <w:jc w:val="both"/>
      </w:pPr>
      <w:r>
        <w:rPr>
          <w:rFonts w:ascii="Arial" w:eastAsia="Arial" w:hAnsi="Arial" w:cs="Arial"/>
          <w:i/>
          <w:sz w:val="20"/>
        </w:rPr>
        <w:t xml:space="preserve">Para  a  microempresa  ou </w:t>
      </w:r>
      <w:r>
        <w:rPr>
          <w:rFonts w:ascii="Arial" w:eastAsia="Arial" w:hAnsi="Arial" w:cs="Arial"/>
          <w:i/>
          <w:sz w:val="20"/>
        </w:rPr>
        <w:t xml:space="preserve"> empresa  de  pequeno  porte,  a  consulta  também  abrangerá  o  exercício corrente, para verificar se o somatório dos valores das ordens bancárias por ela recebidas, até o mês anterior ao da sessão pública da licitação, extrapola os limites acima referid</w:t>
      </w:r>
      <w:r>
        <w:rPr>
          <w:rFonts w:ascii="Arial" w:eastAsia="Arial" w:hAnsi="Arial" w:cs="Arial"/>
          <w:i/>
          <w:sz w:val="20"/>
        </w:rPr>
        <w:t xml:space="preserve">os, acrescidos do percentual de 20% (vinte por cento) de que trata o artigo 3°, §§ 9°-A e 12, da Lei Complementar n° 123, de 2006.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75" w:line="249" w:lineRule="auto"/>
        <w:ind w:left="-5" w:right="57" w:hanging="10"/>
        <w:jc w:val="both"/>
      </w:pPr>
      <w:r>
        <w:rPr>
          <w:rFonts w:ascii="Arial" w:eastAsia="Arial" w:hAnsi="Arial" w:cs="Arial"/>
          <w:i/>
          <w:sz w:val="20"/>
        </w:rPr>
        <w:t>Constatada a ocorrência de qualquer das situações de extrapolamento do limite legal, o Pregoeiro deverá indeferir a aplicaç</w:t>
      </w:r>
      <w:r>
        <w:rPr>
          <w:rFonts w:ascii="Arial" w:eastAsia="Arial" w:hAnsi="Arial" w:cs="Arial"/>
          <w:i/>
          <w:sz w:val="20"/>
        </w:rPr>
        <w:t>ão do tratamento diferenciado em favor do licitante, conforme artigo 3°, §§ 9°, 9°-A,  10  e  12,  da  Lei  Complementar  n°  123,  de  2006,  com  a  consequente  recusa  do  lance  de desempate, sem prejuízo das penalidades incidentes (ver TCU, Ac. n. 1.</w:t>
      </w:r>
      <w:r>
        <w:rPr>
          <w:rFonts w:ascii="Arial" w:eastAsia="Arial" w:hAnsi="Arial" w:cs="Arial"/>
          <w:i/>
          <w:sz w:val="20"/>
        </w:rPr>
        <w:t>793/2011 – Plenário)</w:t>
      </w:r>
      <w:r>
        <w:rPr>
          <w:rFonts w:ascii="Arial" w:eastAsia="Arial" w:hAnsi="Arial" w:cs="Arial"/>
          <w:sz w:val="20"/>
        </w:rPr>
        <w:t xml:space="preserve"> </w:t>
      </w:r>
    </w:p>
    <w:p w:rsidR="006C145C" w:rsidRDefault="00C62E5A">
      <w:pPr>
        <w:numPr>
          <w:ilvl w:val="1"/>
          <w:numId w:val="7"/>
        </w:numPr>
        <w:spacing w:after="129" w:line="270" w:lineRule="auto"/>
        <w:ind w:right="54" w:hanging="540"/>
        <w:jc w:val="both"/>
      </w:pPr>
      <w:r>
        <w:rPr>
          <w:rFonts w:ascii="Arial" w:eastAsia="Arial" w:hAnsi="Arial" w:cs="Arial"/>
          <w:sz w:val="20"/>
        </w:rPr>
        <w:t>Encerrada a etapa de negociação, o pregoeiro examinará a proposta classificada em primeiro lugar quanto à adequação ao objeto e à compatibilidade do preço em relação ao máximo estipulado para contratação neste Edital e em seus anexos,</w:t>
      </w:r>
      <w:r>
        <w:rPr>
          <w:rFonts w:ascii="Arial" w:eastAsia="Arial" w:hAnsi="Arial" w:cs="Arial"/>
          <w:sz w:val="20"/>
        </w:rPr>
        <w:t xml:space="preserve"> observado o disposto no parágrafo único do art. 7º e no § 9º do art. 26 do Decreto n.º 10.024/2019. </w:t>
      </w:r>
      <w:r>
        <w:rPr>
          <w:rFonts w:ascii="Arial" w:eastAsia="Arial" w:hAnsi="Arial" w:cs="Arial"/>
          <w:i/>
          <w:sz w:val="20"/>
        </w:rPr>
        <w:t xml:space="preserve"> </w:t>
      </w:r>
    </w:p>
    <w:p w:rsidR="006C145C" w:rsidRDefault="00C62E5A">
      <w:pPr>
        <w:numPr>
          <w:ilvl w:val="1"/>
          <w:numId w:val="7"/>
        </w:numPr>
        <w:spacing w:after="129" w:line="270" w:lineRule="auto"/>
        <w:ind w:right="54" w:hanging="540"/>
        <w:jc w:val="both"/>
      </w:pPr>
      <w:r>
        <w:rPr>
          <w:rFonts w:ascii="Arial" w:eastAsia="Arial" w:hAnsi="Arial" w:cs="Arial"/>
          <w:sz w:val="20"/>
        </w:rPr>
        <w:lastRenderedPageBreak/>
        <w:t xml:space="preserve">A análise da exequibilidade da proposta de preços deverá ser realizada com o auxílio da Planilha de Custos e Formação de Preços, </w:t>
      </w:r>
      <w:r>
        <w:rPr>
          <w:rFonts w:ascii="Arial" w:eastAsia="Arial" w:hAnsi="Arial" w:cs="Arial"/>
          <w:sz w:val="20"/>
        </w:rPr>
        <w:t>a ser preenchida pelo licitante em relação à sua proposta final, conforme anexo deste Edital.</w:t>
      </w:r>
      <w:r>
        <w:rPr>
          <w:rFonts w:ascii="Arial" w:eastAsia="Arial" w:hAnsi="Arial" w:cs="Arial"/>
          <w:i/>
          <w:sz w:val="20"/>
        </w:rPr>
        <w:t xml:space="preserve"> </w:t>
      </w:r>
    </w:p>
    <w:p w:rsidR="006C145C" w:rsidRDefault="00C62E5A">
      <w:pPr>
        <w:numPr>
          <w:ilvl w:val="1"/>
          <w:numId w:val="7"/>
        </w:numPr>
        <w:spacing w:after="130" w:line="269" w:lineRule="auto"/>
        <w:ind w:right="54" w:hanging="540"/>
        <w:jc w:val="both"/>
      </w:pPr>
      <w:r>
        <w:rPr>
          <w:rFonts w:ascii="Arial" w:eastAsia="Arial" w:hAnsi="Arial" w:cs="Arial"/>
          <w:sz w:val="20"/>
          <w:shd w:val="clear" w:color="auto" w:fill="FFFF00"/>
        </w:rPr>
        <w:t>A Planilha de Custos e Formação de Preços deverá ser encaminhada pelo licitante</w:t>
      </w:r>
      <w:r>
        <w:rPr>
          <w:rFonts w:ascii="Arial" w:eastAsia="Arial" w:hAnsi="Arial" w:cs="Arial"/>
          <w:sz w:val="20"/>
        </w:rPr>
        <w:t xml:space="preserve"> </w:t>
      </w:r>
      <w:r>
        <w:rPr>
          <w:rFonts w:ascii="Arial" w:eastAsia="Arial" w:hAnsi="Arial" w:cs="Arial"/>
          <w:sz w:val="20"/>
          <w:shd w:val="clear" w:color="auto" w:fill="FFFF00"/>
        </w:rPr>
        <w:t xml:space="preserve">exclusivamente via sistema, no prazo de </w:t>
      </w:r>
      <w:r>
        <w:rPr>
          <w:rFonts w:ascii="Arial" w:eastAsia="Arial" w:hAnsi="Arial" w:cs="Arial"/>
          <w:i/>
          <w:color w:val="FF0000"/>
          <w:sz w:val="20"/>
          <w:shd w:val="clear" w:color="auto" w:fill="FFFF00"/>
        </w:rPr>
        <w:t>[mínimo de quatro horas]</w:t>
      </w:r>
      <w:r>
        <w:rPr>
          <w:rFonts w:ascii="Arial" w:eastAsia="Arial" w:hAnsi="Arial" w:cs="Arial"/>
          <w:sz w:val="20"/>
          <w:shd w:val="clear" w:color="auto" w:fill="FFFF00"/>
        </w:rPr>
        <w:t>, contado da soli</w:t>
      </w:r>
      <w:r>
        <w:rPr>
          <w:rFonts w:ascii="Arial" w:eastAsia="Arial" w:hAnsi="Arial" w:cs="Arial"/>
          <w:sz w:val="20"/>
          <w:shd w:val="clear" w:color="auto" w:fill="FFFF00"/>
        </w:rPr>
        <w:t>citação</w:t>
      </w:r>
      <w:r>
        <w:rPr>
          <w:rFonts w:ascii="Arial" w:eastAsia="Arial" w:hAnsi="Arial" w:cs="Arial"/>
          <w:sz w:val="20"/>
        </w:rPr>
        <w:t xml:space="preserve"> </w:t>
      </w:r>
      <w:r>
        <w:rPr>
          <w:rFonts w:ascii="Arial" w:eastAsia="Arial" w:hAnsi="Arial" w:cs="Arial"/>
          <w:sz w:val="20"/>
          <w:shd w:val="clear" w:color="auto" w:fill="FFFF00"/>
        </w:rPr>
        <w:t>do pregoeiro, com os respectivos valores readequados ao lance vencedor, e será analisada</w:t>
      </w:r>
      <w:r>
        <w:rPr>
          <w:rFonts w:ascii="Arial" w:eastAsia="Arial" w:hAnsi="Arial" w:cs="Arial"/>
          <w:sz w:val="20"/>
        </w:rPr>
        <w:t xml:space="preserve"> </w:t>
      </w:r>
      <w:r>
        <w:rPr>
          <w:rFonts w:ascii="Arial" w:eastAsia="Arial" w:hAnsi="Arial" w:cs="Arial"/>
          <w:sz w:val="20"/>
          <w:shd w:val="clear" w:color="auto" w:fill="FFFF00"/>
        </w:rPr>
        <w:t>pelo Pregoeiro no momento da aceitação do lance vencedor.</w:t>
      </w:r>
      <w:r>
        <w:rPr>
          <w:rFonts w:ascii="Arial" w:eastAsia="Arial" w:hAnsi="Arial" w:cs="Arial"/>
          <w:i/>
          <w:sz w:val="20"/>
        </w:rPr>
        <w:t xml:space="preserve"> </w:t>
      </w:r>
    </w:p>
    <w:p w:rsidR="006C145C" w:rsidRDefault="00C62E5A">
      <w:pPr>
        <w:numPr>
          <w:ilvl w:val="1"/>
          <w:numId w:val="7"/>
        </w:numPr>
        <w:spacing w:after="129" w:line="270" w:lineRule="auto"/>
        <w:ind w:right="54" w:hanging="540"/>
        <w:jc w:val="both"/>
      </w:pPr>
      <w:r>
        <w:rPr>
          <w:rFonts w:ascii="Arial" w:eastAsia="Arial" w:hAnsi="Arial" w:cs="Arial"/>
          <w:sz w:val="20"/>
        </w:rPr>
        <w:t>Será desclassificada a proposta ou o lance vencedor, nos termos do item 9.1 do Anexo VIIA da IN SEGE</w:t>
      </w:r>
      <w:r>
        <w:rPr>
          <w:rFonts w:ascii="Arial" w:eastAsia="Arial" w:hAnsi="Arial" w:cs="Arial"/>
          <w:sz w:val="20"/>
        </w:rPr>
        <w:t xml:space="preserve">S/MP n. 5/2017, que:  </w:t>
      </w:r>
    </w:p>
    <w:p w:rsidR="006C145C" w:rsidRDefault="00C62E5A">
      <w:pPr>
        <w:numPr>
          <w:ilvl w:val="2"/>
          <w:numId w:val="7"/>
        </w:numPr>
        <w:spacing w:after="14" w:line="270" w:lineRule="auto"/>
        <w:ind w:right="54" w:hanging="720"/>
        <w:jc w:val="both"/>
      </w:pPr>
      <w:r>
        <w:rPr>
          <w:rFonts w:ascii="Arial" w:eastAsia="Arial" w:hAnsi="Arial" w:cs="Arial"/>
          <w:sz w:val="20"/>
        </w:rPr>
        <w:t xml:space="preserve">contenha vício insanável ou ilegalidade; </w:t>
      </w:r>
    </w:p>
    <w:p w:rsidR="006C145C" w:rsidRDefault="00C62E5A">
      <w:pPr>
        <w:numPr>
          <w:ilvl w:val="2"/>
          <w:numId w:val="7"/>
        </w:numPr>
        <w:spacing w:after="14" w:line="270" w:lineRule="auto"/>
        <w:ind w:right="54" w:hanging="720"/>
        <w:jc w:val="both"/>
      </w:pPr>
      <w:r>
        <w:rPr>
          <w:rFonts w:ascii="Arial" w:eastAsia="Arial" w:hAnsi="Arial" w:cs="Arial"/>
          <w:sz w:val="20"/>
        </w:rPr>
        <w:t xml:space="preserve">não apresente as especificações técnicas exigidas pelo Termo de Referência; </w:t>
      </w:r>
    </w:p>
    <w:p w:rsidR="006C145C" w:rsidRDefault="00C62E5A">
      <w:pPr>
        <w:numPr>
          <w:ilvl w:val="2"/>
          <w:numId w:val="7"/>
        </w:numPr>
        <w:spacing w:after="5" w:line="270" w:lineRule="auto"/>
        <w:ind w:right="54" w:hanging="720"/>
        <w:jc w:val="both"/>
      </w:pPr>
      <w:r>
        <w:rPr>
          <w:rFonts w:ascii="Arial" w:eastAsia="Arial" w:hAnsi="Arial" w:cs="Arial"/>
          <w:sz w:val="20"/>
        </w:rPr>
        <w:t xml:space="preserve">apresentar preço final superior ao preço máximo fixado, ou que apresentar preço manifestamente inexequível.  </w:t>
      </w:r>
    </w:p>
    <w:p w:rsidR="006C145C" w:rsidRDefault="00C62E5A">
      <w:pPr>
        <w:numPr>
          <w:ilvl w:val="3"/>
          <w:numId w:val="7"/>
        </w:numPr>
        <w:spacing w:after="117" w:line="280" w:lineRule="auto"/>
        <w:ind w:right="29" w:hanging="721"/>
      </w:pPr>
      <w:r>
        <w:rPr>
          <w:rFonts w:ascii="Arial" w:eastAsia="Arial" w:hAnsi="Arial" w:cs="Arial"/>
          <w:sz w:val="20"/>
        </w:rPr>
        <w:t>Quan</w:t>
      </w:r>
      <w:r>
        <w:rPr>
          <w:rFonts w:ascii="Arial" w:eastAsia="Arial" w:hAnsi="Arial" w:cs="Arial"/>
          <w:sz w:val="20"/>
        </w:rPr>
        <w:t xml:space="preserve">do o licitante não conseguir comprovar que possui ou possuirá recursos suficientes para executar a contento o objeto, será considerada inexequível a proposta de preços ou menor lance que: </w:t>
      </w:r>
    </w:p>
    <w:p w:rsidR="006C145C" w:rsidRDefault="00C62E5A">
      <w:pPr>
        <w:numPr>
          <w:ilvl w:val="4"/>
          <w:numId w:val="7"/>
        </w:numPr>
        <w:spacing w:after="6" w:line="270" w:lineRule="auto"/>
        <w:ind w:left="3066" w:right="56" w:hanging="1081"/>
        <w:jc w:val="both"/>
      </w:pPr>
      <w:r>
        <w:rPr>
          <w:rFonts w:ascii="Arial" w:eastAsia="Arial" w:hAnsi="Arial" w:cs="Arial"/>
          <w:sz w:val="20"/>
        </w:rPr>
        <w:t>for insuficiente para a cobertura dos custos da contratação, aprese</w:t>
      </w:r>
      <w:r>
        <w:rPr>
          <w:rFonts w:ascii="Arial" w:eastAsia="Arial" w:hAnsi="Arial" w:cs="Arial"/>
          <w:sz w:val="20"/>
        </w:rPr>
        <w:t>nte preços global ou unitários simbólicos, irrisórios ou de valor zero, incompatíveis com os preços dos insumos e salários de mercado, acrescidos dos respectivos encargos, ainda que o ato convocatório da licitação não tenha estabelecido limites mínimos, ex</w:t>
      </w:r>
      <w:r>
        <w:rPr>
          <w:rFonts w:ascii="Arial" w:eastAsia="Arial" w:hAnsi="Arial" w:cs="Arial"/>
          <w:sz w:val="20"/>
        </w:rPr>
        <w:t xml:space="preserve">ceto quando se referirem a materiais e instalações de propriedade do próprio licitante, para os quais ele renuncie a parcela ou à totalidade da remuneração. </w:t>
      </w:r>
    </w:p>
    <w:p w:rsidR="006C145C" w:rsidRDefault="00C62E5A">
      <w:pPr>
        <w:numPr>
          <w:ilvl w:val="4"/>
          <w:numId w:val="7"/>
        </w:numPr>
        <w:spacing w:after="6" w:line="270" w:lineRule="auto"/>
        <w:ind w:left="3066" w:right="56" w:hanging="1081"/>
        <w:jc w:val="both"/>
      </w:pPr>
      <w:r>
        <w:rPr>
          <w:rFonts w:ascii="Arial" w:eastAsia="Arial" w:hAnsi="Arial" w:cs="Arial"/>
          <w:sz w:val="20"/>
        </w:rPr>
        <w:t>apresentar um ou mais valores da planilha de custo que sejam inferiores àqueles fixados em instrum</w:t>
      </w:r>
      <w:r>
        <w:rPr>
          <w:rFonts w:ascii="Arial" w:eastAsia="Arial" w:hAnsi="Arial" w:cs="Arial"/>
          <w:sz w:val="20"/>
        </w:rPr>
        <w:t xml:space="preserve">entos de caráter normativo obrigatório, tais como leis, medidas provisórias e convenções coletivas de trabalho vigentes. </w:t>
      </w:r>
    </w:p>
    <w:p w:rsidR="006C145C" w:rsidRDefault="00C62E5A">
      <w:pPr>
        <w:numPr>
          <w:ilvl w:val="3"/>
          <w:numId w:val="7"/>
        </w:numPr>
        <w:spacing w:after="7" w:line="270" w:lineRule="auto"/>
        <w:ind w:right="29" w:hanging="721"/>
      </w:pPr>
      <w:r>
        <w:rPr>
          <w:rFonts w:ascii="Arial" w:eastAsia="Arial" w:hAnsi="Arial" w:cs="Arial"/>
          <w:i/>
          <w:color w:val="FF0000"/>
          <w:sz w:val="20"/>
        </w:rPr>
        <w:t xml:space="preserve">A fim de assegurar o tratamento isonômico entre as licitantes, bem como para a contagem da anualidade prevista no art. 3º, §1º da Lei </w:t>
      </w:r>
      <w:r>
        <w:rPr>
          <w:rFonts w:ascii="Arial" w:eastAsia="Arial" w:hAnsi="Arial" w:cs="Arial"/>
          <w:i/>
          <w:color w:val="FF0000"/>
          <w:sz w:val="20"/>
        </w:rPr>
        <w:t xml:space="preserve">n. 10.192/2001, informa-se que foram utilizadas as seguintes convenções coletivas de trabalho no cálculo do valor estimado pela Administração. </w:t>
      </w:r>
    </w:p>
    <w:p w:rsidR="006C145C" w:rsidRDefault="00C62E5A">
      <w:pPr>
        <w:numPr>
          <w:ilvl w:val="4"/>
          <w:numId w:val="7"/>
        </w:numPr>
        <w:spacing w:after="15" w:line="270" w:lineRule="auto"/>
        <w:ind w:left="3066" w:right="56" w:hanging="1081"/>
        <w:jc w:val="both"/>
      </w:pPr>
      <w:r>
        <w:rPr>
          <w:rFonts w:ascii="Arial" w:eastAsia="Arial" w:hAnsi="Arial" w:cs="Arial"/>
          <w:i/>
          <w:color w:val="FF0000"/>
          <w:sz w:val="20"/>
        </w:rPr>
        <w:t xml:space="preserve">[indicar as convenções coletivas quando for o caso]; </w:t>
      </w:r>
    </w:p>
    <w:p w:rsidR="006C145C" w:rsidRDefault="00C62E5A">
      <w:pPr>
        <w:numPr>
          <w:ilvl w:val="4"/>
          <w:numId w:val="7"/>
        </w:numPr>
        <w:spacing w:after="157" w:line="270" w:lineRule="auto"/>
        <w:ind w:left="3066" w:right="56" w:hanging="1081"/>
        <w:jc w:val="both"/>
      </w:pPr>
      <w:r>
        <w:rPr>
          <w:rFonts w:ascii="Arial" w:eastAsia="Arial" w:hAnsi="Arial" w:cs="Arial"/>
          <w:i/>
          <w:color w:val="FF0000"/>
          <w:sz w:val="20"/>
        </w:rPr>
        <w:t xml:space="preserve">O(s) sindicato(s) indicado(s) nos subitens acima não são de utilização obrigatória pelos licitantes (Acórdão TCU nº 369/2012), mas sempre se exigirá o cumprimento das convenções coletivas adotadas por cada licitante/contratante.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69" w:line="249" w:lineRule="auto"/>
        <w:ind w:left="-5" w:right="57" w:hanging="10"/>
        <w:jc w:val="both"/>
      </w:pPr>
      <w:r>
        <w:rPr>
          <w:rFonts w:ascii="Arial" w:eastAsia="Arial" w:hAnsi="Arial" w:cs="Arial"/>
          <w:b/>
          <w:i/>
          <w:sz w:val="20"/>
        </w:rPr>
        <w:t xml:space="preserve">Nota Explicativa: </w:t>
      </w:r>
      <w:r>
        <w:rPr>
          <w:rFonts w:ascii="Arial" w:eastAsia="Arial" w:hAnsi="Arial" w:cs="Arial"/>
          <w:i/>
          <w:sz w:val="20"/>
        </w:rPr>
        <w:t>Como regra, é vedado à Administração definir o valor da remuneração dos trabalhadores da empresa contratada. Excepcionalmente, no entanto, a IN SEGES/MP nº 05, de 2017, autoriza tal fixação se a hipótese exigir a contratação de profissionais com habilitaçã</w:t>
      </w:r>
      <w:r>
        <w:rPr>
          <w:rFonts w:ascii="Arial" w:eastAsia="Arial" w:hAnsi="Arial" w:cs="Arial"/>
          <w:i/>
          <w:sz w:val="20"/>
        </w:rPr>
        <w:t>o/experiência superior a daqueles que, no mercado, são remunerados pelo piso salarial da categoria, desde que justificadamente (art. 5, VI). Nessa situação, deve ser incluído subitem no sentido de que “A remuneração dos profissionais XXXX, a constar na pla</w:t>
      </w:r>
      <w:r>
        <w:rPr>
          <w:rFonts w:ascii="Arial" w:eastAsia="Arial" w:hAnsi="Arial" w:cs="Arial"/>
          <w:i/>
          <w:sz w:val="20"/>
        </w:rPr>
        <w:t>nilha de custos e formação de preços da contratada, deve ser, no mínimo, equivalente a R$ XXXXX (XXXXX).”</w:t>
      </w:r>
      <w:r>
        <w:rPr>
          <w:rFonts w:ascii="Arial" w:eastAsia="Arial" w:hAnsi="Arial" w:cs="Arial"/>
          <w:b/>
          <w:i/>
          <w:sz w:val="20"/>
        </w:rPr>
        <w:t xml:space="preserve"> </w:t>
      </w:r>
    </w:p>
    <w:p w:rsidR="006C145C" w:rsidRDefault="00C62E5A">
      <w:pPr>
        <w:spacing w:after="170"/>
      </w:pPr>
      <w:r>
        <w:rPr>
          <w:rFonts w:ascii="Arial" w:eastAsia="Arial" w:hAnsi="Arial" w:cs="Arial"/>
          <w:i/>
          <w:color w:val="FF0000"/>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74" w:line="249" w:lineRule="auto"/>
        <w:ind w:left="-5" w:right="57" w:hanging="10"/>
        <w:jc w:val="both"/>
      </w:pPr>
      <w:r>
        <w:rPr>
          <w:rFonts w:ascii="Arial" w:eastAsia="Arial" w:hAnsi="Arial" w:cs="Arial"/>
          <w:b/>
          <w:i/>
          <w:sz w:val="20"/>
        </w:rPr>
        <w:t xml:space="preserve">Nota Explicativa: </w:t>
      </w:r>
      <w:r>
        <w:rPr>
          <w:rFonts w:ascii="Arial" w:eastAsia="Arial" w:hAnsi="Arial" w:cs="Arial"/>
          <w:i/>
          <w:sz w:val="20"/>
        </w:rPr>
        <w:t>Quando a prestação dos serviços envolver a utilização de mão-de-obra vinculada a uma ou mais Convenções Coletivas de Trabalho (CC</w:t>
      </w:r>
      <w:r>
        <w:rPr>
          <w:rFonts w:ascii="Arial" w:eastAsia="Arial" w:hAnsi="Arial" w:cs="Arial"/>
          <w:i/>
          <w:sz w:val="20"/>
        </w:rPr>
        <w:t xml:space="preserve">T), a Administração deverá utilizar as CCTs que comprovadamente estejam em vigor, ainda que não depositadas nas Superintendências Regionais do Trabalho, e indicar, no item acima, aquelas utilizadas para a elaboração da planilha estimativa de valores. </w:t>
      </w:r>
    </w:p>
    <w:p w:rsidR="006C145C" w:rsidRDefault="00C62E5A">
      <w:pPr>
        <w:spacing w:after="165"/>
      </w:pPr>
      <w:r>
        <w:rPr>
          <w:rFonts w:ascii="Arial" w:eastAsia="Arial" w:hAnsi="Arial" w:cs="Arial"/>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72" w:line="249" w:lineRule="auto"/>
        <w:ind w:left="-5" w:right="57" w:hanging="10"/>
        <w:jc w:val="both"/>
      </w:pPr>
      <w:r>
        <w:rPr>
          <w:rFonts w:ascii="Arial" w:eastAsia="Arial" w:hAnsi="Arial" w:cs="Arial"/>
          <w:b/>
          <w:i/>
          <w:sz w:val="20"/>
        </w:rPr>
        <w:lastRenderedPageBreak/>
        <w:t>Nota explicativa</w:t>
      </w:r>
      <w:r>
        <w:rPr>
          <w:rFonts w:ascii="Arial" w:eastAsia="Arial" w:hAnsi="Arial" w:cs="Arial"/>
          <w:i/>
          <w:sz w:val="20"/>
        </w:rPr>
        <w:t>: Lembramos que, para os serviços de vigilância, limpeza e conservação, existem Portarias da SEGES/MP que fixam os limites máximos de preços para a contratação, em âmbito estadual, e servem de parâmetro para análise de aceitabilidade da pro</w:t>
      </w:r>
      <w:r>
        <w:rPr>
          <w:rFonts w:ascii="Arial" w:eastAsia="Arial" w:hAnsi="Arial" w:cs="Arial"/>
          <w:i/>
          <w:sz w:val="20"/>
        </w:rPr>
        <w:t xml:space="preserve">posta. </w:t>
      </w:r>
    </w:p>
    <w:p w:rsidR="006C145C" w:rsidRDefault="00C62E5A">
      <w:pPr>
        <w:numPr>
          <w:ilvl w:val="1"/>
          <w:numId w:val="7"/>
        </w:numPr>
        <w:spacing w:after="129" w:line="270" w:lineRule="auto"/>
        <w:ind w:right="54" w:hanging="540"/>
        <w:jc w:val="both"/>
      </w:pPr>
      <w:r>
        <w:rPr>
          <w:rFonts w:ascii="Arial" w:eastAsia="Arial" w:hAnsi="Arial" w:cs="Arial"/>
          <w:sz w:val="20"/>
        </w:rPr>
        <w:t xml:space="preserve">É vedado à proponente incluir na Planilha de Custos e Formação de Preços: </w:t>
      </w:r>
    </w:p>
    <w:p w:rsidR="006C145C" w:rsidRDefault="00C62E5A">
      <w:pPr>
        <w:numPr>
          <w:ilvl w:val="2"/>
          <w:numId w:val="7"/>
        </w:numPr>
        <w:spacing w:after="129" w:line="270" w:lineRule="auto"/>
        <w:ind w:right="54" w:hanging="720"/>
        <w:jc w:val="both"/>
      </w:pPr>
      <w:r>
        <w:rPr>
          <w:rFonts w:ascii="Arial" w:eastAsia="Arial" w:hAnsi="Arial" w:cs="Arial"/>
          <w:sz w:val="20"/>
        </w:rPr>
        <w:t>item relativo a despesas decorrentes de disposições contidas em Acordos, Convenções ou Dissídios Coletivos de Trabalho que tratem de pagamento de participação dos trabalhado</w:t>
      </w:r>
      <w:r>
        <w:rPr>
          <w:rFonts w:ascii="Arial" w:eastAsia="Arial" w:hAnsi="Arial" w:cs="Arial"/>
          <w:sz w:val="20"/>
        </w:rPr>
        <w:t>res nos lucros ou resultados da empresa contratada, de matéria não trabalhista, ou que estabeleçam direitos não previstos em lei, tais como valores ou índices obrigatórios de encargos sociais ou previdenciários, bem como de preços para os insumos relaciona</w:t>
      </w:r>
      <w:r>
        <w:rPr>
          <w:rFonts w:ascii="Arial" w:eastAsia="Arial" w:hAnsi="Arial" w:cs="Arial"/>
          <w:sz w:val="20"/>
        </w:rPr>
        <w:t xml:space="preserve">dos ao exercício da atividade (art. 9º, parágrafo único, incisos I a III, do Decreto n.º 9.507/2018, e art. 6º da IN SEGES/MP n.º 5, de 2017); </w:t>
      </w:r>
    </w:p>
    <w:p w:rsidR="006C145C" w:rsidRDefault="00C62E5A">
      <w:pPr>
        <w:numPr>
          <w:ilvl w:val="2"/>
          <w:numId w:val="7"/>
        </w:numPr>
        <w:spacing w:after="8" w:line="270" w:lineRule="auto"/>
        <w:ind w:right="54" w:hanging="720"/>
        <w:jc w:val="both"/>
      </w:pPr>
      <w:r>
        <w:rPr>
          <w:rFonts w:ascii="Arial" w:eastAsia="Arial" w:hAnsi="Arial" w:cs="Arial"/>
          <w:sz w:val="20"/>
        </w:rPr>
        <w:t>item relativo a despesas decorrentes de disposições contidas em Acordos, Convenções ou Dissídios Coletivos de Tr</w:t>
      </w:r>
      <w:r>
        <w:rPr>
          <w:rFonts w:ascii="Arial" w:eastAsia="Arial" w:hAnsi="Arial" w:cs="Arial"/>
          <w:sz w:val="20"/>
        </w:rPr>
        <w:t xml:space="preserve">abalho que tratem de obrigações e direitos que somente se aplicam aos contratos com a Administração Pública (art. 6º, parágrafo único, da IN SEGES/MP n.º 5/2017); </w:t>
      </w:r>
    </w:p>
    <w:p w:rsidR="006C145C" w:rsidRDefault="00C62E5A">
      <w:pPr>
        <w:numPr>
          <w:ilvl w:val="2"/>
          <w:numId w:val="7"/>
        </w:numPr>
        <w:spacing w:after="38" w:line="270" w:lineRule="auto"/>
        <w:ind w:right="54" w:hanging="720"/>
        <w:jc w:val="both"/>
      </w:pPr>
      <w:r>
        <w:rPr>
          <w:rFonts w:ascii="Arial" w:eastAsia="Arial" w:hAnsi="Arial" w:cs="Arial"/>
          <w:sz w:val="20"/>
        </w:rPr>
        <w:t>rubricas que prevejam o custeio de despesas com treinamento, reciclagem e capacitação ou con</w:t>
      </w:r>
      <w:r>
        <w:rPr>
          <w:rFonts w:ascii="Arial" w:eastAsia="Arial" w:hAnsi="Arial" w:cs="Arial"/>
          <w:sz w:val="20"/>
        </w:rPr>
        <w:t xml:space="preserve">gêneres, pois tais parcelas já são cobertas pelas despesas administrativas (Acórdão TCU nº 2.746/2015 - Plenário); </w:t>
      </w:r>
    </w:p>
    <w:p w:rsidR="006C145C" w:rsidRDefault="00C62E5A">
      <w:pPr>
        <w:numPr>
          <w:ilvl w:val="2"/>
          <w:numId w:val="7"/>
        </w:numPr>
        <w:spacing w:after="6" w:line="270" w:lineRule="auto"/>
        <w:ind w:right="54" w:hanging="720"/>
        <w:jc w:val="both"/>
      </w:pPr>
      <w:r>
        <w:rPr>
          <w:rFonts w:ascii="Arial" w:eastAsia="Arial" w:hAnsi="Arial" w:cs="Arial"/>
          <w:sz w:val="20"/>
        </w:rPr>
        <w:t>rubrica denominada “reserva técnica”, exceto se houver justificativa, na proposta, que indique, claramente e por meio de memória de cálculo,</w:t>
      </w:r>
      <w:r>
        <w:rPr>
          <w:rFonts w:ascii="Arial" w:eastAsia="Arial" w:hAnsi="Arial" w:cs="Arial"/>
          <w:sz w:val="20"/>
        </w:rPr>
        <w:t xml:space="preserve"> o que está sendo custeado, de modo a haver a comprovação da não cobertura do valor, direta ou indiretamente, por outra rubrica da planilha (Acórdãos TCU nº 2.746/2015 – Plenário, nº 64/2010 - 2ª Câmara e nº 953/2016 - Plenário); </w:t>
      </w:r>
    </w:p>
    <w:p w:rsidR="006C145C" w:rsidRDefault="00C62E5A">
      <w:pPr>
        <w:numPr>
          <w:ilvl w:val="2"/>
          <w:numId w:val="7"/>
        </w:numPr>
        <w:spacing w:after="42" w:line="270" w:lineRule="auto"/>
        <w:ind w:right="54" w:hanging="720"/>
        <w:jc w:val="both"/>
      </w:pPr>
      <w:r>
        <w:rPr>
          <w:rFonts w:ascii="Arial" w:eastAsia="Arial" w:hAnsi="Arial" w:cs="Arial"/>
          <w:sz w:val="20"/>
        </w:rPr>
        <w:t>rubrica para pagamento do</w:t>
      </w:r>
      <w:r>
        <w:rPr>
          <w:rFonts w:ascii="Arial" w:eastAsia="Arial" w:hAnsi="Arial" w:cs="Arial"/>
          <w:sz w:val="20"/>
        </w:rPr>
        <w:t xml:space="preserve"> Imposto de Renda Pessoa Jurídica - IRPJ e da Contribuição Social Sobre o Lucro Líquido – CSLL (Súmula TCU nº 254/2010); </w:t>
      </w:r>
    </w:p>
    <w:p w:rsidR="006C145C" w:rsidRDefault="00C62E5A">
      <w:pPr>
        <w:numPr>
          <w:ilvl w:val="2"/>
          <w:numId w:val="7"/>
        </w:numPr>
        <w:spacing w:after="129" w:line="270" w:lineRule="auto"/>
        <w:ind w:right="54" w:hanging="720"/>
        <w:jc w:val="both"/>
      </w:pPr>
      <w:r>
        <w:rPr>
          <w:rFonts w:ascii="Arial" w:eastAsia="Arial" w:hAnsi="Arial" w:cs="Arial"/>
          <w:sz w:val="20"/>
        </w:rPr>
        <w:t xml:space="preserve">rubrica denominada “verba” ou “verba provisional”, pois o item não está vinculado a qualquer contraprestação mensurável (Acórdãos TCU nº 1.949/2007 – Plenário e nº 6.439/2011 – 1ª Câmara). </w:t>
      </w:r>
    </w:p>
    <w:p w:rsidR="006C145C" w:rsidRDefault="00C62E5A">
      <w:pPr>
        <w:numPr>
          <w:ilvl w:val="1"/>
          <w:numId w:val="7"/>
        </w:numPr>
        <w:spacing w:after="129" w:line="270" w:lineRule="auto"/>
        <w:ind w:right="54" w:hanging="540"/>
        <w:jc w:val="both"/>
      </w:pPr>
      <w:r>
        <w:rPr>
          <w:rFonts w:ascii="Arial" w:eastAsia="Arial" w:hAnsi="Arial" w:cs="Arial"/>
          <w:sz w:val="20"/>
        </w:rPr>
        <w:t>A inclusão na proposta de item de custo vedado não acarretará a de</w:t>
      </w:r>
      <w:r>
        <w:rPr>
          <w:rFonts w:ascii="Arial" w:eastAsia="Arial" w:hAnsi="Arial" w:cs="Arial"/>
          <w:sz w:val="20"/>
        </w:rPr>
        <w:t xml:space="preserve">sclassificação do licitante, devendo o pregoeiro determinar que os respectivos custos sejam excluídos da Planilha, adotando, se for o caso, as providências do art. 47, </w:t>
      </w:r>
      <w:r>
        <w:rPr>
          <w:rFonts w:ascii="Arial" w:eastAsia="Arial" w:hAnsi="Arial" w:cs="Arial"/>
          <w:i/>
          <w:sz w:val="20"/>
        </w:rPr>
        <w:t>caput</w:t>
      </w:r>
      <w:r>
        <w:rPr>
          <w:rFonts w:ascii="Arial" w:eastAsia="Arial" w:hAnsi="Arial" w:cs="Arial"/>
          <w:sz w:val="20"/>
        </w:rPr>
        <w:t xml:space="preserve">, do Decreto n.º 10.024, de 2019.  </w:t>
      </w:r>
    </w:p>
    <w:p w:rsidR="006C145C" w:rsidRDefault="00C62E5A">
      <w:pPr>
        <w:numPr>
          <w:ilvl w:val="2"/>
          <w:numId w:val="7"/>
        </w:numPr>
        <w:spacing w:after="129" w:line="270" w:lineRule="auto"/>
        <w:ind w:right="54" w:hanging="720"/>
        <w:jc w:val="both"/>
      </w:pPr>
      <w:r>
        <w:rPr>
          <w:rFonts w:ascii="Arial" w:eastAsia="Arial" w:hAnsi="Arial" w:cs="Arial"/>
          <w:sz w:val="20"/>
        </w:rPr>
        <w:t>Na hipótese de contratação com a previsão de it</w:t>
      </w:r>
      <w:r>
        <w:rPr>
          <w:rFonts w:ascii="Arial" w:eastAsia="Arial" w:hAnsi="Arial" w:cs="Arial"/>
          <w:sz w:val="20"/>
        </w:rPr>
        <w:t xml:space="preserve">ens de custos vedados, tais valores serão glosados e os itens serão excluídos da Planilha, garantidas ampla defesa e contraditório. </w:t>
      </w:r>
    </w:p>
    <w:p w:rsidR="006C145C" w:rsidRDefault="00C62E5A">
      <w:pPr>
        <w:numPr>
          <w:ilvl w:val="1"/>
          <w:numId w:val="7"/>
        </w:numPr>
        <w:spacing w:after="129" w:line="270" w:lineRule="auto"/>
        <w:ind w:right="54" w:hanging="540"/>
        <w:jc w:val="both"/>
      </w:pPr>
      <w:r>
        <w:rPr>
          <w:rFonts w:ascii="Arial" w:eastAsia="Arial" w:hAnsi="Arial" w:cs="Arial"/>
          <w:sz w:val="20"/>
        </w:rPr>
        <w:t>A inexequibilidade dos valores referentes a itens isolados da Planilha de Custos e Formação de Preços não caracteriza motiv</w:t>
      </w:r>
      <w:r>
        <w:rPr>
          <w:rFonts w:ascii="Arial" w:eastAsia="Arial" w:hAnsi="Arial" w:cs="Arial"/>
          <w:sz w:val="20"/>
        </w:rPr>
        <w:t xml:space="preserve">o suficiente para a desclassificação da proposta, desde que não contrariem exigências legais.  </w:t>
      </w:r>
    </w:p>
    <w:p w:rsidR="006C145C" w:rsidRDefault="00C62E5A">
      <w:pPr>
        <w:numPr>
          <w:ilvl w:val="1"/>
          <w:numId w:val="7"/>
        </w:numPr>
        <w:spacing w:after="117" w:line="280" w:lineRule="auto"/>
        <w:ind w:right="54" w:hanging="540"/>
        <w:jc w:val="both"/>
      </w:pPr>
      <w:r>
        <w:rPr>
          <w:rFonts w:ascii="Arial" w:eastAsia="Arial" w:hAnsi="Arial" w:cs="Arial"/>
          <w:sz w:val="20"/>
        </w:rPr>
        <w:t xml:space="preserve">Se houver indícios de inexequibilidade da proposta de preço, ou em caso da necessidade de esclarecimentos complementares, poderão ser efetuadas diligências, na </w:t>
      </w:r>
      <w:r>
        <w:rPr>
          <w:rFonts w:ascii="Arial" w:eastAsia="Arial" w:hAnsi="Arial" w:cs="Arial"/>
          <w:sz w:val="20"/>
        </w:rPr>
        <w:t xml:space="preserve">forma do § 3° do artigo 43 da Lei n° 8.666, de 1993 e a exemplo das enumeradas no item 9.4 do Anexo VII-A da IN SEGES/MP N. 5, de 2017, para que a empresa comprove a exequibilidade da proposta. </w:t>
      </w:r>
    </w:p>
    <w:p w:rsidR="006C145C" w:rsidRDefault="00C62E5A">
      <w:pPr>
        <w:numPr>
          <w:ilvl w:val="1"/>
          <w:numId w:val="7"/>
        </w:numPr>
        <w:spacing w:after="129" w:line="270" w:lineRule="auto"/>
        <w:ind w:right="54" w:hanging="540"/>
        <w:jc w:val="both"/>
      </w:pPr>
      <w:r>
        <w:rPr>
          <w:rFonts w:ascii="Arial" w:eastAsia="Arial" w:hAnsi="Arial" w:cs="Arial"/>
          <w:sz w:val="20"/>
        </w:rPr>
        <w:t>Quando o licitante apresentar preço final inferior a 30% (tri</w:t>
      </w:r>
      <w:r>
        <w:rPr>
          <w:rFonts w:ascii="Arial" w:eastAsia="Arial" w:hAnsi="Arial" w:cs="Arial"/>
          <w:sz w:val="20"/>
        </w:rPr>
        <w:t>nta por cento) da média dos preços ofertados para o mesmo item, e a inexequibilidade da proposta não for flagrante e evidente pela análise da planilha de custos, não sendo possível a sua imediata desclassificação, será obrigatória a realização de diligênci</w:t>
      </w:r>
      <w:r>
        <w:rPr>
          <w:rFonts w:ascii="Arial" w:eastAsia="Arial" w:hAnsi="Arial" w:cs="Arial"/>
          <w:sz w:val="20"/>
        </w:rPr>
        <w:t xml:space="preserve">as para aferir a legalidade e exequibilidade da proposta. </w:t>
      </w:r>
    </w:p>
    <w:p w:rsidR="006C145C" w:rsidRDefault="00C62E5A">
      <w:pPr>
        <w:spacing w:after="155" w:line="270" w:lineRule="auto"/>
        <w:ind w:left="3066" w:right="58" w:hanging="1081"/>
        <w:jc w:val="both"/>
      </w:pPr>
      <w:r>
        <w:rPr>
          <w:rFonts w:ascii="Arial" w:eastAsia="Arial" w:hAnsi="Arial" w:cs="Arial"/>
          <w:i/>
          <w:color w:val="FF0000"/>
          <w:sz w:val="20"/>
        </w:rPr>
        <w:t>8.9.2.1.1 As propostas com preços próximos ou inferiores ao mínimo estabelecido pelo Ministério do Planejamento, Desenvolvimento e Gestão, disponibilizado em meio eletrônico, no Portal de Compras d</w:t>
      </w:r>
      <w:r>
        <w:rPr>
          <w:rFonts w:ascii="Arial" w:eastAsia="Arial" w:hAnsi="Arial" w:cs="Arial"/>
          <w:i/>
          <w:color w:val="FF0000"/>
          <w:sz w:val="20"/>
        </w:rPr>
        <w:t xml:space="preserve">o Governo </w:t>
      </w:r>
      <w:r>
        <w:rPr>
          <w:rFonts w:ascii="Arial" w:eastAsia="Arial" w:hAnsi="Arial" w:cs="Arial"/>
          <w:i/>
          <w:color w:val="FF0000"/>
          <w:sz w:val="20"/>
        </w:rPr>
        <w:lastRenderedPageBreak/>
        <w:t>Federal (</w:t>
      </w:r>
      <w:r>
        <w:rPr>
          <w:rFonts w:ascii="Arial" w:eastAsia="Arial" w:hAnsi="Arial" w:cs="Arial"/>
          <w:i/>
          <w:color w:val="FF0000"/>
          <w:sz w:val="20"/>
          <w:u w:val="single" w:color="FF0000"/>
        </w:rPr>
        <w:t>http://www.comprasgovernamentais.gov.br</w:t>
      </w:r>
      <w:r>
        <w:rPr>
          <w:rFonts w:ascii="Arial" w:eastAsia="Arial" w:hAnsi="Arial" w:cs="Arial"/>
          <w:i/>
          <w:color w:val="FF0000"/>
          <w:sz w:val="20"/>
        </w:rPr>
        <w:t>), deverão comprovar sua exequibilidade, de forma inequívoca, sob pena de desclassificação, sem prejuízo do disposto nos itens 9.2 a 9.6 do Anexo VII-A, da Instrução Normativa/SEGES/MP n.º 5/2017 (P</w:t>
      </w:r>
      <w:r>
        <w:rPr>
          <w:rFonts w:ascii="Arial" w:eastAsia="Arial" w:hAnsi="Arial" w:cs="Arial"/>
          <w:i/>
          <w:color w:val="FF0000"/>
          <w:sz w:val="20"/>
        </w:rPr>
        <w:t xml:space="preserve">ortaria SEGES/MP n. 213, de 25 de setembro de 2017).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b/>
          <w:i/>
          <w:sz w:val="20"/>
        </w:rPr>
        <w:t>Nota explicativa</w:t>
      </w:r>
      <w:r>
        <w:rPr>
          <w:rFonts w:ascii="Arial" w:eastAsia="Arial" w:hAnsi="Arial" w:cs="Arial"/>
          <w:i/>
          <w:sz w:val="20"/>
        </w:rPr>
        <w:t xml:space="preserve">: O subitem acima deverá ser incluído caso a licitação tenha por objeto a contratação de serviços de vigilância e de limpeza e conservação. </w:t>
      </w:r>
    </w:p>
    <w:p w:rsidR="006C145C" w:rsidRDefault="00C62E5A">
      <w:pPr>
        <w:numPr>
          <w:ilvl w:val="1"/>
          <w:numId w:val="7"/>
        </w:numPr>
        <w:spacing w:after="129" w:line="270" w:lineRule="auto"/>
        <w:ind w:right="54" w:hanging="540"/>
        <w:jc w:val="both"/>
      </w:pPr>
      <w:r>
        <w:rPr>
          <w:rFonts w:ascii="Arial" w:eastAsia="Arial" w:hAnsi="Arial" w:cs="Arial"/>
          <w:sz w:val="20"/>
        </w:rPr>
        <w:t xml:space="preserve">Qualquer interessado poderá requerer que se </w:t>
      </w:r>
      <w:r>
        <w:rPr>
          <w:rFonts w:ascii="Arial" w:eastAsia="Arial" w:hAnsi="Arial" w:cs="Arial"/>
          <w:sz w:val="20"/>
        </w:rPr>
        <w:t xml:space="preserve">realizem diligências para aferir a exequibilidade e a legalidade das propostas, devendo apresentar as provas ou os indícios que fundamentam a suspeita. </w:t>
      </w:r>
    </w:p>
    <w:p w:rsidR="006C145C" w:rsidRDefault="00C62E5A">
      <w:pPr>
        <w:numPr>
          <w:ilvl w:val="2"/>
          <w:numId w:val="7"/>
        </w:numPr>
        <w:spacing w:after="129" w:line="270" w:lineRule="auto"/>
        <w:ind w:right="54" w:hanging="720"/>
        <w:jc w:val="both"/>
      </w:pPr>
      <w:r>
        <w:rPr>
          <w:rFonts w:ascii="Arial" w:eastAsia="Arial" w:hAnsi="Arial" w:cs="Arial"/>
          <w:sz w:val="20"/>
        </w:rPr>
        <w:t xml:space="preserve">Na hipótese de necessidade de suspensão da sessão pública para a realização de diligências, com vistas </w:t>
      </w:r>
      <w:r>
        <w:rPr>
          <w:rFonts w:ascii="Arial" w:eastAsia="Arial" w:hAnsi="Arial" w:cs="Arial"/>
          <w:sz w:val="20"/>
        </w:rPr>
        <w:t xml:space="preserve">ao saneamento das propostas, a sessão pública somente poderá ser reiniciada mediante aviso prévio no sistema com, no mínimo, vinte e quatro horas de antecedência, e a ocorrência será registrada em ata. </w:t>
      </w:r>
    </w:p>
    <w:p w:rsidR="006C145C" w:rsidRDefault="00C62E5A">
      <w:pPr>
        <w:numPr>
          <w:ilvl w:val="1"/>
          <w:numId w:val="7"/>
        </w:numPr>
        <w:spacing w:after="155" w:line="269" w:lineRule="auto"/>
        <w:ind w:right="54" w:hanging="540"/>
        <w:jc w:val="both"/>
      </w:pPr>
      <w:r>
        <w:rPr>
          <w:rFonts w:ascii="Arial" w:eastAsia="Arial" w:hAnsi="Arial" w:cs="Arial"/>
          <w:sz w:val="20"/>
          <w:shd w:val="clear" w:color="auto" w:fill="FFFF00"/>
        </w:rPr>
        <w:t>O Pregoeiro poderá convocar o licitante para enviar documento digital complementar, por</w:t>
      </w:r>
      <w:r>
        <w:rPr>
          <w:rFonts w:ascii="Arial" w:eastAsia="Arial" w:hAnsi="Arial" w:cs="Arial"/>
          <w:sz w:val="20"/>
        </w:rPr>
        <w:t xml:space="preserve"> </w:t>
      </w:r>
      <w:r>
        <w:rPr>
          <w:rFonts w:ascii="Arial" w:eastAsia="Arial" w:hAnsi="Arial" w:cs="Arial"/>
          <w:sz w:val="20"/>
          <w:shd w:val="clear" w:color="auto" w:fill="FFFF00"/>
        </w:rPr>
        <w:t xml:space="preserve">meio de funcionalidade disponível no sistema, no prazo de horas </w:t>
      </w:r>
      <w:r>
        <w:rPr>
          <w:rFonts w:ascii="Arial" w:eastAsia="Arial" w:hAnsi="Arial" w:cs="Arial"/>
          <w:i/>
          <w:color w:val="FF0000"/>
          <w:sz w:val="20"/>
          <w:shd w:val="clear" w:color="auto" w:fill="FFFF00"/>
        </w:rPr>
        <w:t>[mínimo de quatro horas]</w:t>
      </w:r>
      <w:r>
        <w:rPr>
          <w:rFonts w:ascii="Arial" w:eastAsia="Arial" w:hAnsi="Arial" w:cs="Arial"/>
          <w:sz w:val="20"/>
          <w:shd w:val="clear" w:color="auto" w:fill="FFFF00"/>
        </w:rPr>
        <w:t>,</w:t>
      </w:r>
      <w:r>
        <w:rPr>
          <w:rFonts w:ascii="Arial" w:eastAsia="Arial" w:hAnsi="Arial" w:cs="Arial"/>
          <w:sz w:val="20"/>
        </w:rPr>
        <w:t xml:space="preserve"> </w:t>
      </w:r>
      <w:r>
        <w:rPr>
          <w:rFonts w:ascii="Arial" w:eastAsia="Arial" w:hAnsi="Arial" w:cs="Arial"/>
          <w:sz w:val="20"/>
          <w:shd w:val="clear" w:color="auto" w:fill="FFFF00"/>
        </w:rPr>
        <w:t>sob pena de não aceitação da proposta.</w:t>
      </w:r>
      <w:r>
        <w:rPr>
          <w:rFonts w:ascii="Arial" w:eastAsia="Arial" w:hAnsi="Arial" w:cs="Arial"/>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74" w:line="249" w:lineRule="auto"/>
        <w:ind w:left="-5" w:right="128" w:hanging="10"/>
        <w:jc w:val="both"/>
      </w:pPr>
      <w:r>
        <w:rPr>
          <w:rFonts w:ascii="Arial" w:eastAsia="Arial" w:hAnsi="Arial" w:cs="Arial"/>
          <w:b/>
          <w:i/>
          <w:sz w:val="20"/>
        </w:rPr>
        <w:t>Nota explicativa</w:t>
      </w:r>
      <w:r>
        <w:rPr>
          <w:rFonts w:ascii="Arial" w:eastAsia="Arial" w:hAnsi="Arial" w:cs="Arial"/>
          <w:i/>
          <w:sz w:val="20"/>
        </w:rPr>
        <w:t>: A Administração deverá fixar tempo mínimo razoável para eventual apresentação do documento solicitado, considerando, para tanto, a complexidade da licitação. O art. 38 do Decreto nº 10.024/19 estabelece prazo mínimo de quatro horas a ser previsto no inst</w:t>
      </w:r>
      <w:r>
        <w:rPr>
          <w:rFonts w:ascii="Arial" w:eastAsia="Arial" w:hAnsi="Arial" w:cs="Arial"/>
          <w:i/>
          <w:sz w:val="20"/>
        </w:rPr>
        <w:t xml:space="preserve">rumento convocatório para esse fim. </w:t>
      </w:r>
    </w:p>
    <w:p w:rsidR="006C145C" w:rsidRDefault="00C62E5A">
      <w:pPr>
        <w:numPr>
          <w:ilvl w:val="2"/>
          <w:numId w:val="7"/>
        </w:numPr>
        <w:spacing w:after="129" w:line="270" w:lineRule="auto"/>
        <w:ind w:right="54" w:hanging="720"/>
        <w:jc w:val="both"/>
      </w:pPr>
      <w:r>
        <w:rPr>
          <w:rFonts w:ascii="Arial" w:eastAsia="Arial" w:hAnsi="Arial" w:cs="Arial"/>
          <w:sz w:val="20"/>
        </w:rPr>
        <w:t xml:space="preserve">O prazo estabelecido poderá ser prorrogado pelo Pregoeiro por solicitação escrita e justificada do licitante, formulada antes de findo o prazo, e formalmente aceita pelo Pregoeiro. </w:t>
      </w:r>
    </w:p>
    <w:p w:rsidR="006C145C" w:rsidRDefault="00C62E5A">
      <w:pPr>
        <w:numPr>
          <w:ilvl w:val="2"/>
          <w:numId w:val="7"/>
        </w:numPr>
        <w:spacing w:after="129" w:line="270" w:lineRule="auto"/>
        <w:ind w:right="54" w:hanging="720"/>
        <w:jc w:val="both"/>
      </w:pPr>
      <w:r>
        <w:rPr>
          <w:rFonts w:ascii="Arial" w:eastAsia="Arial" w:hAnsi="Arial" w:cs="Arial"/>
          <w:sz w:val="20"/>
        </w:rPr>
        <w:t>Dentre os documentos passíveis de sol</w:t>
      </w:r>
      <w:r>
        <w:rPr>
          <w:rFonts w:ascii="Arial" w:eastAsia="Arial" w:hAnsi="Arial" w:cs="Arial"/>
          <w:sz w:val="20"/>
        </w:rPr>
        <w:t xml:space="preserve">icitação pelo Pregoeiro, destacam-se as planilhas de custo readequadas com o valor final ofertado. </w:t>
      </w:r>
    </w:p>
    <w:p w:rsidR="006C145C" w:rsidRDefault="00C62E5A">
      <w:pPr>
        <w:numPr>
          <w:ilvl w:val="1"/>
          <w:numId w:val="7"/>
        </w:numPr>
        <w:spacing w:after="129" w:line="270" w:lineRule="auto"/>
        <w:ind w:right="54" w:hanging="540"/>
        <w:jc w:val="both"/>
      </w:pPr>
      <w:r>
        <w:rPr>
          <w:rFonts w:ascii="Arial" w:eastAsia="Arial" w:hAnsi="Arial" w:cs="Arial"/>
          <w:sz w:val="20"/>
        </w:rPr>
        <w:t xml:space="preserve">Todos os dados informados pelo licitante em sua planilha deverão refletir com fidelidade os custos especificados e a margem de lucro pretendida. </w:t>
      </w:r>
    </w:p>
    <w:p w:rsidR="006C145C" w:rsidRDefault="00C62E5A">
      <w:pPr>
        <w:numPr>
          <w:ilvl w:val="1"/>
          <w:numId w:val="7"/>
        </w:numPr>
        <w:spacing w:after="129" w:line="270" w:lineRule="auto"/>
        <w:ind w:right="54" w:hanging="540"/>
        <w:jc w:val="both"/>
      </w:pPr>
      <w:r>
        <w:rPr>
          <w:rFonts w:ascii="Arial" w:eastAsia="Arial" w:hAnsi="Arial" w:cs="Arial"/>
          <w:sz w:val="20"/>
        </w:rPr>
        <w:t>O Pregoeir</w:t>
      </w:r>
      <w:r>
        <w:rPr>
          <w:rFonts w:ascii="Arial" w:eastAsia="Arial" w:hAnsi="Arial" w:cs="Arial"/>
          <w:sz w:val="20"/>
        </w:rPr>
        <w:t xml:space="preserve">o analisará a compatibilidade dos preços unitários apresentados na Planilha de Custos e Formação de Preços com aqueles praticados no mercado em relação aos insumos e também quanto aos salários das categorias envolvidas na contratação; </w:t>
      </w:r>
    </w:p>
    <w:p w:rsidR="006C145C" w:rsidRDefault="00C62E5A">
      <w:pPr>
        <w:numPr>
          <w:ilvl w:val="1"/>
          <w:numId w:val="7"/>
        </w:numPr>
        <w:spacing w:after="129" w:line="270" w:lineRule="auto"/>
        <w:ind w:right="54" w:hanging="540"/>
        <w:jc w:val="both"/>
      </w:pPr>
      <w:r>
        <w:rPr>
          <w:rFonts w:ascii="Arial" w:eastAsia="Arial" w:hAnsi="Arial" w:cs="Arial"/>
          <w:sz w:val="20"/>
        </w:rPr>
        <w:t>Erros no preenchimen</w:t>
      </w:r>
      <w:r>
        <w:rPr>
          <w:rFonts w:ascii="Arial" w:eastAsia="Arial" w:hAnsi="Arial" w:cs="Arial"/>
          <w:sz w:val="20"/>
        </w:rPr>
        <w:t xml:space="preserve">to da planilha não constituem motivo para a desclassificação da proposta. A planilha poderá ser ajustada pelo licitante, no prazo indicado pelo Pregoeiro, desde que não haja majoração do preço proposto.  </w:t>
      </w:r>
    </w:p>
    <w:p w:rsidR="006C145C" w:rsidRDefault="00C62E5A">
      <w:pPr>
        <w:numPr>
          <w:ilvl w:val="2"/>
          <w:numId w:val="7"/>
        </w:numPr>
        <w:spacing w:after="129" w:line="270" w:lineRule="auto"/>
        <w:ind w:right="54" w:hanging="720"/>
        <w:jc w:val="both"/>
      </w:pPr>
      <w:r>
        <w:rPr>
          <w:rFonts w:ascii="Arial" w:eastAsia="Arial" w:hAnsi="Arial" w:cs="Arial"/>
          <w:sz w:val="20"/>
        </w:rPr>
        <w:t>Considera-se erro no preenchimento da planilha a in</w:t>
      </w:r>
      <w:r>
        <w:rPr>
          <w:rFonts w:ascii="Arial" w:eastAsia="Arial" w:hAnsi="Arial" w:cs="Arial"/>
          <w:sz w:val="20"/>
        </w:rPr>
        <w:t xml:space="preserve">dicação de recolhimento de impostos e contribuições na forma do Simples Nacional, exceto para atividades de prestação de serviços previstas nos §§5º-B a 5º-E, do artigo 18, da LC 123, de 2006. </w:t>
      </w:r>
    </w:p>
    <w:p w:rsidR="006C145C" w:rsidRDefault="00C62E5A">
      <w:pPr>
        <w:numPr>
          <w:ilvl w:val="2"/>
          <w:numId w:val="7"/>
        </w:numPr>
        <w:spacing w:after="129" w:line="270" w:lineRule="auto"/>
        <w:ind w:right="54" w:hanging="720"/>
        <w:jc w:val="both"/>
      </w:pPr>
      <w:r>
        <w:rPr>
          <w:rFonts w:ascii="Arial" w:eastAsia="Arial" w:hAnsi="Arial" w:cs="Arial"/>
          <w:sz w:val="20"/>
        </w:rPr>
        <w:t>Em nenhuma hipótese poderá ser  alterado  o  teor  da  propost</w:t>
      </w:r>
      <w:r>
        <w:rPr>
          <w:rFonts w:ascii="Arial" w:eastAsia="Arial" w:hAnsi="Arial" w:cs="Arial"/>
          <w:sz w:val="20"/>
        </w:rPr>
        <w:t>a apresentada, seja quanto ao preço ou quaisquer outras condições que importem em modificações de seus termos originais, ressalvadas apenas as alterações absolutamente  formais,  destinadas  a  sanar  evidentes  erros  materiais,  sem nenhuma  alteração  d</w:t>
      </w:r>
      <w:r>
        <w:rPr>
          <w:rFonts w:ascii="Arial" w:eastAsia="Arial" w:hAnsi="Arial" w:cs="Arial"/>
          <w:sz w:val="20"/>
        </w:rPr>
        <w:t xml:space="preserve">o  conteúdo  e  das  condições  referidas,  desde  que  não venham a causar prejuízos aos demais licitantes; </w:t>
      </w:r>
    </w:p>
    <w:p w:rsidR="006C145C" w:rsidRDefault="00C62E5A">
      <w:pPr>
        <w:numPr>
          <w:ilvl w:val="2"/>
          <w:numId w:val="7"/>
        </w:numPr>
        <w:spacing w:after="130" w:line="270" w:lineRule="auto"/>
        <w:ind w:right="54" w:hanging="720"/>
        <w:jc w:val="both"/>
      </w:pPr>
      <w:r>
        <w:rPr>
          <w:rFonts w:ascii="Arial" w:eastAsia="Arial" w:hAnsi="Arial" w:cs="Arial"/>
          <w:i/>
          <w:color w:val="FF0000"/>
          <w:sz w:val="20"/>
        </w:rPr>
        <w:t>O Pregoeiro deverá verificar se a proposta apresenta o valor total dos custos da contratação, inclusive aqueles estimados para as ocorrências de f</w:t>
      </w:r>
      <w:r>
        <w:rPr>
          <w:rFonts w:ascii="Arial" w:eastAsia="Arial" w:hAnsi="Arial" w:cs="Arial"/>
          <w:i/>
          <w:color w:val="FF0000"/>
          <w:sz w:val="20"/>
        </w:rPr>
        <w:t xml:space="preserve">atos geradores.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173" w:line="250" w:lineRule="auto"/>
        <w:ind w:left="507" w:right="127" w:hanging="10"/>
        <w:jc w:val="both"/>
      </w:pPr>
      <w:r>
        <w:rPr>
          <w:rFonts w:ascii="Arial" w:eastAsia="Arial" w:hAnsi="Arial" w:cs="Arial"/>
          <w:b/>
          <w:i/>
          <w:sz w:val="20"/>
        </w:rPr>
        <w:lastRenderedPageBreak/>
        <w:t>Nota Explicativa:</w:t>
      </w:r>
      <w:r>
        <w:rPr>
          <w:rFonts w:ascii="Arial" w:eastAsia="Arial" w:hAnsi="Arial" w:cs="Arial"/>
          <w:i/>
          <w:sz w:val="20"/>
        </w:rPr>
        <w:t xml:space="preserve"> O subitem acima deverá ser inserido no edital, em atenção aos itens 7.10 e 8.9 do Anexo VII-A da IN SEGES/MP n.º 05, de 2017, caso </w:t>
      </w:r>
      <w:r>
        <w:rPr>
          <w:rFonts w:ascii="Arial" w:eastAsia="Arial" w:hAnsi="Arial" w:cs="Arial"/>
          <w:i/>
          <w:sz w:val="20"/>
        </w:rPr>
        <w:t xml:space="preserve">o Pagamento pelo Fato Gerador tenha sido adotado pela Administração, conforme disposições do respectivo Termo de Referência. </w:t>
      </w:r>
    </w:p>
    <w:p w:rsidR="006C145C" w:rsidRDefault="00C62E5A">
      <w:pPr>
        <w:numPr>
          <w:ilvl w:val="1"/>
          <w:numId w:val="7"/>
        </w:numPr>
        <w:spacing w:after="129" w:line="270" w:lineRule="auto"/>
        <w:ind w:right="54" w:hanging="540"/>
        <w:jc w:val="both"/>
      </w:pPr>
      <w:r>
        <w:rPr>
          <w:rFonts w:ascii="Arial" w:eastAsia="Arial" w:hAnsi="Arial" w:cs="Arial"/>
          <w:sz w:val="20"/>
        </w:rPr>
        <w:t xml:space="preserve">Para fins de análise da proposta quanto ao cumprimento das especificações do objeto, poderá ser colhida a manifestação escrita do </w:t>
      </w:r>
      <w:r>
        <w:rPr>
          <w:rFonts w:ascii="Arial" w:eastAsia="Arial" w:hAnsi="Arial" w:cs="Arial"/>
          <w:sz w:val="20"/>
        </w:rPr>
        <w:t xml:space="preserve">setor requisitante do serviço ou da área especializada no objeto. </w:t>
      </w:r>
    </w:p>
    <w:p w:rsidR="006C145C" w:rsidRDefault="00C62E5A">
      <w:pPr>
        <w:numPr>
          <w:ilvl w:val="1"/>
          <w:numId w:val="7"/>
        </w:numPr>
        <w:spacing w:after="129" w:line="270" w:lineRule="auto"/>
        <w:ind w:right="54" w:hanging="540"/>
        <w:jc w:val="both"/>
      </w:pPr>
      <w:r>
        <w:rPr>
          <w:rFonts w:ascii="Arial" w:eastAsia="Arial" w:hAnsi="Arial" w:cs="Arial"/>
          <w:sz w:val="20"/>
        </w:rPr>
        <w:t xml:space="preserve">Se a proposta ou lance vencedor for desclassificado, o Pregoeiro examinará a proposta ou lance subsequente, e, assim sucessivamente, na ordem de classificação. </w:t>
      </w:r>
    </w:p>
    <w:p w:rsidR="006C145C" w:rsidRDefault="00C62E5A">
      <w:pPr>
        <w:numPr>
          <w:ilvl w:val="1"/>
          <w:numId w:val="7"/>
        </w:numPr>
        <w:spacing w:after="129" w:line="270" w:lineRule="auto"/>
        <w:ind w:right="54" w:hanging="540"/>
        <w:jc w:val="both"/>
      </w:pPr>
      <w:r>
        <w:rPr>
          <w:rFonts w:ascii="Arial" w:eastAsia="Arial" w:hAnsi="Arial" w:cs="Arial"/>
          <w:sz w:val="20"/>
        </w:rPr>
        <w:t>Havendo necessidade, o Prego</w:t>
      </w:r>
      <w:r>
        <w:rPr>
          <w:rFonts w:ascii="Arial" w:eastAsia="Arial" w:hAnsi="Arial" w:cs="Arial"/>
          <w:sz w:val="20"/>
        </w:rPr>
        <w:t xml:space="preserve">eiro suspenderá a sessão, informando no “chat” a nova data e horário para a continuidade da mesma. </w:t>
      </w:r>
    </w:p>
    <w:p w:rsidR="006C145C" w:rsidRDefault="00C62E5A">
      <w:pPr>
        <w:numPr>
          <w:ilvl w:val="1"/>
          <w:numId w:val="7"/>
        </w:numPr>
        <w:spacing w:after="129" w:line="270" w:lineRule="auto"/>
        <w:ind w:right="54" w:hanging="540"/>
        <w:jc w:val="both"/>
      </w:pPr>
      <w:r>
        <w:rPr>
          <w:rFonts w:ascii="Arial" w:eastAsia="Arial" w:hAnsi="Arial" w:cs="Arial"/>
          <w:sz w:val="20"/>
        </w:rPr>
        <w:t>Nos itens não exclusivos para a participação de microempresas e empresas de pequeno porte, sempre que a proposta não for aceita, e antes de o Pregoeiro pass</w:t>
      </w:r>
      <w:r>
        <w:rPr>
          <w:rFonts w:ascii="Arial" w:eastAsia="Arial" w:hAnsi="Arial" w:cs="Arial"/>
          <w:sz w:val="20"/>
        </w:rPr>
        <w:t xml:space="preserve">ar à subsequente, haverá nova verificação, pelo sistema, da eventual ocorrência do empate ficto, previsto nos artigos 44 e 45 da LC nº 123, de 2006, seguindo-se a disciplina antes estabelecida, se for o caso. </w:t>
      </w:r>
    </w:p>
    <w:p w:rsidR="006C145C" w:rsidRDefault="00C62E5A">
      <w:pPr>
        <w:numPr>
          <w:ilvl w:val="1"/>
          <w:numId w:val="7"/>
        </w:numPr>
        <w:spacing w:after="129" w:line="270" w:lineRule="auto"/>
        <w:ind w:right="54" w:hanging="540"/>
        <w:jc w:val="both"/>
      </w:pPr>
      <w:r>
        <w:rPr>
          <w:rFonts w:ascii="Arial" w:eastAsia="Arial" w:hAnsi="Arial" w:cs="Arial"/>
          <w:sz w:val="20"/>
        </w:rPr>
        <w:t>Encerrada a análise quanto à aceitação da prop</w:t>
      </w:r>
      <w:r>
        <w:rPr>
          <w:rFonts w:ascii="Arial" w:eastAsia="Arial" w:hAnsi="Arial" w:cs="Arial"/>
          <w:sz w:val="20"/>
        </w:rPr>
        <w:t xml:space="preserve">osta, o pregoeiro verificará a habilitação do licitante, observado o disposto neste Edital.  </w:t>
      </w:r>
    </w:p>
    <w:p w:rsidR="006C145C" w:rsidRDefault="00C62E5A">
      <w:pPr>
        <w:spacing w:after="494"/>
        <w:ind w:left="1712"/>
      </w:pPr>
      <w:r>
        <w:rPr>
          <w:rFonts w:ascii="Arial" w:eastAsia="Arial" w:hAnsi="Arial" w:cs="Arial"/>
          <w:sz w:val="20"/>
        </w:rPr>
        <w:t xml:space="preserve"> </w:t>
      </w:r>
    </w:p>
    <w:p w:rsidR="006C145C" w:rsidRDefault="00C62E5A">
      <w:pPr>
        <w:pStyle w:val="Ttulo4"/>
        <w:spacing w:after="177"/>
        <w:ind w:left="7" w:right="37"/>
      </w:pPr>
      <w:r>
        <w:t xml:space="preserve">9. DA HABILITAÇÃO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2" w:line="249" w:lineRule="auto"/>
        <w:ind w:left="-5" w:right="57" w:hanging="10"/>
        <w:jc w:val="both"/>
      </w:pPr>
      <w:r>
        <w:rPr>
          <w:rFonts w:ascii="Arial" w:eastAsia="Arial" w:hAnsi="Arial" w:cs="Arial"/>
          <w:b/>
          <w:i/>
          <w:sz w:val="20"/>
        </w:rPr>
        <w:t>Nota explicativa:</w:t>
      </w:r>
      <w:r>
        <w:rPr>
          <w:rFonts w:ascii="Arial" w:eastAsia="Arial" w:hAnsi="Arial" w:cs="Arial"/>
          <w:i/>
          <w:sz w:val="20"/>
        </w:rPr>
        <w:t xml:space="preserve"> </w:t>
      </w:r>
      <w:r>
        <w:rPr>
          <w:rFonts w:ascii="Arial" w:eastAsia="Arial" w:hAnsi="Arial" w:cs="Arial"/>
          <w:b/>
          <w:i/>
          <w:sz w:val="20"/>
        </w:rPr>
        <w:t>É FUNDAMENTAL QUE A ADMINISTRAÇÃO</w:t>
      </w:r>
      <w:r>
        <w:rPr>
          <w:rFonts w:ascii="Arial" w:eastAsia="Arial" w:hAnsi="Arial" w:cs="Arial"/>
          <w:i/>
          <w:sz w:val="20"/>
        </w:rPr>
        <w:t xml:space="preserve"> observe que exigências demasiadas poderão prejudicar a competitividade da licitação e of</w:t>
      </w:r>
      <w:r>
        <w:rPr>
          <w:rFonts w:ascii="Arial" w:eastAsia="Arial" w:hAnsi="Arial" w:cs="Arial"/>
          <w:i/>
          <w:sz w:val="20"/>
        </w:rPr>
        <w:t>ender a o disposto no art. 37, XXI da Constituição Federal, o qual preceitua que “o processo de licitação pública... somente permitirá as exigências de qualificação técnica e econômica indispensáveis à garantia do cumprimento das obrigações”. É fundamental</w:t>
      </w:r>
      <w:r>
        <w:rPr>
          <w:rFonts w:ascii="Arial" w:eastAsia="Arial" w:hAnsi="Arial" w:cs="Arial"/>
          <w:i/>
          <w:sz w:val="20"/>
        </w:rPr>
        <w:t xml:space="preserve"> que a Administração examine, </w:t>
      </w:r>
      <w:r>
        <w:rPr>
          <w:rFonts w:ascii="Arial" w:eastAsia="Arial" w:hAnsi="Arial" w:cs="Arial"/>
          <w:b/>
          <w:i/>
          <w:sz w:val="20"/>
        </w:rPr>
        <w:t>DIANTE DO CASO CONCRETO</w:t>
      </w:r>
      <w:r>
        <w:rPr>
          <w:rFonts w:ascii="Arial" w:eastAsia="Arial" w:hAnsi="Arial" w:cs="Arial"/>
          <w:i/>
          <w:sz w:val="20"/>
        </w:rPr>
        <w:t>, se o objeto da contratação demanda a exigência de todos os requisitos de habilitação apresentados neste modelo, levando-se em consideração o vulto, a complexidade do objeto, a essencialidade do serviço</w:t>
      </w:r>
      <w:r>
        <w:rPr>
          <w:rFonts w:ascii="Arial" w:eastAsia="Arial" w:hAnsi="Arial" w:cs="Arial"/>
          <w:i/>
          <w:sz w:val="20"/>
        </w:rPr>
        <w:t xml:space="preserve"> e os riscos decorrentes de sua paralisação em função da eventual incapacidade econômica da contratada em suportar vicissitudes contratuais, excluindo-se o que entender excessivo.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1" w:line="249" w:lineRule="auto"/>
        <w:ind w:left="-5" w:right="57" w:hanging="10"/>
        <w:jc w:val="both"/>
      </w:pPr>
      <w:r>
        <w:rPr>
          <w:rFonts w:ascii="Arial" w:eastAsia="Arial" w:hAnsi="Arial" w:cs="Arial"/>
          <w:i/>
          <w:sz w:val="20"/>
        </w:rPr>
        <w:t>Em licitação dividida em itens, as exigências de habilitação podem adequar</w:t>
      </w:r>
      <w:r>
        <w:rPr>
          <w:rFonts w:ascii="Arial" w:eastAsia="Arial" w:hAnsi="Arial" w:cs="Arial"/>
          <w:i/>
          <w:sz w:val="20"/>
        </w:rPr>
        <w:t>-se a essa divisibilidade (Súmula 247 do TCU), sendo possível, em um mesmo Edital, a exigência de requisitos de habilitação mais amplos somente para alguns itens. Para se fazer isso, basta acrescentar uma ressalva ao final na exigência pertinente, tal como</w:t>
      </w:r>
      <w:r>
        <w:rPr>
          <w:rFonts w:ascii="Arial" w:eastAsia="Arial" w:hAnsi="Arial" w:cs="Arial"/>
          <w:i/>
          <w:sz w:val="20"/>
        </w:rPr>
        <w:t xml:space="preserve"> “(exigência relativa somente aos itens ...., ...., .....)”.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54" w:line="249" w:lineRule="auto"/>
        <w:ind w:left="-5" w:right="57" w:hanging="10"/>
        <w:jc w:val="both"/>
      </w:pPr>
      <w:r>
        <w:rPr>
          <w:rFonts w:ascii="Arial" w:eastAsia="Arial" w:hAnsi="Arial" w:cs="Arial"/>
          <w:i/>
          <w:sz w:val="20"/>
        </w:rPr>
        <w:t xml:space="preserve">Observar-se, contudo, para não acrescentar requisitos que não tenham suporte nos arts. 28 a 31 da Lei nº 8.666, de 1993. </w:t>
      </w:r>
    </w:p>
    <w:p w:rsidR="006C145C" w:rsidRDefault="00C62E5A">
      <w:pPr>
        <w:spacing w:after="6" w:line="270" w:lineRule="auto"/>
        <w:ind w:left="785" w:right="54" w:hanging="360"/>
        <w:jc w:val="both"/>
      </w:pPr>
      <w:r>
        <w:rPr>
          <w:rFonts w:ascii="Arial" w:eastAsia="Arial" w:hAnsi="Arial" w:cs="Arial"/>
          <w:sz w:val="20"/>
        </w:rPr>
        <w:t>9.1 Como condição prévia ao exame da documentação de habilitação do lici</w:t>
      </w:r>
      <w:r>
        <w:rPr>
          <w:rFonts w:ascii="Arial" w:eastAsia="Arial" w:hAnsi="Arial" w:cs="Arial"/>
          <w:sz w:val="20"/>
        </w:rPr>
        <w:t xml:space="preserve">tante detentor da proposta classificada em primeiro lugar, o Pregoeiro verificará o eventual descumprimento das condições de participação, especialmente quanto à existência de sanção que impeça a participação no certame ou a futura contratação, mediante a </w:t>
      </w:r>
      <w:r>
        <w:rPr>
          <w:rFonts w:ascii="Arial" w:eastAsia="Arial" w:hAnsi="Arial" w:cs="Arial"/>
          <w:sz w:val="20"/>
        </w:rPr>
        <w:t xml:space="preserve">consulta aos seguintes cadastros: </w:t>
      </w:r>
    </w:p>
    <w:p w:rsidR="006C145C" w:rsidRDefault="00C62E5A">
      <w:pPr>
        <w:tabs>
          <w:tab w:val="center" w:pos="900"/>
          <w:tab w:val="center" w:pos="1992"/>
        </w:tabs>
        <w:spacing w:after="129" w:line="270" w:lineRule="auto"/>
      </w:pPr>
      <w:r>
        <w:tab/>
      </w:r>
      <w:r>
        <w:rPr>
          <w:rFonts w:ascii="Arial" w:eastAsia="Arial" w:hAnsi="Arial" w:cs="Arial"/>
          <w:sz w:val="20"/>
        </w:rPr>
        <w:t xml:space="preserve">9.1.1 </w:t>
      </w:r>
      <w:r>
        <w:rPr>
          <w:rFonts w:ascii="Arial" w:eastAsia="Arial" w:hAnsi="Arial" w:cs="Arial"/>
          <w:sz w:val="20"/>
        </w:rPr>
        <w:tab/>
        <w:t xml:space="preserve">SICAF; </w:t>
      </w:r>
    </w:p>
    <w:p w:rsidR="006C145C" w:rsidRDefault="00C62E5A">
      <w:pPr>
        <w:spacing w:after="130" w:line="269" w:lineRule="auto"/>
        <w:ind w:left="1863" w:right="51" w:hanging="730"/>
        <w:jc w:val="both"/>
      </w:pPr>
      <w:r>
        <w:rPr>
          <w:rFonts w:ascii="Arial" w:eastAsia="Arial" w:hAnsi="Arial" w:cs="Arial"/>
          <w:sz w:val="20"/>
          <w:shd w:val="clear" w:color="auto" w:fill="FFFF00"/>
        </w:rPr>
        <w:t>9.1.2 Será verificada a composição societária das empresas a serem contratadas, no</w:t>
      </w:r>
      <w:r>
        <w:rPr>
          <w:rFonts w:ascii="Arial" w:eastAsia="Arial" w:hAnsi="Arial" w:cs="Arial"/>
          <w:sz w:val="20"/>
        </w:rPr>
        <w:t xml:space="preserve"> </w:t>
      </w:r>
      <w:r>
        <w:rPr>
          <w:rFonts w:ascii="Arial" w:eastAsia="Arial" w:hAnsi="Arial" w:cs="Arial"/>
          <w:sz w:val="20"/>
          <w:shd w:val="clear" w:color="auto" w:fill="FFFF00"/>
        </w:rPr>
        <w:t>Sistema de Cadastramento Unificado de Fornecedores – SICAF, para comprovar</w:t>
      </w:r>
      <w:r>
        <w:rPr>
          <w:rFonts w:ascii="Arial" w:eastAsia="Arial" w:hAnsi="Arial" w:cs="Arial"/>
          <w:sz w:val="20"/>
        </w:rPr>
        <w:t xml:space="preserve"> </w:t>
      </w:r>
      <w:r>
        <w:rPr>
          <w:rFonts w:ascii="Arial" w:eastAsia="Arial" w:hAnsi="Arial" w:cs="Arial"/>
          <w:sz w:val="20"/>
          <w:shd w:val="clear" w:color="auto" w:fill="FFFF00"/>
        </w:rPr>
        <w:t>a inexistência de servidores do DNIT na relação</w:t>
      </w:r>
      <w:r>
        <w:rPr>
          <w:rFonts w:ascii="Arial" w:eastAsia="Arial" w:hAnsi="Arial" w:cs="Arial"/>
          <w:sz w:val="20"/>
          <w:shd w:val="clear" w:color="auto" w:fill="FFFF00"/>
        </w:rPr>
        <w:t xml:space="preserve"> de sócios.</w:t>
      </w:r>
      <w:r>
        <w:rPr>
          <w:rFonts w:ascii="Arial" w:eastAsia="Arial" w:hAnsi="Arial" w:cs="Arial"/>
          <w:sz w:val="20"/>
        </w:rPr>
        <w:t xml:space="preserve"> </w:t>
      </w:r>
    </w:p>
    <w:p w:rsidR="006C145C" w:rsidRDefault="00C62E5A">
      <w:pPr>
        <w:tabs>
          <w:tab w:val="center" w:pos="900"/>
          <w:tab w:val="center" w:pos="5140"/>
        </w:tabs>
        <w:spacing w:after="15" w:line="270" w:lineRule="auto"/>
      </w:pPr>
      <w:r>
        <w:tab/>
      </w:r>
      <w:r>
        <w:rPr>
          <w:rFonts w:ascii="Arial" w:eastAsia="Arial" w:hAnsi="Arial" w:cs="Arial"/>
          <w:sz w:val="20"/>
        </w:rPr>
        <w:t xml:space="preserve">9.1.3 </w:t>
      </w:r>
      <w:r>
        <w:rPr>
          <w:rFonts w:ascii="Arial" w:eastAsia="Arial" w:hAnsi="Arial" w:cs="Arial"/>
          <w:sz w:val="20"/>
        </w:rPr>
        <w:tab/>
        <w:t xml:space="preserve">Consulta Consolidada de Pessoa Jurídica do Tribunal de Contas da União </w:t>
      </w:r>
    </w:p>
    <w:p w:rsidR="006C145C" w:rsidRDefault="00C62E5A">
      <w:pPr>
        <w:spacing w:after="166"/>
        <w:ind w:left="1133"/>
      </w:pPr>
      <w:hyperlink r:id="rId15">
        <w:r>
          <w:rPr>
            <w:rFonts w:ascii="Arial" w:eastAsia="Arial" w:hAnsi="Arial" w:cs="Arial"/>
            <w:sz w:val="20"/>
          </w:rPr>
          <w:t>(</w:t>
        </w:r>
      </w:hyperlink>
      <w:hyperlink r:id="rId16">
        <w:r>
          <w:rPr>
            <w:rFonts w:ascii="Arial" w:eastAsia="Arial" w:hAnsi="Arial" w:cs="Arial"/>
            <w:color w:val="000080"/>
            <w:sz w:val="20"/>
            <w:u w:val="single" w:color="000080"/>
          </w:rPr>
          <w:t>https://certidoes</w:t>
        </w:r>
      </w:hyperlink>
      <w:hyperlink r:id="rId17">
        <w:r>
          <w:rPr>
            <w:rFonts w:ascii="Arial" w:eastAsia="Arial" w:hAnsi="Arial" w:cs="Arial"/>
            <w:color w:val="000080"/>
            <w:sz w:val="20"/>
            <w:u w:val="single" w:color="000080"/>
          </w:rPr>
          <w:t>-</w:t>
        </w:r>
      </w:hyperlink>
      <w:hyperlink r:id="rId18">
        <w:r>
          <w:rPr>
            <w:rFonts w:ascii="Arial" w:eastAsia="Arial" w:hAnsi="Arial" w:cs="Arial"/>
            <w:color w:val="000080"/>
            <w:sz w:val="20"/>
            <w:u w:val="single" w:color="000080"/>
          </w:rPr>
          <w:t>apf.apps.tcu.gov.br/</w:t>
        </w:r>
      </w:hyperlink>
      <w:hyperlink r:id="rId19">
        <w:r>
          <w:rPr>
            <w:rFonts w:ascii="Arial" w:eastAsia="Arial" w:hAnsi="Arial" w:cs="Arial"/>
            <w:sz w:val="20"/>
          </w:rPr>
          <w:t>)</w:t>
        </w:r>
      </w:hyperlink>
      <w:r>
        <w:rPr>
          <w:rFonts w:ascii="Arial" w:eastAsia="Arial" w:hAnsi="Arial" w:cs="Arial"/>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3" w:line="249" w:lineRule="auto"/>
        <w:ind w:left="-5" w:right="57" w:hanging="10"/>
        <w:jc w:val="both"/>
      </w:pPr>
      <w:r>
        <w:rPr>
          <w:rFonts w:ascii="Arial" w:eastAsia="Arial" w:hAnsi="Arial" w:cs="Arial"/>
          <w:b/>
          <w:i/>
          <w:sz w:val="20"/>
        </w:rPr>
        <w:t>Nota explicativa</w:t>
      </w:r>
      <w:r>
        <w:rPr>
          <w:rFonts w:ascii="Arial" w:eastAsia="Arial" w:hAnsi="Arial" w:cs="Arial"/>
          <w:i/>
          <w:sz w:val="20"/>
        </w:rPr>
        <w:t>: A consulta aos dois cadastros – CEIS e CN</w:t>
      </w:r>
      <w:r>
        <w:rPr>
          <w:rFonts w:ascii="Arial" w:eastAsia="Arial" w:hAnsi="Arial" w:cs="Arial"/>
          <w:i/>
          <w:sz w:val="20"/>
        </w:rPr>
        <w:t xml:space="preserve">J –, além do tradicional SICAF, na fase de habilitação, é recomendação do TCU (Acórdão n° 1.793/2011 – Plenário). Trata-se de verificação da própria condição de participação na licitação.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74" w:line="249" w:lineRule="auto"/>
        <w:ind w:left="-5" w:right="57" w:hanging="10"/>
        <w:jc w:val="both"/>
      </w:pPr>
      <w:r>
        <w:rPr>
          <w:rFonts w:ascii="Arial" w:eastAsia="Arial" w:hAnsi="Arial" w:cs="Arial"/>
          <w:i/>
          <w:sz w:val="20"/>
        </w:rPr>
        <w:lastRenderedPageBreak/>
        <w:t>A Consulta Consolidada de Pessoa Jurídica do TCU abrange o cadastro</w:t>
      </w:r>
      <w:r>
        <w:rPr>
          <w:rFonts w:ascii="Arial" w:eastAsia="Arial" w:hAnsi="Arial" w:cs="Arial"/>
          <w:i/>
          <w:sz w:val="20"/>
        </w:rPr>
        <w:t xml:space="preserve"> do CNJ, do CEIS, do próprio TCU e o Cadastro Nacional de Empresas Punidas – CNEP do Portal da Transparência. </w:t>
      </w:r>
    </w:p>
    <w:p w:rsidR="006C145C" w:rsidRDefault="00C62E5A">
      <w:pPr>
        <w:spacing w:after="129" w:line="270" w:lineRule="auto"/>
        <w:ind w:left="1141" w:right="54" w:hanging="8"/>
        <w:jc w:val="both"/>
      </w:pPr>
      <w:r>
        <w:rPr>
          <w:rFonts w:ascii="Arial" w:eastAsia="Arial" w:hAnsi="Arial" w:cs="Arial"/>
          <w:sz w:val="20"/>
        </w:rPr>
        <w:t>9.1.4 A consulta aos cadastros será realizada em nome da empresa licitante e também de seu sócio majoritário, por força do artigo 12 da Lei n° 8.</w:t>
      </w:r>
      <w:r>
        <w:rPr>
          <w:rFonts w:ascii="Arial" w:eastAsia="Arial" w:hAnsi="Arial" w:cs="Arial"/>
          <w:sz w:val="20"/>
        </w:rPr>
        <w:t xml:space="preserve">429, de 1992, que prevê, dentre as sanções impostas ao responsável pela prática de ato de improbidade administrativa, a proibição de contratar com o Poder Público, inclusive por intermédio de pessoa jurídica da qual seja sócio majoritário. </w:t>
      </w:r>
    </w:p>
    <w:p w:rsidR="006C145C" w:rsidRDefault="00C62E5A">
      <w:pPr>
        <w:spacing w:after="130" w:line="269" w:lineRule="auto"/>
        <w:ind w:left="2432" w:right="51" w:hanging="730"/>
        <w:jc w:val="both"/>
      </w:pPr>
      <w:r>
        <w:rPr>
          <w:rFonts w:ascii="Arial" w:eastAsia="Arial" w:hAnsi="Arial" w:cs="Arial"/>
          <w:sz w:val="20"/>
          <w:shd w:val="clear" w:color="auto" w:fill="FFFF00"/>
        </w:rPr>
        <w:t>9.1.4.1 Será ve</w:t>
      </w:r>
      <w:r>
        <w:rPr>
          <w:rFonts w:ascii="Arial" w:eastAsia="Arial" w:hAnsi="Arial" w:cs="Arial"/>
          <w:sz w:val="20"/>
          <w:shd w:val="clear" w:color="auto" w:fill="FFFF00"/>
        </w:rPr>
        <w:t>rificada se a sociedade empresária foi constituída com o mesmo</w:t>
      </w:r>
      <w:r>
        <w:rPr>
          <w:rFonts w:ascii="Arial" w:eastAsia="Arial" w:hAnsi="Arial" w:cs="Arial"/>
          <w:sz w:val="20"/>
        </w:rPr>
        <w:t xml:space="preserve"> </w:t>
      </w:r>
      <w:r>
        <w:rPr>
          <w:rFonts w:ascii="Arial" w:eastAsia="Arial" w:hAnsi="Arial" w:cs="Arial"/>
          <w:sz w:val="20"/>
          <w:shd w:val="clear" w:color="auto" w:fill="FFFF00"/>
        </w:rPr>
        <w:t>objeto e por qualquer um dos sócios e/ou administradores de empresas</w:t>
      </w:r>
      <w:r>
        <w:rPr>
          <w:rFonts w:ascii="Arial" w:eastAsia="Arial" w:hAnsi="Arial" w:cs="Arial"/>
          <w:sz w:val="20"/>
        </w:rPr>
        <w:t xml:space="preserve"> </w:t>
      </w:r>
      <w:r>
        <w:rPr>
          <w:rFonts w:ascii="Arial" w:eastAsia="Arial" w:hAnsi="Arial" w:cs="Arial"/>
          <w:sz w:val="20"/>
          <w:shd w:val="clear" w:color="auto" w:fill="FFFF00"/>
        </w:rPr>
        <w:t>declaradas inidôneas após a aplicação da sanção e no prazo de sua</w:t>
      </w:r>
      <w:r>
        <w:rPr>
          <w:rFonts w:ascii="Arial" w:eastAsia="Arial" w:hAnsi="Arial" w:cs="Arial"/>
          <w:sz w:val="20"/>
        </w:rPr>
        <w:t xml:space="preserve"> </w:t>
      </w:r>
      <w:r>
        <w:rPr>
          <w:rFonts w:ascii="Arial" w:eastAsia="Arial" w:hAnsi="Arial" w:cs="Arial"/>
          <w:sz w:val="20"/>
          <w:shd w:val="clear" w:color="auto" w:fill="FFFF00"/>
        </w:rPr>
        <w:t>vigência, assegurando contraditório e ampla defesa.</w:t>
      </w:r>
      <w:r>
        <w:rPr>
          <w:rFonts w:ascii="Arial" w:eastAsia="Arial" w:hAnsi="Arial" w:cs="Arial"/>
          <w:sz w:val="20"/>
        </w:rPr>
        <w:t xml:space="preserve"> </w:t>
      </w:r>
    </w:p>
    <w:p w:rsidR="006C145C" w:rsidRDefault="00C62E5A">
      <w:pPr>
        <w:spacing w:after="129" w:line="270" w:lineRule="auto"/>
        <w:ind w:left="2423" w:right="54" w:hanging="721"/>
        <w:jc w:val="both"/>
      </w:pPr>
      <w:r>
        <w:rPr>
          <w:rFonts w:ascii="Arial" w:eastAsia="Arial" w:hAnsi="Arial" w:cs="Arial"/>
          <w:sz w:val="20"/>
        </w:rPr>
        <w:t>9.1.4</w:t>
      </w:r>
      <w:r>
        <w:rPr>
          <w:rFonts w:ascii="Arial" w:eastAsia="Arial" w:hAnsi="Arial" w:cs="Arial"/>
          <w:sz w:val="20"/>
        </w:rPr>
        <w:t xml:space="preserve">.2 Caso conste na Consulta de Situação do Fornecedor a existência de Ocorrências Impeditivas Indiretas, o gestor diligenciará para verificar se houve fraude por parte das empresas apontadas no Relatório de Ocorrências Impeditivas Indiretas. </w:t>
      </w:r>
    </w:p>
    <w:p w:rsidR="006C145C" w:rsidRDefault="00C62E5A">
      <w:pPr>
        <w:spacing w:after="129" w:line="270" w:lineRule="auto"/>
        <w:ind w:left="3349" w:right="54" w:hanging="1080"/>
        <w:jc w:val="both"/>
      </w:pPr>
      <w:r>
        <w:rPr>
          <w:rFonts w:ascii="Arial" w:eastAsia="Arial" w:hAnsi="Arial" w:cs="Arial"/>
          <w:sz w:val="20"/>
        </w:rPr>
        <w:t xml:space="preserve">9.1.4.2.1 </w:t>
      </w:r>
      <w:r>
        <w:rPr>
          <w:rFonts w:ascii="Arial" w:eastAsia="Arial" w:hAnsi="Arial" w:cs="Arial"/>
          <w:sz w:val="20"/>
        </w:rPr>
        <w:t xml:space="preserve">A tentativa de burla será verificada por meio dos vínculos societários, linhas de fornecimento similares, dentre outros. </w:t>
      </w:r>
    </w:p>
    <w:p w:rsidR="006C145C" w:rsidRDefault="00C62E5A">
      <w:pPr>
        <w:spacing w:after="129" w:line="270" w:lineRule="auto"/>
        <w:ind w:left="3349" w:right="54" w:hanging="1080"/>
        <w:jc w:val="both"/>
      </w:pPr>
      <w:r>
        <w:rPr>
          <w:rFonts w:ascii="Arial" w:eastAsia="Arial" w:hAnsi="Arial" w:cs="Arial"/>
          <w:sz w:val="20"/>
        </w:rPr>
        <w:t xml:space="preserve">9.1.4.2.2 </w:t>
      </w:r>
      <w:r>
        <w:rPr>
          <w:rFonts w:ascii="Arial" w:eastAsia="Arial" w:hAnsi="Arial" w:cs="Arial"/>
          <w:sz w:val="20"/>
        </w:rPr>
        <w:tab/>
        <w:t xml:space="preserve">O licitante será convocado para manifestação previamente à sua desclassificação. </w:t>
      </w:r>
    </w:p>
    <w:p w:rsidR="006C145C" w:rsidRDefault="00C62E5A">
      <w:pPr>
        <w:spacing w:after="129" w:line="270" w:lineRule="auto"/>
        <w:ind w:left="1141" w:right="54" w:hanging="8"/>
        <w:jc w:val="both"/>
      </w:pPr>
      <w:r>
        <w:rPr>
          <w:rFonts w:ascii="Arial" w:eastAsia="Arial" w:hAnsi="Arial" w:cs="Arial"/>
          <w:sz w:val="20"/>
        </w:rPr>
        <w:t xml:space="preserve">9.1.5 Constatada a existência de sanção, </w:t>
      </w:r>
      <w:r>
        <w:rPr>
          <w:rFonts w:ascii="Arial" w:eastAsia="Arial" w:hAnsi="Arial" w:cs="Arial"/>
          <w:sz w:val="20"/>
        </w:rPr>
        <w:t xml:space="preserve">o Pregoeiro reputará o licitante inabilitado, por falta de condição de participação. </w:t>
      </w:r>
    </w:p>
    <w:p w:rsidR="006C145C" w:rsidRDefault="00C62E5A">
      <w:pPr>
        <w:spacing w:after="154" w:line="270" w:lineRule="auto"/>
        <w:ind w:left="2281" w:right="54" w:hanging="721"/>
        <w:jc w:val="both"/>
      </w:pPr>
      <w:r>
        <w:rPr>
          <w:rFonts w:ascii="Arial" w:eastAsia="Arial" w:hAnsi="Arial" w:cs="Arial"/>
          <w:sz w:val="20"/>
        </w:rPr>
        <w:t>9.1.6 No caso de inabilitação, haverá nova verificação, pelo sistema, da eventual ocorrência do empate ficto, previsto nos arts. 44 e 45 da Lei Complementar nº 123, de 20</w:t>
      </w:r>
      <w:r>
        <w:rPr>
          <w:rFonts w:ascii="Arial" w:eastAsia="Arial" w:hAnsi="Arial" w:cs="Arial"/>
          <w:sz w:val="20"/>
        </w:rPr>
        <w:t xml:space="preserve">06, seguindo-se a disciplina antes estabelecida para aceitação da proposta subsequente. </w:t>
      </w:r>
    </w:p>
    <w:p w:rsidR="006C145C" w:rsidRDefault="00C62E5A">
      <w:pPr>
        <w:spacing w:after="128" w:line="269" w:lineRule="auto"/>
        <w:ind w:left="-5" w:right="45" w:hanging="10"/>
        <w:jc w:val="both"/>
      </w:pPr>
      <w:r>
        <w:rPr>
          <w:rFonts w:ascii="Arial" w:eastAsia="Arial" w:hAnsi="Arial" w:cs="Arial"/>
          <w:b/>
          <w:i/>
          <w:sz w:val="20"/>
        </w:rPr>
        <w:t>Nota explicativa</w:t>
      </w:r>
      <w:r>
        <w:rPr>
          <w:rFonts w:ascii="Arial" w:eastAsia="Arial" w:hAnsi="Arial" w:cs="Arial"/>
          <w:i/>
          <w:sz w:val="20"/>
        </w:rPr>
        <w:t xml:space="preserve">: O SICAF informa a composição do quadro societário das empresas, inclusive quanto ao percentual de participação de cada sócio.  </w:t>
      </w:r>
    </w:p>
    <w:p w:rsidR="006C145C" w:rsidRDefault="00C62E5A">
      <w:pPr>
        <w:spacing w:after="128" w:line="269" w:lineRule="auto"/>
        <w:ind w:left="-5" w:right="45" w:hanging="10"/>
        <w:jc w:val="both"/>
      </w:pPr>
      <w:r>
        <w:rPr>
          <w:noProof/>
        </w:rPr>
        <mc:AlternateContent>
          <mc:Choice Requires="wpg">
            <w:drawing>
              <wp:anchor distT="0" distB="0" distL="114300" distR="114300" simplePos="0" relativeHeight="251660288" behindDoc="1" locked="0" layoutInCell="1" allowOverlap="1">
                <wp:simplePos x="0" y="0"/>
                <wp:positionH relativeFrom="column">
                  <wp:posOffset>-74675</wp:posOffset>
                </wp:positionH>
                <wp:positionV relativeFrom="paragraph">
                  <wp:posOffset>-434164</wp:posOffset>
                </wp:positionV>
                <wp:extent cx="5911037" cy="1870202"/>
                <wp:effectExtent l="0" t="0" r="0" b="0"/>
                <wp:wrapNone/>
                <wp:docPr id="252044" name="Group 252044"/>
                <wp:cNvGraphicFramePr/>
                <a:graphic xmlns:a="http://schemas.openxmlformats.org/drawingml/2006/main">
                  <a:graphicData uri="http://schemas.microsoft.com/office/word/2010/wordprocessingGroup">
                    <wpg:wgp>
                      <wpg:cNvGrpSpPr/>
                      <wpg:grpSpPr>
                        <a:xfrm>
                          <a:off x="0" y="0"/>
                          <a:ext cx="5911037" cy="1870202"/>
                          <a:chOff x="0" y="0"/>
                          <a:chExt cx="5911037" cy="1870202"/>
                        </a:xfrm>
                      </wpg:grpSpPr>
                      <wps:wsp>
                        <wps:cNvPr id="310973" name="Shape 310973"/>
                        <wps:cNvSpPr/>
                        <wps:spPr>
                          <a:xfrm>
                            <a:off x="6096" y="6096"/>
                            <a:ext cx="5898769" cy="181356"/>
                          </a:xfrm>
                          <a:custGeom>
                            <a:avLst/>
                            <a:gdLst/>
                            <a:ahLst/>
                            <a:cxnLst/>
                            <a:rect l="0" t="0" r="0" b="0"/>
                            <a:pathLst>
                              <a:path w="5898769" h="181356">
                                <a:moveTo>
                                  <a:pt x="0" y="0"/>
                                </a:moveTo>
                                <a:lnTo>
                                  <a:pt x="5898769" y="0"/>
                                </a:lnTo>
                                <a:lnTo>
                                  <a:pt x="5898769" y="181356"/>
                                </a:lnTo>
                                <a:lnTo>
                                  <a:pt x="0" y="181356"/>
                                </a:lnTo>
                                <a:lnTo>
                                  <a:pt x="0" y="0"/>
                                </a:lnTo>
                              </a:path>
                            </a:pathLst>
                          </a:custGeom>
                          <a:ln w="0" cap="flat">
                            <a:miter lim="127000"/>
                          </a:ln>
                        </wps:spPr>
                        <wps:style>
                          <a:lnRef idx="0">
                            <a:srgbClr val="000000">
                              <a:alpha val="0"/>
                            </a:srgbClr>
                          </a:lnRef>
                          <a:fillRef idx="1">
                            <a:srgbClr val="FFFFCC"/>
                          </a:fillRef>
                          <a:effectRef idx="0">
                            <a:scrgbClr r="0" g="0" b="0"/>
                          </a:effectRef>
                          <a:fontRef idx="none"/>
                        </wps:style>
                        <wps:bodyPr/>
                      </wps:wsp>
                      <wps:wsp>
                        <wps:cNvPr id="310974" name="Shape 31097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310975" name="Shape 310975"/>
                        <wps:cNvSpPr/>
                        <wps:spPr>
                          <a:xfrm>
                            <a:off x="6096" y="0"/>
                            <a:ext cx="5898769" cy="9144"/>
                          </a:xfrm>
                          <a:custGeom>
                            <a:avLst/>
                            <a:gdLst/>
                            <a:ahLst/>
                            <a:cxnLst/>
                            <a:rect l="0" t="0" r="0" b="0"/>
                            <a:pathLst>
                              <a:path w="5898769" h="9144">
                                <a:moveTo>
                                  <a:pt x="0" y="0"/>
                                </a:moveTo>
                                <a:lnTo>
                                  <a:pt x="5898769" y="0"/>
                                </a:lnTo>
                                <a:lnTo>
                                  <a:pt x="5898769"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310976" name="Shape 310976"/>
                        <wps:cNvSpPr/>
                        <wps:spPr>
                          <a:xfrm>
                            <a:off x="59049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310977" name="Shape 310977"/>
                        <wps:cNvSpPr/>
                        <wps:spPr>
                          <a:xfrm>
                            <a:off x="0" y="6096"/>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310978" name="Shape 310978"/>
                        <wps:cNvSpPr/>
                        <wps:spPr>
                          <a:xfrm>
                            <a:off x="5904941" y="6096"/>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310979" name="Shape 310979"/>
                        <wps:cNvSpPr/>
                        <wps:spPr>
                          <a:xfrm>
                            <a:off x="6096" y="187452"/>
                            <a:ext cx="5898769" cy="167640"/>
                          </a:xfrm>
                          <a:custGeom>
                            <a:avLst/>
                            <a:gdLst/>
                            <a:ahLst/>
                            <a:cxnLst/>
                            <a:rect l="0" t="0" r="0" b="0"/>
                            <a:pathLst>
                              <a:path w="5898769" h="167640">
                                <a:moveTo>
                                  <a:pt x="0" y="0"/>
                                </a:moveTo>
                                <a:lnTo>
                                  <a:pt x="5898769" y="0"/>
                                </a:lnTo>
                                <a:lnTo>
                                  <a:pt x="5898769" y="167640"/>
                                </a:lnTo>
                                <a:lnTo>
                                  <a:pt x="0" y="167640"/>
                                </a:lnTo>
                                <a:lnTo>
                                  <a:pt x="0" y="0"/>
                                </a:lnTo>
                              </a:path>
                            </a:pathLst>
                          </a:custGeom>
                          <a:ln w="0" cap="flat">
                            <a:miter lim="127000"/>
                          </a:ln>
                        </wps:spPr>
                        <wps:style>
                          <a:lnRef idx="0">
                            <a:srgbClr val="000000">
                              <a:alpha val="0"/>
                            </a:srgbClr>
                          </a:lnRef>
                          <a:fillRef idx="1">
                            <a:srgbClr val="FFFFCC"/>
                          </a:fillRef>
                          <a:effectRef idx="0">
                            <a:scrgbClr r="0" g="0" b="0"/>
                          </a:effectRef>
                          <a:fontRef idx="none"/>
                        </wps:style>
                        <wps:bodyPr/>
                      </wps:wsp>
                      <wps:wsp>
                        <wps:cNvPr id="310980" name="Shape 310980"/>
                        <wps:cNvSpPr/>
                        <wps:spPr>
                          <a:xfrm>
                            <a:off x="0" y="187452"/>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310981" name="Shape 310981"/>
                        <wps:cNvSpPr/>
                        <wps:spPr>
                          <a:xfrm>
                            <a:off x="5904941" y="187452"/>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310982" name="Shape 310982"/>
                        <wps:cNvSpPr/>
                        <wps:spPr>
                          <a:xfrm>
                            <a:off x="6096" y="355092"/>
                            <a:ext cx="5898769" cy="243840"/>
                          </a:xfrm>
                          <a:custGeom>
                            <a:avLst/>
                            <a:gdLst/>
                            <a:ahLst/>
                            <a:cxnLst/>
                            <a:rect l="0" t="0" r="0" b="0"/>
                            <a:pathLst>
                              <a:path w="5898769" h="243840">
                                <a:moveTo>
                                  <a:pt x="0" y="0"/>
                                </a:moveTo>
                                <a:lnTo>
                                  <a:pt x="5898769" y="0"/>
                                </a:lnTo>
                                <a:lnTo>
                                  <a:pt x="5898769" y="243840"/>
                                </a:lnTo>
                                <a:lnTo>
                                  <a:pt x="0" y="243840"/>
                                </a:lnTo>
                                <a:lnTo>
                                  <a:pt x="0" y="0"/>
                                </a:lnTo>
                              </a:path>
                            </a:pathLst>
                          </a:custGeom>
                          <a:ln w="0" cap="flat">
                            <a:miter lim="127000"/>
                          </a:ln>
                        </wps:spPr>
                        <wps:style>
                          <a:lnRef idx="0">
                            <a:srgbClr val="000000">
                              <a:alpha val="0"/>
                            </a:srgbClr>
                          </a:lnRef>
                          <a:fillRef idx="1">
                            <a:srgbClr val="FFFFCC"/>
                          </a:fillRef>
                          <a:effectRef idx="0">
                            <a:scrgbClr r="0" g="0" b="0"/>
                          </a:effectRef>
                          <a:fontRef idx="none"/>
                        </wps:style>
                        <wps:bodyPr/>
                      </wps:wsp>
                      <wps:wsp>
                        <wps:cNvPr id="310983" name="Shape 310983"/>
                        <wps:cNvSpPr/>
                        <wps:spPr>
                          <a:xfrm>
                            <a:off x="0" y="355092"/>
                            <a:ext cx="9144" cy="243840"/>
                          </a:xfrm>
                          <a:custGeom>
                            <a:avLst/>
                            <a:gdLst/>
                            <a:ahLst/>
                            <a:cxnLst/>
                            <a:rect l="0" t="0" r="0" b="0"/>
                            <a:pathLst>
                              <a:path w="9144" h="243840">
                                <a:moveTo>
                                  <a:pt x="0" y="0"/>
                                </a:moveTo>
                                <a:lnTo>
                                  <a:pt x="9144" y="0"/>
                                </a:lnTo>
                                <a:lnTo>
                                  <a:pt x="9144" y="243840"/>
                                </a:lnTo>
                                <a:lnTo>
                                  <a:pt x="0" y="243840"/>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310984" name="Shape 310984"/>
                        <wps:cNvSpPr/>
                        <wps:spPr>
                          <a:xfrm>
                            <a:off x="5904941" y="355092"/>
                            <a:ext cx="9144" cy="243840"/>
                          </a:xfrm>
                          <a:custGeom>
                            <a:avLst/>
                            <a:gdLst/>
                            <a:ahLst/>
                            <a:cxnLst/>
                            <a:rect l="0" t="0" r="0" b="0"/>
                            <a:pathLst>
                              <a:path w="9144" h="243840">
                                <a:moveTo>
                                  <a:pt x="0" y="0"/>
                                </a:moveTo>
                                <a:lnTo>
                                  <a:pt x="9144" y="0"/>
                                </a:lnTo>
                                <a:lnTo>
                                  <a:pt x="9144" y="243840"/>
                                </a:lnTo>
                                <a:lnTo>
                                  <a:pt x="0" y="243840"/>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310985" name="Shape 310985"/>
                        <wps:cNvSpPr/>
                        <wps:spPr>
                          <a:xfrm>
                            <a:off x="6096" y="598932"/>
                            <a:ext cx="5898769" cy="167640"/>
                          </a:xfrm>
                          <a:custGeom>
                            <a:avLst/>
                            <a:gdLst/>
                            <a:ahLst/>
                            <a:cxnLst/>
                            <a:rect l="0" t="0" r="0" b="0"/>
                            <a:pathLst>
                              <a:path w="5898769" h="167640">
                                <a:moveTo>
                                  <a:pt x="0" y="0"/>
                                </a:moveTo>
                                <a:lnTo>
                                  <a:pt x="5898769" y="0"/>
                                </a:lnTo>
                                <a:lnTo>
                                  <a:pt x="5898769" y="167640"/>
                                </a:lnTo>
                                <a:lnTo>
                                  <a:pt x="0" y="167640"/>
                                </a:lnTo>
                                <a:lnTo>
                                  <a:pt x="0" y="0"/>
                                </a:lnTo>
                              </a:path>
                            </a:pathLst>
                          </a:custGeom>
                          <a:ln w="0" cap="flat">
                            <a:miter lim="127000"/>
                          </a:ln>
                        </wps:spPr>
                        <wps:style>
                          <a:lnRef idx="0">
                            <a:srgbClr val="000000">
                              <a:alpha val="0"/>
                            </a:srgbClr>
                          </a:lnRef>
                          <a:fillRef idx="1">
                            <a:srgbClr val="FFFFCC"/>
                          </a:fillRef>
                          <a:effectRef idx="0">
                            <a:scrgbClr r="0" g="0" b="0"/>
                          </a:effectRef>
                          <a:fontRef idx="none"/>
                        </wps:style>
                        <wps:bodyPr/>
                      </wps:wsp>
                      <wps:wsp>
                        <wps:cNvPr id="310986" name="Shape 310986"/>
                        <wps:cNvSpPr/>
                        <wps:spPr>
                          <a:xfrm>
                            <a:off x="0" y="598932"/>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310987" name="Shape 310987"/>
                        <wps:cNvSpPr/>
                        <wps:spPr>
                          <a:xfrm>
                            <a:off x="5904941" y="598932"/>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310988" name="Shape 310988"/>
                        <wps:cNvSpPr/>
                        <wps:spPr>
                          <a:xfrm>
                            <a:off x="6096" y="766521"/>
                            <a:ext cx="5898769" cy="167945"/>
                          </a:xfrm>
                          <a:custGeom>
                            <a:avLst/>
                            <a:gdLst/>
                            <a:ahLst/>
                            <a:cxnLst/>
                            <a:rect l="0" t="0" r="0" b="0"/>
                            <a:pathLst>
                              <a:path w="5898769" h="167945">
                                <a:moveTo>
                                  <a:pt x="0" y="0"/>
                                </a:moveTo>
                                <a:lnTo>
                                  <a:pt x="5898769" y="0"/>
                                </a:lnTo>
                                <a:lnTo>
                                  <a:pt x="5898769" y="167945"/>
                                </a:lnTo>
                                <a:lnTo>
                                  <a:pt x="0" y="167945"/>
                                </a:lnTo>
                                <a:lnTo>
                                  <a:pt x="0" y="0"/>
                                </a:lnTo>
                              </a:path>
                            </a:pathLst>
                          </a:custGeom>
                          <a:ln w="0" cap="flat">
                            <a:miter lim="127000"/>
                          </a:ln>
                        </wps:spPr>
                        <wps:style>
                          <a:lnRef idx="0">
                            <a:srgbClr val="000000">
                              <a:alpha val="0"/>
                            </a:srgbClr>
                          </a:lnRef>
                          <a:fillRef idx="1">
                            <a:srgbClr val="FFFFCC"/>
                          </a:fillRef>
                          <a:effectRef idx="0">
                            <a:scrgbClr r="0" g="0" b="0"/>
                          </a:effectRef>
                          <a:fontRef idx="none"/>
                        </wps:style>
                        <wps:bodyPr/>
                      </wps:wsp>
                      <wps:wsp>
                        <wps:cNvPr id="310989" name="Shape 310989"/>
                        <wps:cNvSpPr/>
                        <wps:spPr>
                          <a:xfrm>
                            <a:off x="0" y="766521"/>
                            <a:ext cx="9144" cy="167945"/>
                          </a:xfrm>
                          <a:custGeom>
                            <a:avLst/>
                            <a:gdLst/>
                            <a:ahLst/>
                            <a:cxnLst/>
                            <a:rect l="0" t="0" r="0" b="0"/>
                            <a:pathLst>
                              <a:path w="9144" h="167945">
                                <a:moveTo>
                                  <a:pt x="0" y="0"/>
                                </a:moveTo>
                                <a:lnTo>
                                  <a:pt x="9144" y="0"/>
                                </a:lnTo>
                                <a:lnTo>
                                  <a:pt x="9144" y="167945"/>
                                </a:lnTo>
                                <a:lnTo>
                                  <a:pt x="0" y="167945"/>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310990" name="Shape 310990"/>
                        <wps:cNvSpPr/>
                        <wps:spPr>
                          <a:xfrm>
                            <a:off x="5904941" y="766521"/>
                            <a:ext cx="9144" cy="167945"/>
                          </a:xfrm>
                          <a:custGeom>
                            <a:avLst/>
                            <a:gdLst/>
                            <a:ahLst/>
                            <a:cxnLst/>
                            <a:rect l="0" t="0" r="0" b="0"/>
                            <a:pathLst>
                              <a:path w="9144" h="167945">
                                <a:moveTo>
                                  <a:pt x="0" y="0"/>
                                </a:moveTo>
                                <a:lnTo>
                                  <a:pt x="9144" y="0"/>
                                </a:lnTo>
                                <a:lnTo>
                                  <a:pt x="9144" y="167945"/>
                                </a:lnTo>
                                <a:lnTo>
                                  <a:pt x="0" y="167945"/>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310991" name="Shape 310991"/>
                        <wps:cNvSpPr/>
                        <wps:spPr>
                          <a:xfrm>
                            <a:off x="6096" y="934466"/>
                            <a:ext cx="5898769" cy="169164"/>
                          </a:xfrm>
                          <a:custGeom>
                            <a:avLst/>
                            <a:gdLst/>
                            <a:ahLst/>
                            <a:cxnLst/>
                            <a:rect l="0" t="0" r="0" b="0"/>
                            <a:pathLst>
                              <a:path w="5898769" h="169164">
                                <a:moveTo>
                                  <a:pt x="0" y="0"/>
                                </a:moveTo>
                                <a:lnTo>
                                  <a:pt x="5898769" y="0"/>
                                </a:lnTo>
                                <a:lnTo>
                                  <a:pt x="5898769" y="169164"/>
                                </a:lnTo>
                                <a:lnTo>
                                  <a:pt x="0" y="169164"/>
                                </a:lnTo>
                                <a:lnTo>
                                  <a:pt x="0" y="0"/>
                                </a:lnTo>
                              </a:path>
                            </a:pathLst>
                          </a:custGeom>
                          <a:ln w="0" cap="flat">
                            <a:miter lim="127000"/>
                          </a:ln>
                        </wps:spPr>
                        <wps:style>
                          <a:lnRef idx="0">
                            <a:srgbClr val="000000">
                              <a:alpha val="0"/>
                            </a:srgbClr>
                          </a:lnRef>
                          <a:fillRef idx="1">
                            <a:srgbClr val="FFFFCC"/>
                          </a:fillRef>
                          <a:effectRef idx="0">
                            <a:scrgbClr r="0" g="0" b="0"/>
                          </a:effectRef>
                          <a:fontRef idx="none"/>
                        </wps:style>
                        <wps:bodyPr/>
                      </wps:wsp>
                      <wps:wsp>
                        <wps:cNvPr id="310992" name="Shape 310992"/>
                        <wps:cNvSpPr/>
                        <wps:spPr>
                          <a:xfrm>
                            <a:off x="0" y="934466"/>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310993" name="Shape 310993"/>
                        <wps:cNvSpPr/>
                        <wps:spPr>
                          <a:xfrm>
                            <a:off x="5904941" y="934466"/>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310994" name="Shape 310994"/>
                        <wps:cNvSpPr/>
                        <wps:spPr>
                          <a:xfrm>
                            <a:off x="6096" y="1103630"/>
                            <a:ext cx="5898769" cy="243840"/>
                          </a:xfrm>
                          <a:custGeom>
                            <a:avLst/>
                            <a:gdLst/>
                            <a:ahLst/>
                            <a:cxnLst/>
                            <a:rect l="0" t="0" r="0" b="0"/>
                            <a:pathLst>
                              <a:path w="5898769" h="243840">
                                <a:moveTo>
                                  <a:pt x="0" y="0"/>
                                </a:moveTo>
                                <a:lnTo>
                                  <a:pt x="5898769" y="0"/>
                                </a:lnTo>
                                <a:lnTo>
                                  <a:pt x="5898769" y="243840"/>
                                </a:lnTo>
                                <a:lnTo>
                                  <a:pt x="0" y="243840"/>
                                </a:lnTo>
                                <a:lnTo>
                                  <a:pt x="0" y="0"/>
                                </a:lnTo>
                              </a:path>
                            </a:pathLst>
                          </a:custGeom>
                          <a:ln w="0" cap="flat">
                            <a:miter lim="127000"/>
                          </a:ln>
                        </wps:spPr>
                        <wps:style>
                          <a:lnRef idx="0">
                            <a:srgbClr val="000000">
                              <a:alpha val="0"/>
                            </a:srgbClr>
                          </a:lnRef>
                          <a:fillRef idx="1">
                            <a:srgbClr val="FFFFCC"/>
                          </a:fillRef>
                          <a:effectRef idx="0">
                            <a:scrgbClr r="0" g="0" b="0"/>
                          </a:effectRef>
                          <a:fontRef idx="none"/>
                        </wps:style>
                        <wps:bodyPr/>
                      </wps:wsp>
                      <wps:wsp>
                        <wps:cNvPr id="310995" name="Shape 310995"/>
                        <wps:cNvSpPr/>
                        <wps:spPr>
                          <a:xfrm>
                            <a:off x="0" y="1103630"/>
                            <a:ext cx="9144" cy="243840"/>
                          </a:xfrm>
                          <a:custGeom>
                            <a:avLst/>
                            <a:gdLst/>
                            <a:ahLst/>
                            <a:cxnLst/>
                            <a:rect l="0" t="0" r="0" b="0"/>
                            <a:pathLst>
                              <a:path w="9144" h="243840">
                                <a:moveTo>
                                  <a:pt x="0" y="0"/>
                                </a:moveTo>
                                <a:lnTo>
                                  <a:pt x="9144" y="0"/>
                                </a:lnTo>
                                <a:lnTo>
                                  <a:pt x="9144" y="243840"/>
                                </a:lnTo>
                                <a:lnTo>
                                  <a:pt x="0" y="243840"/>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310996" name="Shape 310996"/>
                        <wps:cNvSpPr/>
                        <wps:spPr>
                          <a:xfrm>
                            <a:off x="5904941" y="1103630"/>
                            <a:ext cx="9144" cy="243840"/>
                          </a:xfrm>
                          <a:custGeom>
                            <a:avLst/>
                            <a:gdLst/>
                            <a:ahLst/>
                            <a:cxnLst/>
                            <a:rect l="0" t="0" r="0" b="0"/>
                            <a:pathLst>
                              <a:path w="9144" h="243840">
                                <a:moveTo>
                                  <a:pt x="0" y="0"/>
                                </a:moveTo>
                                <a:lnTo>
                                  <a:pt x="9144" y="0"/>
                                </a:lnTo>
                                <a:lnTo>
                                  <a:pt x="9144" y="243840"/>
                                </a:lnTo>
                                <a:lnTo>
                                  <a:pt x="0" y="243840"/>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310997" name="Shape 310997"/>
                        <wps:cNvSpPr/>
                        <wps:spPr>
                          <a:xfrm>
                            <a:off x="6096" y="1347470"/>
                            <a:ext cx="5898769" cy="167640"/>
                          </a:xfrm>
                          <a:custGeom>
                            <a:avLst/>
                            <a:gdLst/>
                            <a:ahLst/>
                            <a:cxnLst/>
                            <a:rect l="0" t="0" r="0" b="0"/>
                            <a:pathLst>
                              <a:path w="5898769" h="167640">
                                <a:moveTo>
                                  <a:pt x="0" y="0"/>
                                </a:moveTo>
                                <a:lnTo>
                                  <a:pt x="5898769" y="0"/>
                                </a:lnTo>
                                <a:lnTo>
                                  <a:pt x="5898769" y="167640"/>
                                </a:lnTo>
                                <a:lnTo>
                                  <a:pt x="0" y="167640"/>
                                </a:lnTo>
                                <a:lnTo>
                                  <a:pt x="0" y="0"/>
                                </a:lnTo>
                              </a:path>
                            </a:pathLst>
                          </a:custGeom>
                          <a:ln w="0" cap="flat">
                            <a:miter lim="127000"/>
                          </a:ln>
                        </wps:spPr>
                        <wps:style>
                          <a:lnRef idx="0">
                            <a:srgbClr val="000000">
                              <a:alpha val="0"/>
                            </a:srgbClr>
                          </a:lnRef>
                          <a:fillRef idx="1">
                            <a:srgbClr val="FFFFCC"/>
                          </a:fillRef>
                          <a:effectRef idx="0">
                            <a:scrgbClr r="0" g="0" b="0"/>
                          </a:effectRef>
                          <a:fontRef idx="none"/>
                        </wps:style>
                        <wps:bodyPr/>
                      </wps:wsp>
                      <wps:wsp>
                        <wps:cNvPr id="310998" name="Shape 310998"/>
                        <wps:cNvSpPr/>
                        <wps:spPr>
                          <a:xfrm>
                            <a:off x="0" y="1347470"/>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310999" name="Shape 310999"/>
                        <wps:cNvSpPr/>
                        <wps:spPr>
                          <a:xfrm>
                            <a:off x="5904941" y="1347470"/>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311000" name="Shape 311000"/>
                        <wps:cNvSpPr/>
                        <wps:spPr>
                          <a:xfrm>
                            <a:off x="6096" y="1515110"/>
                            <a:ext cx="5898769" cy="181356"/>
                          </a:xfrm>
                          <a:custGeom>
                            <a:avLst/>
                            <a:gdLst/>
                            <a:ahLst/>
                            <a:cxnLst/>
                            <a:rect l="0" t="0" r="0" b="0"/>
                            <a:pathLst>
                              <a:path w="5898769" h="181356">
                                <a:moveTo>
                                  <a:pt x="0" y="0"/>
                                </a:moveTo>
                                <a:lnTo>
                                  <a:pt x="5898769" y="0"/>
                                </a:lnTo>
                                <a:lnTo>
                                  <a:pt x="5898769" y="181356"/>
                                </a:lnTo>
                                <a:lnTo>
                                  <a:pt x="0" y="181356"/>
                                </a:lnTo>
                                <a:lnTo>
                                  <a:pt x="0" y="0"/>
                                </a:lnTo>
                              </a:path>
                            </a:pathLst>
                          </a:custGeom>
                          <a:ln w="0" cap="flat">
                            <a:miter lim="127000"/>
                          </a:ln>
                        </wps:spPr>
                        <wps:style>
                          <a:lnRef idx="0">
                            <a:srgbClr val="000000">
                              <a:alpha val="0"/>
                            </a:srgbClr>
                          </a:lnRef>
                          <a:fillRef idx="1">
                            <a:srgbClr val="FFFFCC"/>
                          </a:fillRef>
                          <a:effectRef idx="0">
                            <a:scrgbClr r="0" g="0" b="0"/>
                          </a:effectRef>
                          <a:fontRef idx="none"/>
                        </wps:style>
                        <wps:bodyPr/>
                      </wps:wsp>
                      <wps:wsp>
                        <wps:cNvPr id="311001" name="Shape 311001"/>
                        <wps:cNvSpPr/>
                        <wps:spPr>
                          <a:xfrm>
                            <a:off x="0" y="16964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311002" name="Shape 311002"/>
                        <wps:cNvSpPr/>
                        <wps:spPr>
                          <a:xfrm>
                            <a:off x="6096" y="1696466"/>
                            <a:ext cx="5898769" cy="9144"/>
                          </a:xfrm>
                          <a:custGeom>
                            <a:avLst/>
                            <a:gdLst/>
                            <a:ahLst/>
                            <a:cxnLst/>
                            <a:rect l="0" t="0" r="0" b="0"/>
                            <a:pathLst>
                              <a:path w="5898769" h="9144">
                                <a:moveTo>
                                  <a:pt x="0" y="0"/>
                                </a:moveTo>
                                <a:lnTo>
                                  <a:pt x="5898769" y="0"/>
                                </a:lnTo>
                                <a:lnTo>
                                  <a:pt x="5898769"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311003" name="Shape 311003"/>
                        <wps:cNvSpPr/>
                        <wps:spPr>
                          <a:xfrm>
                            <a:off x="5904941" y="16964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311004" name="Shape 311004"/>
                        <wps:cNvSpPr/>
                        <wps:spPr>
                          <a:xfrm>
                            <a:off x="0" y="1515110"/>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311005" name="Shape 311005"/>
                        <wps:cNvSpPr/>
                        <wps:spPr>
                          <a:xfrm>
                            <a:off x="5904941" y="1515110"/>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311006" name="Shape 311006"/>
                        <wps:cNvSpPr/>
                        <wps:spPr>
                          <a:xfrm>
                            <a:off x="643077" y="1702562"/>
                            <a:ext cx="5211446" cy="167640"/>
                          </a:xfrm>
                          <a:custGeom>
                            <a:avLst/>
                            <a:gdLst/>
                            <a:ahLst/>
                            <a:cxnLst/>
                            <a:rect l="0" t="0" r="0" b="0"/>
                            <a:pathLst>
                              <a:path w="5211446" h="167640">
                                <a:moveTo>
                                  <a:pt x="0" y="0"/>
                                </a:moveTo>
                                <a:lnTo>
                                  <a:pt x="5211446" y="0"/>
                                </a:lnTo>
                                <a:lnTo>
                                  <a:pt x="5211446" y="167640"/>
                                </a:lnTo>
                                <a:lnTo>
                                  <a:pt x="0" y="1676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52044" style="width:465.436pt;height:147.26pt;position:absolute;z-index:-2147483550;mso-position-horizontal-relative:text;mso-position-horizontal:absolute;margin-left:-5.88pt;mso-position-vertical-relative:text;margin-top:-34.1862pt;" coordsize="59110,18702">
                <v:shape id="Shape 311007" style="position:absolute;width:58987;height:1813;left:60;top:60;" coordsize="5898769,181356" path="m0,0l5898769,0l5898769,181356l0,181356l0,0">
                  <v:stroke weight="0pt" endcap="flat" joinstyle="miter" miterlimit="10" on="false" color="#000000" opacity="0"/>
                  <v:fill on="true" color="#ffffcc"/>
                </v:shape>
                <v:shape id="Shape 311008" style="position:absolute;width:91;height:91;left:0;top:0;" coordsize="9144,9144" path="m0,0l9144,0l9144,9144l0,9144l0,0">
                  <v:stroke weight="0pt" endcap="flat" joinstyle="miter" miterlimit="10" on="false" color="#000000" opacity="0"/>
                  <v:fill on="true" color="#1f497d"/>
                </v:shape>
                <v:shape id="Shape 311009" style="position:absolute;width:58987;height:91;left:60;top:0;" coordsize="5898769,9144" path="m0,0l5898769,0l5898769,9144l0,9144l0,0">
                  <v:stroke weight="0pt" endcap="flat" joinstyle="miter" miterlimit="10" on="false" color="#000000" opacity="0"/>
                  <v:fill on="true" color="#1f497d"/>
                </v:shape>
                <v:shape id="Shape 311010" style="position:absolute;width:91;height:91;left:59049;top:0;" coordsize="9144,9144" path="m0,0l9144,0l9144,9144l0,9144l0,0">
                  <v:stroke weight="0pt" endcap="flat" joinstyle="miter" miterlimit="10" on="false" color="#000000" opacity="0"/>
                  <v:fill on="true" color="#1f497d"/>
                </v:shape>
                <v:shape id="Shape 311011" style="position:absolute;width:91;height:1813;left:0;top:60;" coordsize="9144,181356" path="m0,0l9144,0l9144,181356l0,181356l0,0">
                  <v:stroke weight="0pt" endcap="flat" joinstyle="miter" miterlimit="10" on="false" color="#000000" opacity="0"/>
                  <v:fill on="true" color="#1f497d"/>
                </v:shape>
                <v:shape id="Shape 311012" style="position:absolute;width:91;height:1813;left:59049;top:60;" coordsize="9144,181356" path="m0,0l9144,0l9144,181356l0,181356l0,0">
                  <v:stroke weight="0pt" endcap="flat" joinstyle="miter" miterlimit="10" on="false" color="#000000" opacity="0"/>
                  <v:fill on="true" color="#1f497d"/>
                </v:shape>
                <v:shape id="Shape 311013" style="position:absolute;width:58987;height:1676;left:60;top:1874;" coordsize="5898769,167640" path="m0,0l5898769,0l5898769,167640l0,167640l0,0">
                  <v:stroke weight="0pt" endcap="flat" joinstyle="miter" miterlimit="10" on="false" color="#000000" opacity="0"/>
                  <v:fill on="true" color="#ffffcc"/>
                </v:shape>
                <v:shape id="Shape 311014" style="position:absolute;width:91;height:1676;left:0;top:1874;" coordsize="9144,167640" path="m0,0l9144,0l9144,167640l0,167640l0,0">
                  <v:stroke weight="0pt" endcap="flat" joinstyle="miter" miterlimit="10" on="false" color="#000000" opacity="0"/>
                  <v:fill on="true" color="#1f497d"/>
                </v:shape>
                <v:shape id="Shape 311015" style="position:absolute;width:91;height:1676;left:59049;top:1874;" coordsize="9144,167640" path="m0,0l9144,0l9144,167640l0,167640l0,0">
                  <v:stroke weight="0pt" endcap="flat" joinstyle="miter" miterlimit="10" on="false" color="#000000" opacity="0"/>
                  <v:fill on="true" color="#1f497d"/>
                </v:shape>
                <v:shape id="Shape 311016" style="position:absolute;width:58987;height:2438;left:60;top:3550;" coordsize="5898769,243840" path="m0,0l5898769,0l5898769,243840l0,243840l0,0">
                  <v:stroke weight="0pt" endcap="flat" joinstyle="miter" miterlimit="10" on="false" color="#000000" opacity="0"/>
                  <v:fill on="true" color="#ffffcc"/>
                </v:shape>
                <v:shape id="Shape 311017" style="position:absolute;width:91;height:2438;left:0;top:3550;" coordsize="9144,243840" path="m0,0l9144,0l9144,243840l0,243840l0,0">
                  <v:stroke weight="0pt" endcap="flat" joinstyle="miter" miterlimit="10" on="false" color="#000000" opacity="0"/>
                  <v:fill on="true" color="#1f497d"/>
                </v:shape>
                <v:shape id="Shape 311018" style="position:absolute;width:91;height:2438;left:59049;top:3550;" coordsize="9144,243840" path="m0,0l9144,0l9144,243840l0,243840l0,0">
                  <v:stroke weight="0pt" endcap="flat" joinstyle="miter" miterlimit="10" on="false" color="#000000" opacity="0"/>
                  <v:fill on="true" color="#1f497d"/>
                </v:shape>
                <v:shape id="Shape 311019" style="position:absolute;width:58987;height:1676;left:60;top:5989;" coordsize="5898769,167640" path="m0,0l5898769,0l5898769,167640l0,167640l0,0">
                  <v:stroke weight="0pt" endcap="flat" joinstyle="miter" miterlimit="10" on="false" color="#000000" opacity="0"/>
                  <v:fill on="true" color="#ffffcc"/>
                </v:shape>
                <v:shape id="Shape 311020" style="position:absolute;width:91;height:1676;left:0;top:5989;" coordsize="9144,167640" path="m0,0l9144,0l9144,167640l0,167640l0,0">
                  <v:stroke weight="0pt" endcap="flat" joinstyle="miter" miterlimit="10" on="false" color="#000000" opacity="0"/>
                  <v:fill on="true" color="#1f497d"/>
                </v:shape>
                <v:shape id="Shape 311021" style="position:absolute;width:91;height:1676;left:59049;top:5989;" coordsize="9144,167640" path="m0,0l9144,0l9144,167640l0,167640l0,0">
                  <v:stroke weight="0pt" endcap="flat" joinstyle="miter" miterlimit="10" on="false" color="#000000" opacity="0"/>
                  <v:fill on="true" color="#1f497d"/>
                </v:shape>
                <v:shape id="Shape 311022" style="position:absolute;width:58987;height:1679;left:60;top:7665;" coordsize="5898769,167945" path="m0,0l5898769,0l5898769,167945l0,167945l0,0">
                  <v:stroke weight="0pt" endcap="flat" joinstyle="miter" miterlimit="10" on="false" color="#000000" opacity="0"/>
                  <v:fill on="true" color="#ffffcc"/>
                </v:shape>
                <v:shape id="Shape 311023" style="position:absolute;width:91;height:1679;left:0;top:7665;" coordsize="9144,167945" path="m0,0l9144,0l9144,167945l0,167945l0,0">
                  <v:stroke weight="0pt" endcap="flat" joinstyle="miter" miterlimit="10" on="false" color="#000000" opacity="0"/>
                  <v:fill on="true" color="#1f497d"/>
                </v:shape>
                <v:shape id="Shape 311024" style="position:absolute;width:91;height:1679;left:59049;top:7665;" coordsize="9144,167945" path="m0,0l9144,0l9144,167945l0,167945l0,0">
                  <v:stroke weight="0pt" endcap="flat" joinstyle="miter" miterlimit="10" on="false" color="#000000" opacity="0"/>
                  <v:fill on="true" color="#1f497d"/>
                </v:shape>
                <v:shape id="Shape 311025" style="position:absolute;width:58987;height:1691;left:60;top:9344;" coordsize="5898769,169164" path="m0,0l5898769,0l5898769,169164l0,169164l0,0">
                  <v:stroke weight="0pt" endcap="flat" joinstyle="miter" miterlimit="10" on="false" color="#000000" opacity="0"/>
                  <v:fill on="true" color="#ffffcc"/>
                </v:shape>
                <v:shape id="Shape 311026" style="position:absolute;width:91;height:1691;left:0;top:9344;" coordsize="9144,169164" path="m0,0l9144,0l9144,169164l0,169164l0,0">
                  <v:stroke weight="0pt" endcap="flat" joinstyle="miter" miterlimit="10" on="false" color="#000000" opacity="0"/>
                  <v:fill on="true" color="#1f497d"/>
                </v:shape>
                <v:shape id="Shape 311027" style="position:absolute;width:91;height:1691;left:59049;top:9344;" coordsize="9144,169164" path="m0,0l9144,0l9144,169164l0,169164l0,0">
                  <v:stroke weight="0pt" endcap="flat" joinstyle="miter" miterlimit="10" on="false" color="#000000" opacity="0"/>
                  <v:fill on="true" color="#1f497d"/>
                </v:shape>
                <v:shape id="Shape 311028" style="position:absolute;width:58987;height:2438;left:60;top:11036;" coordsize="5898769,243840" path="m0,0l5898769,0l5898769,243840l0,243840l0,0">
                  <v:stroke weight="0pt" endcap="flat" joinstyle="miter" miterlimit="10" on="false" color="#000000" opacity="0"/>
                  <v:fill on="true" color="#ffffcc"/>
                </v:shape>
                <v:shape id="Shape 311029" style="position:absolute;width:91;height:2438;left:0;top:11036;" coordsize="9144,243840" path="m0,0l9144,0l9144,243840l0,243840l0,0">
                  <v:stroke weight="0pt" endcap="flat" joinstyle="miter" miterlimit="10" on="false" color="#000000" opacity="0"/>
                  <v:fill on="true" color="#1f497d"/>
                </v:shape>
                <v:shape id="Shape 311030" style="position:absolute;width:91;height:2438;left:59049;top:11036;" coordsize="9144,243840" path="m0,0l9144,0l9144,243840l0,243840l0,0">
                  <v:stroke weight="0pt" endcap="flat" joinstyle="miter" miterlimit="10" on="false" color="#000000" opacity="0"/>
                  <v:fill on="true" color="#1f497d"/>
                </v:shape>
                <v:shape id="Shape 311031" style="position:absolute;width:58987;height:1676;left:60;top:13474;" coordsize="5898769,167640" path="m0,0l5898769,0l5898769,167640l0,167640l0,0">
                  <v:stroke weight="0pt" endcap="flat" joinstyle="miter" miterlimit="10" on="false" color="#000000" opacity="0"/>
                  <v:fill on="true" color="#ffffcc"/>
                </v:shape>
                <v:shape id="Shape 311032" style="position:absolute;width:91;height:1676;left:0;top:13474;" coordsize="9144,167640" path="m0,0l9144,0l9144,167640l0,167640l0,0">
                  <v:stroke weight="0pt" endcap="flat" joinstyle="miter" miterlimit="10" on="false" color="#000000" opacity="0"/>
                  <v:fill on="true" color="#1f497d"/>
                </v:shape>
                <v:shape id="Shape 311033" style="position:absolute;width:91;height:1676;left:59049;top:13474;" coordsize="9144,167640" path="m0,0l9144,0l9144,167640l0,167640l0,0">
                  <v:stroke weight="0pt" endcap="flat" joinstyle="miter" miterlimit="10" on="false" color="#000000" opacity="0"/>
                  <v:fill on="true" color="#1f497d"/>
                </v:shape>
                <v:shape id="Shape 311034" style="position:absolute;width:58987;height:1813;left:60;top:15151;" coordsize="5898769,181356" path="m0,0l5898769,0l5898769,181356l0,181356l0,0">
                  <v:stroke weight="0pt" endcap="flat" joinstyle="miter" miterlimit="10" on="false" color="#000000" opacity="0"/>
                  <v:fill on="true" color="#ffffcc"/>
                </v:shape>
                <v:shape id="Shape 311035" style="position:absolute;width:91;height:91;left:0;top:16964;" coordsize="9144,9144" path="m0,0l9144,0l9144,9144l0,9144l0,0">
                  <v:stroke weight="0pt" endcap="flat" joinstyle="miter" miterlimit="10" on="false" color="#000000" opacity="0"/>
                  <v:fill on="true" color="#1f497d"/>
                </v:shape>
                <v:shape id="Shape 311036" style="position:absolute;width:58987;height:91;left:60;top:16964;" coordsize="5898769,9144" path="m0,0l5898769,0l5898769,9144l0,9144l0,0">
                  <v:stroke weight="0pt" endcap="flat" joinstyle="miter" miterlimit="10" on="false" color="#000000" opacity="0"/>
                  <v:fill on="true" color="#1f497d"/>
                </v:shape>
                <v:shape id="Shape 311037" style="position:absolute;width:91;height:91;left:59049;top:16964;" coordsize="9144,9144" path="m0,0l9144,0l9144,9144l0,9144l0,0">
                  <v:stroke weight="0pt" endcap="flat" joinstyle="miter" miterlimit="10" on="false" color="#000000" opacity="0"/>
                  <v:fill on="true" color="#1f497d"/>
                </v:shape>
                <v:shape id="Shape 311038" style="position:absolute;width:91;height:1813;left:0;top:15151;" coordsize="9144,181356" path="m0,0l9144,0l9144,181356l0,181356l0,0">
                  <v:stroke weight="0pt" endcap="flat" joinstyle="miter" miterlimit="10" on="false" color="#000000" opacity="0"/>
                  <v:fill on="true" color="#1f497d"/>
                </v:shape>
                <v:shape id="Shape 311039" style="position:absolute;width:91;height:1813;left:59049;top:15151;" coordsize="9144,181356" path="m0,0l9144,0l9144,181356l0,181356l0,0">
                  <v:stroke weight="0pt" endcap="flat" joinstyle="miter" miterlimit="10" on="false" color="#000000" opacity="0"/>
                  <v:fill on="true" color="#1f497d"/>
                </v:shape>
                <v:shape id="Shape 311040" style="position:absolute;width:52114;height:1676;left:6430;top:17025;" coordsize="5211446,167640" path="m0,0l5211446,0l5211446,167640l0,167640l0,0">
                  <v:stroke weight="0pt" endcap="flat" joinstyle="miter" miterlimit="10" on="false" color="#000000" opacity="0"/>
                  <v:fill on="true" color="#ffffff"/>
                </v:shape>
              </v:group>
            </w:pict>
          </mc:Fallback>
        </mc:AlternateContent>
      </w:r>
      <w:r>
        <w:rPr>
          <w:rFonts w:ascii="Arial" w:eastAsia="Arial" w:hAnsi="Arial" w:cs="Arial"/>
          <w:i/>
          <w:sz w:val="20"/>
        </w:rPr>
        <w:t>Conforme o Manual do</w:t>
      </w:r>
      <w:r>
        <w:rPr>
          <w:rFonts w:ascii="Arial" w:eastAsia="Arial" w:hAnsi="Arial" w:cs="Arial"/>
          <w:i/>
          <w:sz w:val="20"/>
        </w:rPr>
        <w:t xml:space="preserve"> SICAF, disponível no Portal de Compras do Governo Federal, o preenchimento desses dados é exigido já no Nível I - Credenciamento, de sorte que, a princípio, o pregoeiro disporá das informações dos sócios de todas as empresas que participarem do pregão ele</w:t>
      </w:r>
      <w:r>
        <w:rPr>
          <w:rFonts w:ascii="Arial" w:eastAsia="Arial" w:hAnsi="Arial" w:cs="Arial"/>
          <w:i/>
          <w:sz w:val="20"/>
        </w:rPr>
        <w:t xml:space="preserve">trônico, inclusive aquelas eventualmente não cadastradas nos demais níveis do SICAF.  </w:t>
      </w:r>
    </w:p>
    <w:p w:rsidR="006C145C" w:rsidRDefault="00C62E5A">
      <w:pPr>
        <w:spacing w:after="38" w:line="269" w:lineRule="auto"/>
        <w:ind w:left="-5" w:right="45" w:hanging="10"/>
        <w:jc w:val="both"/>
      </w:pPr>
      <w:r>
        <w:rPr>
          <w:rFonts w:ascii="Arial" w:eastAsia="Arial" w:hAnsi="Arial" w:cs="Arial"/>
          <w:i/>
          <w:sz w:val="20"/>
        </w:rPr>
        <w:t>De todo modo, caso tais informações não estejam disponíveis no SICAF, cabe ao pregoeiro solicitar a apresentação do contrato social da empresa - o qual, aliás, já é docu</w:t>
      </w:r>
      <w:r>
        <w:rPr>
          <w:rFonts w:ascii="Arial" w:eastAsia="Arial" w:hAnsi="Arial" w:cs="Arial"/>
          <w:i/>
          <w:sz w:val="20"/>
        </w:rPr>
        <w:t xml:space="preserve">mento de apresentação obrigatória na habilitação jurídica. </w:t>
      </w:r>
    </w:p>
    <w:p w:rsidR="006C145C" w:rsidRDefault="00C62E5A">
      <w:pPr>
        <w:spacing w:after="137"/>
        <w:ind w:left="924"/>
      </w:pPr>
      <w:r>
        <w:rPr>
          <w:rFonts w:ascii="Arial" w:eastAsia="Arial" w:hAnsi="Arial" w:cs="Arial"/>
          <w:sz w:val="20"/>
        </w:rPr>
        <w:t xml:space="preserve"> </w:t>
      </w:r>
    </w:p>
    <w:p w:rsidR="006C145C" w:rsidRDefault="00C62E5A">
      <w:pPr>
        <w:spacing w:after="129" w:line="270" w:lineRule="auto"/>
        <w:ind w:left="924" w:right="54" w:hanging="358"/>
        <w:jc w:val="both"/>
      </w:pPr>
      <w:r>
        <w:rPr>
          <w:rFonts w:ascii="Arial" w:eastAsia="Arial" w:hAnsi="Arial" w:cs="Arial"/>
          <w:sz w:val="20"/>
        </w:rPr>
        <w:t>9.2 Caso atendidas as condições de participação, a habilitação do licitantes será verificada por meio do SICAF, nos documentos por ele abrangidos, em relação à habilitação jurídica, à regularida</w:t>
      </w:r>
      <w:r>
        <w:rPr>
          <w:rFonts w:ascii="Arial" w:eastAsia="Arial" w:hAnsi="Arial" w:cs="Arial"/>
          <w:sz w:val="20"/>
        </w:rPr>
        <w:t xml:space="preserve">de fiscal, à qualificação econômica financeira e habilitação técnica, conforme o disposto na Instrução Normativa SEGES/MP nº 03, de 2018. </w:t>
      </w:r>
    </w:p>
    <w:p w:rsidR="006C145C" w:rsidRDefault="00C62E5A">
      <w:pPr>
        <w:spacing w:after="129" w:line="270" w:lineRule="auto"/>
        <w:ind w:left="1853" w:right="54" w:hanging="720"/>
        <w:jc w:val="both"/>
      </w:pPr>
      <w:r>
        <w:rPr>
          <w:rFonts w:ascii="Arial" w:eastAsia="Arial" w:hAnsi="Arial" w:cs="Arial"/>
          <w:sz w:val="20"/>
        </w:rPr>
        <w:t xml:space="preserve">9.2.1 </w:t>
      </w:r>
      <w:r>
        <w:rPr>
          <w:rFonts w:ascii="Arial" w:eastAsia="Arial" w:hAnsi="Arial" w:cs="Arial"/>
          <w:sz w:val="20"/>
        </w:rPr>
        <w:t>O interessado, para efeitos de habilitação prevista na Instrução Normativa SEGES/MP nº 03, de 2018 mediante utilização do sistema, deverá atender às condições exigidas no cadastramento no SICAF até o terceiro dia útil anterior à data prevista para recebime</w:t>
      </w:r>
      <w:r>
        <w:rPr>
          <w:rFonts w:ascii="Arial" w:eastAsia="Arial" w:hAnsi="Arial" w:cs="Arial"/>
          <w:sz w:val="20"/>
        </w:rPr>
        <w:t xml:space="preserve">nto das propostas;  </w:t>
      </w:r>
    </w:p>
    <w:p w:rsidR="006C145C" w:rsidRDefault="00C62E5A">
      <w:pPr>
        <w:spacing w:after="129" w:line="270" w:lineRule="auto"/>
        <w:ind w:left="1853" w:right="54" w:hanging="720"/>
        <w:jc w:val="both"/>
      </w:pPr>
      <w:r>
        <w:rPr>
          <w:rFonts w:ascii="Arial" w:eastAsia="Arial" w:hAnsi="Arial" w:cs="Arial"/>
          <w:sz w:val="20"/>
        </w:rPr>
        <w:t xml:space="preserve">9.2.2 </w:t>
      </w:r>
      <w:r>
        <w:rPr>
          <w:rFonts w:ascii="Arial" w:eastAsia="Arial" w:hAnsi="Arial" w:cs="Arial"/>
          <w:sz w:val="20"/>
        </w:rPr>
        <w:t xml:space="preserve">É dever do licitante atualizar previamente as comprovações constantes do SICAF para que estejam vigentes na data da abertura da sessão pública, ou encaminhar, em conjunto com a apresentação da proposta, a respectiva documentação atualizada. </w:t>
      </w:r>
    </w:p>
    <w:p w:rsidR="006C145C" w:rsidRDefault="00C62E5A">
      <w:pPr>
        <w:spacing w:after="129" w:line="270" w:lineRule="auto"/>
        <w:ind w:left="1853" w:right="54" w:hanging="720"/>
        <w:jc w:val="both"/>
      </w:pPr>
      <w:r>
        <w:rPr>
          <w:rFonts w:ascii="Arial" w:eastAsia="Arial" w:hAnsi="Arial" w:cs="Arial"/>
          <w:sz w:val="20"/>
        </w:rPr>
        <w:lastRenderedPageBreak/>
        <w:t>9.2.3 O descum</w:t>
      </w:r>
      <w:r>
        <w:rPr>
          <w:rFonts w:ascii="Arial" w:eastAsia="Arial" w:hAnsi="Arial" w:cs="Arial"/>
          <w:sz w:val="20"/>
        </w:rPr>
        <w:t>primento do subitem acima implicará a inabilitação do licitante, exceto se a consulta aos sítios eletrônicos oficiais emissores de certidões feita pelo Pregoeiro lograr êxito em encontrar a(s) certidão(ões) válida(s), conforme art. 43, §3º, do Decreto 10.0</w:t>
      </w:r>
      <w:r>
        <w:rPr>
          <w:rFonts w:ascii="Arial" w:eastAsia="Arial" w:hAnsi="Arial" w:cs="Arial"/>
          <w:sz w:val="20"/>
        </w:rPr>
        <w:t xml:space="preserve">24, de 2019. </w:t>
      </w:r>
    </w:p>
    <w:p w:rsidR="006C145C" w:rsidRDefault="00C62E5A">
      <w:pPr>
        <w:spacing w:after="189" w:line="269" w:lineRule="auto"/>
        <w:ind w:left="785" w:right="51" w:hanging="360"/>
        <w:jc w:val="both"/>
      </w:pPr>
      <w:r>
        <w:rPr>
          <w:rFonts w:ascii="Arial" w:eastAsia="Arial" w:hAnsi="Arial" w:cs="Arial"/>
          <w:sz w:val="20"/>
          <w:shd w:val="clear" w:color="auto" w:fill="FFFF00"/>
        </w:rPr>
        <w:t>9.3 Havendo a necessidade de envio de documentos de habilitação complementares, necessários</w:t>
      </w:r>
      <w:r>
        <w:rPr>
          <w:rFonts w:ascii="Arial" w:eastAsia="Arial" w:hAnsi="Arial" w:cs="Arial"/>
          <w:sz w:val="20"/>
        </w:rPr>
        <w:t xml:space="preserve"> </w:t>
      </w:r>
      <w:r>
        <w:rPr>
          <w:rFonts w:ascii="Arial" w:eastAsia="Arial" w:hAnsi="Arial" w:cs="Arial"/>
          <w:sz w:val="20"/>
          <w:shd w:val="clear" w:color="auto" w:fill="FFFF00"/>
        </w:rPr>
        <w:t>à confirmação daqueles exigidos neste Edital e já apresentados, o licitante será convocado a</w:t>
      </w:r>
      <w:r>
        <w:rPr>
          <w:rFonts w:ascii="Arial" w:eastAsia="Arial" w:hAnsi="Arial" w:cs="Arial"/>
          <w:sz w:val="20"/>
        </w:rPr>
        <w:t xml:space="preserve"> </w:t>
      </w:r>
      <w:r>
        <w:rPr>
          <w:rFonts w:ascii="Arial" w:eastAsia="Arial" w:hAnsi="Arial" w:cs="Arial"/>
          <w:sz w:val="20"/>
          <w:shd w:val="clear" w:color="auto" w:fill="FFFF00"/>
        </w:rPr>
        <w:t xml:space="preserve">encaminhá-los, em formato digital, via sistema, no prazo </w:t>
      </w:r>
      <w:r>
        <w:rPr>
          <w:rFonts w:ascii="Arial" w:eastAsia="Arial" w:hAnsi="Arial" w:cs="Arial"/>
          <w:sz w:val="20"/>
          <w:shd w:val="clear" w:color="auto" w:fill="FFFF00"/>
        </w:rPr>
        <w:t xml:space="preserve">de </w:t>
      </w:r>
      <w:r>
        <w:rPr>
          <w:rFonts w:ascii="Arial" w:eastAsia="Arial" w:hAnsi="Arial" w:cs="Arial"/>
          <w:color w:val="FF0000"/>
          <w:sz w:val="20"/>
          <w:shd w:val="clear" w:color="auto" w:fill="FFFF00"/>
        </w:rPr>
        <w:t>....... (.........)</w:t>
      </w:r>
      <w:r>
        <w:rPr>
          <w:rFonts w:ascii="Arial" w:eastAsia="Arial" w:hAnsi="Arial" w:cs="Arial"/>
          <w:i/>
          <w:sz w:val="20"/>
          <w:shd w:val="clear" w:color="auto" w:fill="FFFF00"/>
        </w:rPr>
        <w:t xml:space="preserve"> </w:t>
      </w:r>
      <w:r>
        <w:rPr>
          <w:rFonts w:ascii="Arial" w:eastAsia="Arial" w:hAnsi="Arial" w:cs="Arial"/>
          <w:sz w:val="20"/>
          <w:shd w:val="clear" w:color="auto" w:fill="FFFF00"/>
        </w:rPr>
        <w:t xml:space="preserve">horas </w:t>
      </w:r>
      <w:r>
        <w:rPr>
          <w:rFonts w:ascii="Arial" w:eastAsia="Arial" w:hAnsi="Arial" w:cs="Arial"/>
          <w:i/>
          <w:color w:val="FF0000"/>
          <w:sz w:val="20"/>
          <w:shd w:val="clear" w:color="auto" w:fill="FFFF00"/>
        </w:rPr>
        <w:t>[mínimo de</w:t>
      </w:r>
      <w:r>
        <w:rPr>
          <w:rFonts w:ascii="Arial" w:eastAsia="Arial" w:hAnsi="Arial" w:cs="Arial"/>
          <w:i/>
          <w:color w:val="FF0000"/>
          <w:sz w:val="20"/>
        </w:rPr>
        <w:t xml:space="preserve"> </w:t>
      </w:r>
      <w:r>
        <w:rPr>
          <w:rFonts w:ascii="Arial" w:eastAsia="Arial" w:hAnsi="Arial" w:cs="Arial"/>
          <w:i/>
          <w:color w:val="FF0000"/>
          <w:sz w:val="20"/>
          <w:shd w:val="clear" w:color="auto" w:fill="FFFF00"/>
        </w:rPr>
        <w:t>quatro horas]</w:t>
      </w:r>
      <w:r>
        <w:rPr>
          <w:rFonts w:ascii="Arial" w:eastAsia="Arial" w:hAnsi="Arial" w:cs="Arial"/>
          <w:sz w:val="20"/>
          <w:shd w:val="clear" w:color="auto" w:fill="FFFF00"/>
        </w:rPr>
        <w:t>, sob pena de inabilitação.</w:t>
      </w:r>
      <w:r>
        <w:rPr>
          <w:rFonts w:ascii="Arial" w:eastAsia="Arial" w:hAnsi="Arial" w:cs="Arial"/>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1" w:line="249" w:lineRule="auto"/>
        <w:ind w:left="-5" w:right="57" w:hanging="10"/>
        <w:jc w:val="both"/>
      </w:pPr>
      <w:r>
        <w:rPr>
          <w:rFonts w:ascii="Arial" w:eastAsia="Arial" w:hAnsi="Arial" w:cs="Arial"/>
          <w:b/>
          <w:i/>
          <w:sz w:val="20"/>
        </w:rPr>
        <w:t xml:space="preserve">Nota Explicativa: </w:t>
      </w:r>
      <w:r>
        <w:rPr>
          <w:rFonts w:ascii="Arial" w:eastAsia="Arial" w:hAnsi="Arial" w:cs="Arial"/>
          <w:i/>
          <w:sz w:val="20"/>
        </w:rPr>
        <w:t>Decreto nº 10.024, de 2019:  Art. 38, §2º: “O instrumento convocatório deverá estabelecer prazo de, no mínimo, quatro horas, contado da solicitação do prego</w:t>
      </w:r>
      <w:r>
        <w:rPr>
          <w:rFonts w:ascii="Arial" w:eastAsia="Arial" w:hAnsi="Arial" w:cs="Arial"/>
          <w:i/>
          <w:sz w:val="20"/>
        </w:rPr>
        <w:t xml:space="preserve">eiro no sistema, para envio da proposta e, se necessário, dos documentos complementares, adequada ao último lance ofertado após a negociação”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55" w:line="249" w:lineRule="auto"/>
        <w:ind w:left="-5" w:right="57" w:hanging="10"/>
        <w:jc w:val="both"/>
      </w:pPr>
      <w:r>
        <w:rPr>
          <w:rFonts w:ascii="Arial" w:eastAsia="Arial" w:hAnsi="Arial" w:cs="Arial"/>
          <w:i/>
          <w:sz w:val="20"/>
        </w:rPr>
        <w:t>Os documentos complementares a serem requisitados e apresentados não poderão ser os já exigidos para fins de habi</w:t>
      </w:r>
      <w:r>
        <w:rPr>
          <w:rFonts w:ascii="Arial" w:eastAsia="Arial" w:hAnsi="Arial" w:cs="Arial"/>
          <w:i/>
          <w:sz w:val="20"/>
        </w:rPr>
        <w:t>litação no instrumento convocatório. Em outras palavras, não se trata de uma segunda oportunidade para envio de documentos de habilitação. A diligência em questão permite, apenas, a solicitação de documentos outros para confirmação dos já apresentados, sen</w:t>
      </w:r>
      <w:r>
        <w:rPr>
          <w:rFonts w:ascii="Arial" w:eastAsia="Arial" w:hAnsi="Arial" w:cs="Arial"/>
          <w:i/>
          <w:sz w:val="20"/>
        </w:rPr>
        <w:t xml:space="preserve">do exemplo a requisição de cópia de contrato de prestação de serviços que tenha embasado a emissão de atestado de capacidade técnica já apresentado. </w:t>
      </w:r>
    </w:p>
    <w:p w:rsidR="006C145C" w:rsidRDefault="00C62E5A">
      <w:pPr>
        <w:spacing w:after="154" w:line="270" w:lineRule="auto"/>
        <w:ind w:left="785" w:right="54" w:hanging="360"/>
        <w:jc w:val="both"/>
      </w:pPr>
      <w:r>
        <w:rPr>
          <w:rFonts w:ascii="Arial" w:eastAsia="Arial" w:hAnsi="Arial" w:cs="Arial"/>
          <w:sz w:val="20"/>
        </w:rPr>
        <w:t>9.4 Somente haverá a necessidade de comprovação do preenchimento de requisitos mediante apresentação dos d</w:t>
      </w:r>
      <w:r>
        <w:rPr>
          <w:rFonts w:ascii="Arial" w:eastAsia="Arial" w:hAnsi="Arial" w:cs="Arial"/>
          <w:sz w:val="20"/>
        </w:rPr>
        <w:t xml:space="preserve">ocumentos originais não-digitais quando houver dúvida em relação à integridade do documento digital.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74" w:line="249" w:lineRule="auto"/>
        <w:ind w:left="-5" w:right="57" w:hanging="10"/>
        <w:jc w:val="both"/>
      </w:pPr>
      <w:r>
        <w:rPr>
          <w:rFonts w:ascii="Arial" w:eastAsia="Arial" w:hAnsi="Arial" w:cs="Arial"/>
          <w:b/>
          <w:i/>
          <w:sz w:val="20"/>
        </w:rPr>
        <w:t>Nota Explicativa:</w:t>
      </w:r>
      <w:r>
        <w:rPr>
          <w:rFonts w:ascii="Arial" w:eastAsia="Arial" w:hAnsi="Arial" w:cs="Arial"/>
          <w:i/>
          <w:sz w:val="20"/>
        </w:rPr>
        <w:t xml:space="preserve"> Com o advento da Instrução Normativa SEGES/MP nº 3/2018, somente passou a ser necessária a apresentação de originais não-</w:t>
      </w:r>
      <w:r>
        <w:rPr>
          <w:rFonts w:ascii="Arial" w:eastAsia="Arial" w:hAnsi="Arial" w:cs="Arial"/>
          <w:i/>
          <w:sz w:val="20"/>
        </w:rPr>
        <w:t xml:space="preserve">digitais no caso de dúvidas quanto à integridade do documento digital. Por essa razão, recomenda-se que os documentos digitais sejam utilizados para formação do procedimento administrativo. </w:t>
      </w:r>
    </w:p>
    <w:p w:rsidR="006C145C" w:rsidRDefault="00C62E5A">
      <w:pPr>
        <w:spacing w:after="129" w:line="270" w:lineRule="auto"/>
        <w:ind w:left="433" w:right="54" w:hanging="8"/>
        <w:jc w:val="both"/>
      </w:pPr>
      <w:r>
        <w:rPr>
          <w:rFonts w:ascii="Arial" w:eastAsia="Arial" w:hAnsi="Arial" w:cs="Arial"/>
          <w:sz w:val="20"/>
        </w:rPr>
        <w:t xml:space="preserve">9.5 Não serão aceitos documentos de habilitação com indicação de </w:t>
      </w:r>
      <w:r>
        <w:rPr>
          <w:rFonts w:ascii="Arial" w:eastAsia="Arial" w:hAnsi="Arial" w:cs="Arial"/>
          <w:sz w:val="20"/>
        </w:rPr>
        <w:t xml:space="preserve">CNPJ/CPF diferentes, salvo aqueles legalmente permitidos. </w:t>
      </w:r>
    </w:p>
    <w:p w:rsidR="006C145C" w:rsidRDefault="00C62E5A">
      <w:pPr>
        <w:spacing w:after="129" w:line="270" w:lineRule="auto"/>
        <w:ind w:left="785" w:right="54" w:hanging="360"/>
        <w:jc w:val="both"/>
      </w:pPr>
      <w:r>
        <w:rPr>
          <w:rFonts w:ascii="Arial" w:eastAsia="Arial" w:hAnsi="Arial" w:cs="Arial"/>
          <w:sz w:val="20"/>
        </w:rPr>
        <w:t>9.6 Se o licitante for a matriz, todos os documentos deverão estar em nome da matriz, e se o licitante for a filial, todos os documentos deverão estar em nome da filial, exceto aqueles documentos q</w:t>
      </w:r>
      <w:r>
        <w:rPr>
          <w:rFonts w:ascii="Arial" w:eastAsia="Arial" w:hAnsi="Arial" w:cs="Arial"/>
          <w:sz w:val="20"/>
        </w:rPr>
        <w:t xml:space="preserve">ue, pela própria natureza, comprovadamente, forem emitidos somente em nome da matriz. </w:t>
      </w:r>
    </w:p>
    <w:p w:rsidR="006C145C" w:rsidRDefault="00C62E5A">
      <w:pPr>
        <w:spacing w:after="129" w:line="270" w:lineRule="auto"/>
        <w:ind w:left="2280" w:right="54" w:hanging="720"/>
        <w:jc w:val="both"/>
      </w:pPr>
      <w:r>
        <w:rPr>
          <w:rFonts w:ascii="Arial" w:eastAsia="Arial" w:hAnsi="Arial" w:cs="Arial"/>
          <w:sz w:val="20"/>
        </w:rPr>
        <w:t>9.6.1 Serão aceitos registros de CNPJ de licitante matriz e filial com diferenças de números de documentos pertinentes ao CND e ao CRF/FGTS, quando for comprovada a cent</w:t>
      </w:r>
      <w:r>
        <w:rPr>
          <w:rFonts w:ascii="Arial" w:eastAsia="Arial" w:hAnsi="Arial" w:cs="Arial"/>
          <w:sz w:val="20"/>
        </w:rPr>
        <w:t xml:space="preserve">ralização do recolhimento dessas contribuições. </w:t>
      </w:r>
    </w:p>
    <w:p w:rsidR="006C145C" w:rsidRDefault="00C62E5A">
      <w:pPr>
        <w:spacing w:after="129" w:line="270" w:lineRule="auto"/>
        <w:ind w:left="785" w:right="54" w:hanging="360"/>
        <w:jc w:val="both"/>
      </w:pPr>
      <w:r>
        <w:rPr>
          <w:rFonts w:ascii="Arial" w:eastAsia="Arial" w:hAnsi="Arial" w:cs="Arial"/>
          <w:sz w:val="20"/>
        </w:rPr>
        <w:t xml:space="preserve">9.7 Ressalvado o disposto no item 5.3, os licitantes deverão encaminhar, nos termos deste Edital, a documentação relacionada nos itens a seguir, para fins de habilitação: </w:t>
      </w:r>
    </w:p>
    <w:p w:rsidR="006C145C" w:rsidRDefault="00C62E5A">
      <w:pPr>
        <w:spacing w:after="150" w:line="249" w:lineRule="auto"/>
        <w:ind w:left="435" w:right="37" w:hanging="10"/>
        <w:jc w:val="both"/>
      </w:pPr>
      <w:r>
        <w:rPr>
          <w:rFonts w:ascii="Arial" w:eastAsia="Arial" w:hAnsi="Arial" w:cs="Arial"/>
          <w:sz w:val="20"/>
        </w:rPr>
        <w:t xml:space="preserve">9.8 </w:t>
      </w:r>
      <w:r>
        <w:rPr>
          <w:rFonts w:ascii="Arial" w:eastAsia="Arial" w:hAnsi="Arial" w:cs="Arial"/>
          <w:b/>
          <w:sz w:val="20"/>
        </w:rPr>
        <w:t xml:space="preserve">Habilitação jurídica:  </w:t>
      </w:r>
    </w:p>
    <w:p w:rsidR="006C145C" w:rsidRDefault="00C62E5A">
      <w:pPr>
        <w:spacing w:after="157" w:line="270" w:lineRule="auto"/>
        <w:ind w:left="1143" w:right="58" w:hanging="10"/>
        <w:jc w:val="both"/>
      </w:pPr>
      <w:r>
        <w:rPr>
          <w:rFonts w:ascii="Arial" w:eastAsia="Arial" w:hAnsi="Arial" w:cs="Arial"/>
          <w:sz w:val="20"/>
        </w:rPr>
        <w:t xml:space="preserve">9.8.1 </w:t>
      </w:r>
      <w:r>
        <w:rPr>
          <w:rFonts w:ascii="Arial" w:eastAsia="Arial" w:hAnsi="Arial" w:cs="Arial"/>
          <w:i/>
          <w:color w:val="FF0000"/>
          <w:sz w:val="20"/>
        </w:rPr>
        <w:t xml:space="preserve">no caso de empresário individual, inscrição no Registro Público de Empresas Mercantis, a cargo da Junta Comercial da respectiva sede;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74" w:line="249" w:lineRule="auto"/>
        <w:ind w:left="-5" w:right="57" w:hanging="10"/>
        <w:jc w:val="both"/>
      </w:pPr>
      <w:r>
        <w:rPr>
          <w:rFonts w:ascii="Arial" w:eastAsia="Arial" w:hAnsi="Arial" w:cs="Arial"/>
          <w:b/>
          <w:i/>
          <w:sz w:val="20"/>
        </w:rPr>
        <w:t>Nota Explicativa:</w:t>
      </w:r>
      <w:r>
        <w:rPr>
          <w:rFonts w:ascii="Arial" w:eastAsia="Arial" w:hAnsi="Arial" w:cs="Arial"/>
          <w:i/>
          <w:sz w:val="20"/>
        </w:rPr>
        <w:t xml:space="preserve"> A possibilidade ou não de participação de empresário individual dependerá do objeto a ser licitado, qua</w:t>
      </w:r>
      <w:r>
        <w:rPr>
          <w:rFonts w:ascii="Arial" w:eastAsia="Arial" w:hAnsi="Arial" w:cs="Arial"/>
          <w:i/>
          <w:sz w:val="20"/>
        </w:rPr>
        <w:t xml:space="preserve">ndo ele for capaz de prestar o serviço. </w:t>
      </w:r>
      <w:r>
        <w:rPr>
          <w:rFonts w:ascii="Arial" w:eastAsia="Arial" w:hAnsi="Arial" w:cs="Arial"/>
          <w:i/>
          <w:color w:val="FF0000"/>
          <w:sz w:val="20"/>
        </w:rPr>
        <w:t xml:space="preserve"> </w:t>
      </w:r>
    </w:p>
    <w:p w:rsidR="006C145C" w:rsidRDefault="00C62E5A">
      <w:pPr>
        <w:spacing w:after="129" w:line="270" w:lineRule="auto"/>
        <w:ind w:left="1141" w:right="54" w:hanging="8"/>
        <w:jc w:val="both"/>
      </w:pPr>
      <w:r>
        <w:rPr>
          <w:rFonts w:ascii="Arial" w:eastAsia="Arial" w:hAnsi="Arial" w:cs="Arial"/>
          <w:sz w:val="20"/>
        </w:rPr>
        <w:t xml:space="preserve">9.8.2 No caso de sociedade empresária ou empresa individual de responsabilidade limitada - </w:t>
      </w:r>
      <w:r>
        <w:rPr>
          <w:rFonts w:ascii="Arial" w:eastAsia="Arial" w:hAnsi="Arial" w:cs="Arial"/>
          <w:sz w:val="20"/>
        </w:rPr>
        <w:t xml:space="preserve">EIRELI: ato constitutivo, estatuto ou contrato social em vigor, devidamente registrado na Junta Comercial da respectiva sede, acompanhado de documento comprobatório de seus administradores; </w:t>
      </w:r>
    </w:p>
    <w:p w:rsidR="006C145C" w:rsidRDefault="00C62E5A">
      <w:pPr>
        <w:spacing w:after="129" w:line="270" w:lineRule="auto"/>
        <w:ind w:left="1141" w:right="54" w:hanging="8"/>
        <w:jc w:val="both"/>
      </w:pPr>
      <w:r>
        <w:rPr>
          <w:rFonts w:ascii="Arial" w:eastAsia="Arial" w:hAnsi="Arial" w:cs="Arial"/>
          <w:sz w:val="20"/>
        </w:rPr>
        <w:t>9.8.3 inscrição no Registro Público de Empresas Mercantis onde op</w:t>
      </w:r>
      <w:r>
        <w:rPr>
          <w:rFonts w:ascii="Arial" w:eastAsia="Arial" w:hAnsi="Arial" w:cs="Arial"/>
          <w:sz w:val="20"/>
        </w:rPr>
        <w:t xml:space="preserve">era, com averbação no Registro onde tem sede a matriz, no caso de ser o participante sucursal, filial ou agência; </w:t>
      </w:r>
    </w:p>
    <w:p w:rsidR="006C145C" w:rsidRDefault="00C62E5A">
      <w:pPr>
        <w:spacing w:after="129" w:line="270" w:lineRule="auto"/>
        <w:ind w:left="1141" w:right="54" w:hanging="8"/>
        <w:jc w:val="both"/>
      </w:pPr>
      <w:r>
        <w:rPr>
          <w:rFonts w:ascii="Arial" w:eastAsia="Arial" w:hAnsi="Arial" w:cs="Arial"/>
          <w:sz w:val="20"/>
        </w:rPr>
        <w:lastRenderedPageBreak/>
        <w:t>9.8.4 No caso de sociedade simples: inscrição do ato constitutivo no Registro Civil das Pessoas Jurídicas do local de sua sede, acompanhada d</w:t>
      </w:r>
      <w:r>
        <w:rPr>
          <w:rFonts w:ascii="Arial" w:eastAsia="Arial" w:hAnsi="Arial" w:cs="Arial"/>
          <w:sz w:val="20"/>
        </w:rPr>
        <w:t xml:space="preserve">e prova da indicação dos seus administradores; </w:t>
      </w:r>
    </w:p>
    <w:p w:rsidR="006C145C" w:rsidRDefault="00C62E5A">
      <w:pPr>
        <w:spacing w:after="129" w:line="270" w:lineRule="auto"/>
        <w:ind w:left="1141" w:right="54" w:hanging="8"/>
        <w:jc w:val="both"/>
      </w:pPr>
      <w:r>
        <w:rPr>
          <w:rFonts w:ascii="Arial" w:eastAsia="Arial" w:hAnsi="Arial" w:cs="Arial"/>
          <w:sz w:val="20"/>
        </w:rPr>
        <w:t xml:space="preserve">9.8.5 decreto de autorização, em se tratando de sociedade empresária estrangeira em funcionamento no País; </w:t>
      </w:r>
    </w:p>
    <w:p w:rsidR="006C145C" w:rsidRDefault="00C62E5A">
      <w:pPr>
        <w:spacing w:after="6" w:line="270" w:lineRule="auto"/>
        <w:ind w:left="1143" w:right="58" w:hanging="10"/>
        <w:jc w:val="both"/>
      </w:pPr>
      <w:r>
        <w:rPr>
          <w:rFonts w:ascii="Arial" w:eastAsia="Arial" w:hAnsi="Arial" w:cs="Arial"/>
          <w:sz w:val="20"/>
        </w:rPr>
        <w:t xml:space="preserve">9.8.6 </w:t>
      </w:r>
      <w:r>
        <w:rPr>
          <w:rFonts w:ascii="Arial" w:eastAsia="Arial" w:hAnsi="Arial" w:cs="Arial"/>
          <w:i/>
          <w:color w:val="FF0000"/>
          <w:sz w:val="20"/>
        </w:rPr>
        <w:t>no caso de exercício de atividade de ............: ato de registro ou autorização para funcion</w:t>
      </w:r>
      <w:r>
        <w:rPr>
          <w:rFonts w:ascii="Arial" w:eastAsia="Arial" w:hAnsi="Arial" w:cs="Arial"/>
          <w:i/>
          <w:color w:val="FF0000"/>
          <w:sz w:val="20"/>
        </w:rPr>
        <w:t xml:space="preserve">amento expedido pelo órgão competente, nos termos do art. ..... da </w:t>
      </w:r>
    </w:p>
    <w:p w:rsidR="006C145C" w:rsidRDefault="00C62E5A">
      <w:pPr>
        <w:spacing w:line="270" w:lineRule="auto"/>
        <w:ind w:left="1143" w:right="58" w:hanging="10"/>
        <w:jc w:val="both"/>
      </w:pPr>
      <w:r>
        <w:rPr>
          <w:rFonts w:ascii="Arial" w:eastAsia="Arial" w:hAnsi="Arial" w:cs="Arial"/>
          <w:i/>
          <w:color w:val="FF0000"/>
          <w:sz w:val="20"/>
        </w:rPr>
        <w:t>(Lei/Decreto) n° ........</w:t>
      </w:r>
      <w:r>
        <w:rPr>
          <w:rFonts w:ascii="Arial" w:eastAsia="Arial" w:hAnsi="Arial" w:cs="Arial"/>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70" w:line="249" w:lineRule="auto"/>
        <w:ind w:left="-5" w:right="57" w:hanging="10"/>
        <w:jc w:val="both"/>
      </w:pPr>
      <w:r>
        <w:rPr>
          <w:rFonts w:ascii="Arial" w:eastAsia="Arial" w:hAnsi="Arial" w:cs="Arial"/>
          <w:b/>
          <w:i/>
          <w:sz w:val="20"/>
        </w:rPr>
        <w:t>Nota explicativa:</w:t>
      </w:r>
      <w:r>
        <w:rPr>
          <w:rFonts w:ascii="Arial" w:eastAsia="Arial" w:hAnsi="Arial" w:cs="Arial"/>
          <w:i/>
          <w:sz w:val="20"/>
        </w:rPr>
        <w:t xml:space="preserve"> Tal exigência tem como supedâneo o disposto no art. 28, V, da Lei n° 8.666/93. Cabe ao órgão ou entidade analisar se a atividade relativa ao ob</w:t>
      </w:r>
      <w:r>
        <w:rPr>
          <w:rFonts w:ascii="Arial" w:eastAsia="Arial" w:hAnsi="Arial" w:cs="Arial"/>
          <w:i/>
          <w:sz w:val="20"/>
        </w:rPr>
        <w:t>jeto licitado exige tal registro ou autorização para funcionamento, em razão de previsão normativa. Em caso positivo, especificar o documento a ser apresentado e o órgão competente para expedi-lo, além do fundamento legal. Cite-se, como exemplo, o registro</w:t>
      </w:r>
      <w:r>
        <w:rPr>
          <w:rFonts w:ascii="Arial" w:eastAsia="Arial" w:hAnsi="Arial" w:cs="Arial"/>
          <w:i/>
          <w:sz w:val="20"/>
        </w:rPr>
        <w:t xml:space="preserve"> e autorização para o funcionamento de empresa de vigilância.  </w:t>
      </w:r>
    </w:p>
    <w:p w:rsidR="006C145C" w:rsidRDefault="00C62E5A">
      <w:pPr>
        <w:spacing w:after="127" w:line="269" w:lineRule="auto"/>
        <w:ind w:left="1143" w:right="48" w:hanging="10"/>
        <w:jc w:val="both"/>
      </w:pPr>
      <w:r>
        <w:rPr>
          <w:rFonts w:ascii="Arial" w:eastAsia="Arial" w:hAnsi="Arial" w:cs="Arial"/>
          <w:sz w:val="20"/>
          <w:shd w:val="clear" w:color="auto" w:fill="00FF00"/>
        </w:rPr>
        <w:t xml:space="preserve">9.8.7 </w:t>
      </w:r>
      <w:r>
        <w:rPr>
          <w:rFonts w:ascii="Arial" w:eastAsia="Arial" w:hAnsi="Arial" w:cs="Arial"/>
          <w:i/>
          <w:color w:val="FF0000"/>
          <w:sz w:val="20"/>
          <w:shd w:val="clear" w:color="auto" w:fill="00FF00"/>
        </w:rPr>
        <w:t>No caso de sociedade cooperativa: ata de fundação e estatuto social em vigor,</w:t>
      </w:r>
      <w:r>
        <w:rPr>
          <w:rFonts w:ascii="Arial" w:eastAsia="Arial" w:hAnsi="Arial" w:cs="Arial"/>
          <w:i/>
          <w:color w:val="FF0000"/>
          <w:sz w:val="20"/>
        </w:rPr>
        <w:t xml:space="preserve"> </w:t>
      </w:r>
      <w:r>
        <w:rPr>
          <w:rFonts w:ascii="Arial" w:eastAsia="Arial" w:hAnsi="Arial" w:cs="Arial"/>
          <w:i/>
          <w:color w:val="FF0000"/>
          <w:sz w:val="20"/>
          <w:shd w:val="clear" w:color="auto" w:fill="00FF00"/>
        </w:rPr>
        <w:t>com a ata da assembleia que o aprovou, devidamente arquivado na Junta Comercial ou</w:t>
      </w:r>
      <w:r>
        <w:rPr>
          <w:rFonts w:ascii="Arial" w:eastAsia="Arial" w:hAnsi="Arial" w:cs="Arial"/>
          <w:i/>
          <w:color w:val="FF0000"/>
          <w:sz w:val="20"/>
        </w:rPr>
        <w:t xml:space="preserve"> </w:t>
      </w:r>
      <w:r>
        <w:rPr>
          <w:rFonts w:ascii="Arial" w:eastAsia="Arial" w:hAnsi="Arial" w:cs="Arial"/>
          <w:i/>
          <w:color w:val="FF0000"/>
          <w:sz w:val="20"/>
          <w:shd w:val="clear" w:color="auto" w:fill="00FF00"/>
        </w:rPr>
        <w:t>inscrito no Registro Civi</w:t>
      </w:r>
      <w:r>
        <w:rPr>
          <w:rFonts w:ascii="Arial" w:eastAsia="Arial" w:hAnsi="Arial" w:cs="Arial"/>
          <w:i/>
          <w:color w:val="FF0000"/>
          <w:sz w:val="20"/>
          <w:shd w:val="clear" w:color="auto" w:fill="00FF00"/>
        </w:rPr>
        <w:t>l das Pessoas Jurídicas da respectiva sede, bem como o registro</w:t>
      </w:r>
      <w:r>
        <w:rPr>
          <w:rFonts w:ascii="Arial" w:eastAsia="Arial" w:hAnsi="Arial" w:cs="Arial"/>
          <w:i/>
          <w:color w:val="FF0000"/>
          <w:sz w:val="20"/>
        </w:rPr>
        <w:t xml:space="preserve"> </w:t>
      </w:r>
      <w:r>
        <w:rPr>
          <w:rFonts w:ascii="Arial" w:eastAsia="Arial" w:hAnsi="Arial" w:cs="Arial"/>
          <w:i/>
          <w:color w:val="FF0000"/>
          <w:sz w:val="20"/>
          <w:shd w:val="clear" w:color="auto" w:fill="00FF00"/>
        </w:rPr>
        <w:t>de que trata o art. 107 da Lei nº 5.764, de 1971.</w:t>
      </w:r>
      <w:r>
        <w:rPr>
          <w:rFonts w:ascii="Arial" w:eastAsia="Arial" w:hAnsi="Arial" w:cs="Arial"/>
          <w:i/>
          <w:color w:val="FF0000"/>
          <w:sz w:val="20"/>
        </w:rPr>
        <w:t xml:space="preserve"> </w:t>
      </w:r>
    </w:p>
    <w:p w:rsidR="006C145C" w:rsidRDefault="00C62E5A">
      <w:pPr>
        <w:spacing w:after="8" w:line="270" w:lineRule="auto"/>
        <w:ind w:left="1141" w:right="54" w:hanging="8"/>
        <w:jc w:val="both"/>
      </w:pPr>
      <w:r>
        <w:rPr>
          <w:rFonts w:ascii="Arial" w:eastAsia="Arial" w:hAnsi="Arial" w:cs="Arial"/>
          <w:sz w:val="20"/>
        </w:rPr>
        <w:t xml:space="preserve">9.8.8 Os documentos acima deverão estar acompanhados de todas as alterações ou da consolidação respectiva. </w:t>
      </w:r>
    </w:p>
    <w:p w:rsidR="006C145C" w:rsidRDefault="00C62E5A">
      <w:pPr>
        <w:spacing w:after="134"/>
        <w:ind w:left="1133"/>
      </w:pPr>
      <w:r>
        <w:rPr>
          <w:rFonts w:ascii="Arial" w:eastAsia="Arial" w:hAnsi="Arial" w:cs="Arial"/>
          <w:sz w:val="20"/>
        </w:rPr>
        <w:t xml:space="preserve"> </w:t>
      </w:r>
    </w:p>
    <w:p w:rsidR="006C145C" w:rsidRDefault="00C62E5A">
      <w:pPr>
        <w:spacing w:after="150" w:line="249" w:lineRule="auto"/>
        <w:ind w:left="435" w:right="37" w:hanging="10"/>
        <w:jc w:val="both"/>
      </w:pPr>
      <w:r>
        <w:rPr>
          <w:rFonts w:ascii="Arial" w:eastAsia="Arial" w:hAnsi="Arial" w:cs="Arial"/>
          <w:sz w:val="20"/>
        </w:rPr>
        <w:t>9.9</w:t>
      </w:r>
      <w:r>
        <w:rPr>
          <w:rFonts w:ascii="Arial" w:eastAsia="Arial" w:hAnsi="Arial" w:cs="Arial"/>
          <w:b/>
          <w:sz w:val="20"/>
        </w:rPr>
        <w:t xml:space="preserve">  </w:t>
      </w:r>
      <w:r>
        <w:rPr>
          <w:rFonts w:ascii="Arial" w:eastAsia="Arial" w:hAnsi="Arial" w:cs="Arial"/>
          <w:b/>
          <w:sz w:val="20"/>
        </w:rPr>
        <w:t xml:space="preserve">Regularidade fiscal e trabalhista: </w:t>
      </w:r>
    </w:p>
    <w:p w:rsidR="006C145C" w:rsidRDefault="00C62E5A">
      <w:pPr>
        <w:tabs>
          <w:tab w:val="center" w:pos="1469"/>
          <w:tab w:val="center" w:pos="5044"/>
        </w:tabs>
        <w:spacing w:after="129" w:line="270" w:lineRule="auto"/>
      </w:pPr>
      <w:r>
        <w:tab/>
      </w:r>
      <w:r>
        <w:rPr>
          <w:rFonts w:ascii="Arial" w:eastAsia="Arial" w:hAnsi="Arial" w:cs="Arial"/>
          <w:sz w:val="20"/>
        </w:rPr>
        <w:t xml:space="preserve">9.9.1 </w:t>
      </w:r>
      <w:r>
        <w:rPr>
          <w:rFonts w:ascii="Arial" w:eastAsia="Arial" w:hAnsi="Arial" w:cs="Arial"/>
          <w:sz w:val="20"/>
        </w:rPr>
        <w:tab/>
        <w:t xml:space="preserve">prova de inscrição no Cadastro Nacional de Pessoas Jurídicas; </w:t>
      </w:r>
    </w:p>
    <w:p w:rsidR="006C145C" w:rsidRDefault="00C62E5A">
      <w:pPr>
        <w:spacing w:after="129" w:line="270" w:lineRule="auto"/>
        <w:ind w:left="1141" w:right="54" w:hanging="8"/>
        <w:jc w:val="both"/>
      </w:pPr>
      <w:r>
        <w:rPr>
          <w:rFonts w:ascii="Arial" w:eastAsia="Arial" w:hAnsi="Arial" w:cs="Arial"/>
          <w:sz w:val="20"/>
        </w:rPr>
        <w:t>9.9.2 prova de regularidade fiscal perante a Fazenda Nacional, mediante apresentação de certidão expedida conjuntamente pela Secretaria da Receita Fe</w:t>
      </w:r>
      <w:r>
        <w:rPr>
          <w:rFonts w:ascii="Arial" w:eastAsia="Arial" w:hAnsi="Arial" w:cs="Arial"/>
          <w:sz w:val="20"/>
        </w:rPr>
        <w:t>deral do Brasil (RFB) e pela Procuradoria-Geral da Fazenda Nacional (PGFN), referente a todos os créditos tributários federais e à Dívida Ativa da União (DAU) por elas administrados, inclusive aqueles relativos à Seguridade Social, nos termos da Portaria C</w:t>
      </w:r>
      <w:r>
        <w:rPr>
          <w:rFonts w:ascii="Arial" w:eastAsia="Arial" w:hAnsi="Arial" w:cs="Arial"/>
          <w:sz w:val="20"/>
        </w:rPr>
        <w:t xml:space="preserve">onjunta nº 1.751, de 02/10/2014, do Secretário da Receita Federal do Brasil e da Procuradora-Geral da Fazenda Nacional. </w:t>
      </w:r>
    </w:p>
    <w:p w:rsidR="006C145C" w:rsidRDefault="00C62E5A">
      <w:pPr>
        <w:tabs>
          <w:tab w:val="center" w:pos="1469"/>
          <w:tab w:val="right" w:pos="9302"/>
        </w:tabs>
        <w:spacing w:after="129" w:line="270" w:lineRule="auto"/>
      </w:pPr>
      <w:r>
        <w:tab/>
      </w:r>
      <w:r>
        <w:rPr>
          <w:rFonts w:ascii="Arial" w:eastAsia="Arial" w:hAnsi="Arial" w:cs="Arial"/>
          <w:sz w:val="20"/>
        </w:rPr>
        <w:t xml:space="preserve">9.9.3 </w:t>
      </w:r>
      <w:r>
        <w:rPr>
          <w:rFonts w:ascii="Arial" w:eastAsia="Arial" w:hAnsi="Arial" w:cs="Arial"/>
          <w:sz w:val="20"/>
        </w:rPr>
        <w:tab/>
        <w:t xml:space="preserve">prova de regularidade com o Fundo de Garantia do Tempo de Serviço (FGTS); </w:t>
      </w:r>
    </w:p>
    <w:p w:rsidR="006C145C" w:rsidRDefault="00C62E5A">
      <w:pPr>
        <w:spacing w:after="129" w:line="270" w:lineRule="auto"/>
        <w:ind w:left="1141" w:right="54" w:hanging="8"/>
        <w:jc w:val="both"/>
      </w:pPr>
      <w:r>
        <w:rPr>
          <w:rFonts w:ascii="Arial" w:eastAsia="Arial" w:hAnsi="Arial" w:cs="Arial"/>
          <w:sz w:val="20"/>
        </w:rPr>
        <w:t xml:space="preserve">9.9.4 prova de inexistência de débitos inadimplidos </w:t>
      </w:r>
      <w:r>
        <w:rPr>
          <w:rFonts w:ascii="Arial" w:eastAsia="Arial" w:hAnsi="Arial" w:cs="Arial"/>
          <w:sz w:val="20"/>
        </w:rPr>
        <w:t xml:space="preserve">perante a Justiça do Trabalho, mediante a apresentação de certidão negativa ou positiva com efeito de negativa, nos termos do Título VII-A da Consolidação das Leis do Trabalho, aprovada pelo Decreto-Lei nº 5.452, de 1º de maio de 1943; </w:t>
      </w:r>
    </w:p>
    <w:p w:rsidR="006C145C" w:rsidRDefault="00C62E5A">
      <w:pPr>
        <w:spacing w:after="129" w:line="270" w:lineRule="auto"/>
        <w:ind w:left="1141" w:right="54" w:hanging="8"/>
        <w:jc w:val="both"/>
      </w:pPr>
      <w:r>
        <w:rPr>
          <w:rFonts w:ascii="Arial" w:eastAsia="Arial" w:hAnsi="Arial" w:cs="Arial"/>
          <w:sz w:val="20"/>
        </w:rPr>
        <w:t>9.9.5 prova de insc</w:t>
      </w:r>
      <w:r>
        <w:rPr>
          <w:rFonts w:ascii="Arial" w:eastAsia="Arial" w:hAnsi="Arial" w:cs="Arial"/>
          <w:sz w:val="20"/>
        </w:rPr>
        <w:t xml:space="preserve">rição no cadastro de contribuintes municipal, relativo ao domicílio ou sede do licitante, pertinente ao seu ramo de atividade e compatível com o objeto contratual;  </w:t>
      </w:r>
    </w:p>
    <w:p w:rsidR="006C145C" w:rsidRDefault="00C62E5A">
      <w:pPr>
        <w:spacing w:after="156" w:line="270" w:lineRule="auto"/>
        <w:ind w:left="1141" w:right="54" w:hanging="8"/>
        <w:jc w:val="both"/>
      </w:pPr>
      <w:r>
        <w:rPr>
          <w:rFonts w:ascii="Arial" w:eastAsia="Arial" w:hAnsi="Arial" w:cs="Arial"/>
          <w:sz w:val="20"/>
        </w:rPr>
        <w:t>9.9.6 prova de regularidade com a Fazenda Municipal do domicílio ou sede do licitante, rel</w:t>
      </w:r>
      <w:r>
        <w:rPr>
          <w:rFonts w:ascii="Arial" w:eastAsia="Arial" w:hAnsi="Arial" w:cs="Arial"/>
          <w:sz w:val="20"/>
        </w:rPr>
        <w:t xml:space="preserve">ativa à atividade em cujo exercício contrata ou concorre; </w:t>
      </w:r>
      <w:r>
        <w:rPr>
          <w:rFonts w:ascii="Arial" w:eastAsia="Arial" w:hAnsi="Arial" w:cs="Arial"/>
          <w:b/>
          <w:sz w:val="20"/>
        </w:rPr>
        <w:t xml:space="preserve"> </w:t>
      </w:r>
    </w:p>
    <w:p w:rsidR="006C145C" w:rsidRDefault="00C62E5A">
      <w:pPr>
        <w:pBdr>
          <w:top w:val="single" w:sz="4" w:space="0" w:color="1F497D"/>
          <w:left w:val="single" w:sz="4" w:space="0" w:color="1F497D"/>
          <w:right w:val="single" w:sz="4" w:space="0" w:color="1F497D"/>
        </w:pBdr>
        <w:shd w:val="clear" w:color="auto" w:fill="FFFFCC"/>
        <w:spacing w:after="171" w:line="250" w:lineRule="auto"/>
        <w:ind w:left="-5" w:right="51" w:hanging="10"/>
        <w:jc w:val="both"/>
      </w:pPr>
      <w:r>
        <w:rPr>
          <w:rFonts w:ascii="Arial" w:eastAsia="Arial" w:hAnsi="Arial" w:cs="Arial"/>
          <w:b/>
          <w:i/>
          <w:sz w:val="20"/>
        </w:rPr>
        <w:t>Nota explicativa:</w:t>
      </w:r>
      <w:r>
        <w:rPr>
          <w:rFonts w:ascii="Arial" w:eastAsia="Arial" w:hAnsi="Arial" w:cs="Arial"/>
          <w:i/>
          <w:sz w:val="20"/>
        </w:rPr>
        <w:t xml:space="preserve"> O artigo 193 do CTN preceitua que a prova da quitação de todos os tributos devidos dar-se-</w:t>
      </w:r>
      <w:r>
        <w:rPr>
          <w:rFonts w:ascii="Arial" w:eastAsia="Arial" w:hAnsi="Arial" w:cs="Arial"/>
          <w:i/>
          <w:sz w:val="20"/>
        </w:rPr>
        <w:t>á no âmbito da Fazenda Pública interessada, relativos à atividade em cujo exercício contrata ou concorre. A comprovação de inscrição no cadastro de contribuinte e regularidade fiscal correspondente (estadual ou municipal) considerará a natureza da atividad</w:t>
      </w:r>
      <w:r>
        <w:rPr>
          <w:rFonts w:ascii="Arial" w:eastAsia="Arial" w:hAnsi="Arial" w:cs="Arial"/>
          <w:i/>
          <w:sz w:val="20"/>
        </w:rPr>
        <w:t>e, objeto da licitação. A exigência de inscrição no cadastro municipal decorre do âmbito da tributação incidente sobre o objeto da licitação; tratando-se de serviços em geral, incide o ISS, tributo municipal. Alerte-se, apenas, que há serviços sobre os qua</w:t>
      </w:r>
      <w:r>
        <w:rPr>
          <w:rFonts w:ascii="Arial" w:eastAsia="Arial" w:hAnsi="Arial" w:cs="Arial"/>
          <w:i/>
          <w:sz w:val="20"/>
        </w:rPr>
        <w:t xml:space="preserve">is incide o ICMS (serviços de transporte intermunicipal e interestadual e serviços de comunicação). </w:t>
      </w:r>
    </w:p>
    <w:p w:rsidR="006C145C" w:rsidRDefault="00C62E5A">
      <w:pPr>
        <w:spacing w:after="183" w:line="270" w:lineRule="auto"/>
        <w:ind w:left="1283" w:right="54" w:hanging="8"/>
        <w:jc w:val="both"/>
      </w:pPr>
      <w:r>
        <w:rPr>
          <w:rFonts w:ascii="Arial" w:eastAsia="Arial" w:hAnsi="Arial" w:cs="Arial"/>
          <w:sz w:val="20"/>
        </w:rPr>
        <w:t xml:space="preserve">9.9.7 </w:t>
      </w:r>
      <w:r>
        <w:rPr>
          <w:rFonts w:ascii="Arial" w:eastAsia="Arial" w:hAnsi="Arial" w:cs="Arial"/>
          <w:sz w:val="20"/>
        </w:rPr>
        <w:t xml:space="preserve">caso o licitante seja considerado isento dos tributos municipais relacionados ao objeto licitatório, deverá comprovar tal condição mediante a apresentação de declaração da Fazenda Municipal do seu domicílio ou sede, ou outra equivalente, na forma da lei; </w:t>
      </w:r>
      <w:r>
        <w:rPr>
          <w:rFonts w:ascii="Arial" w:eastAsia="Arial" w:hAnsi="Arial" w:cs="Arial"/>
          <w:b/>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68" w:line="249" w:lineRule="auto"/>
        <w:ind w:left="152" w:right="57" w:hanging="10"/>
        <w:jc w:val="both"/>
      </w:pPr>
      <w:r>
        <w:rPr>
          <w:rFonts w:ascii="Arial" w:eastAsia="Arial" w:hAnsi="Arial" w:cs="Arial"/>
          <w:b/>
          <w:i/>
          <w:sz w:val="20"/>
        </w:rPr>
        <w:lastRenderedPageBreak/>
        <w:t xml:space="preserve">Nota Explicativa: </w:t>
      </w:r>
      <w:r>
        <w:rPr>
          <w:rFonts w:ascii="Arial" w:eastAsia="Arial" w:hAnsi="Arial" w:cs="Arial"/>
          <w:i/>
          <w:sz w:val="20"/>
        </w:rPr>
        <w:t xml:space="preserve">Dispõe a Instrução Normativa SEGES/MP nº 3, de 2018, que: “Art. 13. A Regularidade Fiscal Estadual, Distrital e Municipal, junto ao SICAF, do fornecedor considerado isento dos tributos estaduais ou municipais, será comprovada mediante a </w:t>
      </w:r>
      <w:r>
        <w:rPr>
          <w:rFonts w:ascii="Arial" w:eastAsia="Arial" w:hAnsi="Arial" w:cs="Arial"/>
          <w:i/>
          <w:sz w:val="20"/>
        </w:rPr>
        <w:t xml:space="preserve">inserção no sistema da declaração da Fazenda Estadual ou da Fazenda Municipal do domicílio ou sede do fornecedor, ou outra equivalente, na forma da lei.”.  </w:t>
      </w:r>
    </w:p>
    <w:p w:rsidR="006C145C" w:rsidRDefault="00C62E5A">
      <w:pPr>
        <w:spacing w:line="269" w:lineRule="auto"/>
        <w:ind w:left="1275" w:right="55"/>
        <w:jc w:val="both"/>
      </w:pPr>
      <w:r>
        <w:rPr>
          <w:rFonts w:ascii="Arial" w:eastAsia="Arial" w:hAnsi="Arial" w:cs="Arial"/>
          <w:sz w:val="20"/>
          <w:shd w:val="clear" w:color="auto" w:fill="D3D3D3"/>
        </w:rPr>
        <w:t xml:space="preserve">9.9.8 </w:t>
      </w:r>
      <w:r>
        <w:rPr>
          <w:rFonts w:ascii="Arial" w:eastAsia="Arial" w:hAnsi="Arial" w:cs="Arial"/>
          <w:i/>
          <w:color w:val="FF0000"/>
          <w:sz w:val="20"/>
          <w:shd w:val="clear" w:color="auto" w:fill="D3D3D3"/>
        </w:rPr>
        <w:t>Quando se tratar da subcontratação prevista no art. 48, II, da Lei Complementar</w:t>
      </w:r>
      <w:r>
        <w:rPr>
          <w:rFonts w:ascii="Arial" w:eastAsia="Arial" w:hAnsi="Arial" w:cs="Arial"/>
          <w:i/>
          <w:color w:val="FF0000"/>
          <w:sz w:val="20"/>
        </w:rPr>
        <w:t xml:space="preserve"> </w:t>
      </w:r>
      <w:r>
        <w:rPr>
          <w:rFonts w:ascii="Arial" w:eastAsia="Arial" w:hAnsi="Arial" w:cs="Arial"/>
          <w:i/>
          <w:color w:val="FF0000"/>
          <w:sz w:val="20"/>
          <w:shd w:val="clear" w:color="auto" w:fill="D3D3D3"/>
        </w:rPr>
        <w:t>n. 123, de 20</w:t>
      </w:r>
      <w:r>
        <w:rPr>
          <w:rFonts w:ascii="Arial" w:eastAsia="Arial" w:hAnsi="Arial" w:cs="Arial"/>
          <w:i/>
          <w:color w:val="FF0000"/>
          <w:sz w:val="20"/>
          <w:shd w:val="clear" w:color="auto" w:fill="D3D3D3"/>
        </w:rPr>
        <w:t>06, a licitante melhor classificada deverá, também, apresentar a</w:t>
      </w:r>
      <w:r>
        <w:rPr>
          <w:rFonts w:ascii="Arial" w:eastAsia="Arial" w:hAnsi="Arial" w:cs="Arial"/>
          <w:i/>
          <w:color w:val="FF0000"/>
          <w:sz w:val="20"/>
        </w:rPr>
        <w:t xml:space="preserve"> </w:t>
      </w:r>
      <w:r>
        <w:rPr>
          <w:rFonts w:ascii="Arial" w:eastAsia="Arial" w:hAnsi="Arial" w:cs="Arial"/>
          <w:i/>
          <w:color w:val="FF0000"/>
          <w:sz w:val="20"/>
          <w:shd w:val="clear" w:color="auto" w:fill="D3D3D3"/>
        </w:rPr>
        <w:t>documentação de regularidade fiscal e trabalhista das microempresas e/ou empresas de</w:t>
      </w:r>
      <w:r>
        <w:rPr>
          <w:rFonts w:ascii="Arial" w:eastAsia="Arial" w:hAnsi="Arial" w:cs="Arial"/>
          <w:i/>
          <w:color w:val="FF0000"/>
          <w:sz w:val="20"/>
        </w:rPr>
        <w:t xml:space="preserve"> </w:t>
      </w:r>
      <w:r>
        <w:rPr>
          <w:rFonts w:ascii="Arial" w:eastAsia="Arial" w:hAnsi="Arial" w:cs="Arial"/>
          <w:i/>
          <w:color w:val="FF0000"/>
          <w:sz w:val="20"/>
          <w:shd w:val="clear" w:color="auto" w:fill="D3D3D3"/>
        </w:rPr>
        <w:t>pequeno porte que serão subcontratadas no decorrer da execução do contrato, ainda que</w:t>
      </w:r>
      <w:r>
        <w:rPr>
          <w:rFonts w:ascii="Arial" w:eastAsia="Arial" w:hAnsi="Arial" w:cs="Arial"/>
          <w:i/>
          <w:color w:val="FF0000"/>
          <w:sz w:val="20"/>
        </w:rPr>
        <w:t xml:space="preserve"> </w:t>
      </w:r>
      <w:r>
        <w:rPr>
          <w:rFonts w:ascii="Arial" w:eastAsia="Arial" w:hAnsi="Arial" w:cs="Arial"/>
          <w:i/>
          <w:color w:val="FF0000"/>
          <w:sz w:val="20"/>
          <w:shd w:val="clear" w:color="auto" w:fill="D3D3D3"/>
        </w:rPr>
        <w:t>exista alguma restri</w:t>
      </w:r>
      <w:r>
        <w:rPr>
          <w:rFonts w:ascii="Arial" w:eastAsia="Arial" w:hAnsi="Arial" w:cs="Arial"/>
          <w:i/>
          <w:color w:val="FF0000"/>
          <w:sz w:val="20"/>
          <w:shd w:val="clear" w:color="auto" w:fill="D3D3D3"/>
        </w:rPr>
        <w:t>ção, aplicando-se o prazo de regularização previsto no art. 4º, §1º do</w:t>
      </w:r>
      <w:r>
        <w:rPr>
          <w:rFonts w:ascii="Arial" w:eastAsia="Arial" w:hAnsi="Arial" w:cs="Arial"/>
          <w:i/>
          <w:color w:val="FF0000"/>
          <w:sz w:val="20"/>
        </w:rPr>
        <w:t xml:space="preserve"> </w:t>
      </w:r>
      <w:r>
        <w:rPr>
          <w:rFonts w:ascii="Arial" w:eastAsia="Arial" w:hAnsi="Arial" w:cs="Arial"/>
          <w:i/>
          <w:color w:val="FF0000"/>
          <w:sz w:val="20"/>
          <w:shd w:val="clear" w:color="auto" w:fill="D3D3D3"/>
        </w:rPr>
        <w:t>Decreto nº 8.538, de 2015.</w:t>
      </w:r>
      <w:r>
        <w:rPr>
          <w:rFonts w:ascii="Arial" w:eastAsia="Arial" w:hAnsi="Arial" w:cs="Arial"/>
          <w:i/>
          <w:color w:val="FF0000"/>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72" w:line="249" w:lineRule="auto"/>
        <w:ind w:left="152" w:right="57" w:hanging="10"/>
        <w:jc w:val="both"/>
      </w:pPr>
      <w:r>
        <w:rPr>
          <w:rFonts w:ascii="Arial" w:eastAsia="Arial" w:hAnsi="Arial" w:cs="Arial"/>
          <w:b/>
          <w:i/>
          <w:sz w:val="20"/>
        </w:rPr>
        <w:t>Nota Explicativa</w:t>
      </w:r>
      <w:r>
        <w:rPr>
          <w:rFonts w:ascii="Arial" w:eastAsia="Arial" w:hAnsi="Arial" w:cs="Arial"/>
          <w:i/>
          <w:sz w:val="20"/>
        </w:rPr>
        <w:t>: O subitem acima deverá ser incluído quando a licitação contiver a previsão de subcontratação, conforme art. 7º do Decreto n. 8.538, de 201</w:t>
      </w:r>
      <w:r>
        <w:rPr>
          <w:rFonts w:ascii="Arial" w:eastAsia="Arial" w:hAnsi="Arial" w:cs="Arial"/>
          <w:i/>
          <w:sz w:val="20"/>
        </w:rPr>
        <w:t xml:space="preserve">5. Insta observar que não se admite a sub-rogação completa ou da parcela principal da contratação (art. 7º, inciso I). </w:t>
      </w:r>
    </w:p>
    <w:p w:rsidR="006C145C" w:rsidRDefault="00C62E5A">
      <w:pPr>
        <w:spacing w:after="137"/>
        <w:ind w:left="567"/>
      </w:pPr>
      <w:r>
        <w:rPr>
          <w:rFonts w:ascii="Arial" w:eastAsia="Arial" w:hAnsi="Arial" w:cs="Arial"/>
          <w:b/>
          <w:sz w:val="20"/>
        </w:rPr>
        <w:t xml:space="preserve"> </w:t>
      </w:r>
    </w:p>
    <w:p w:rsidR="006C145C" w:rsidRDefault="00C62E5A">
      <w:pPr>
        <w:tabs>
          <w:tab w:val="center" w:pos="2718"/>
        </w:tabs>
        <w:spacing w:after="185" w:line="249" w:lineRule="auto"/>
      </w:pPr>
      <w:r>
        <w:rPr>
          <w:rFonts w:ascii="Arial" w:eastAsia="Arial" w:hAnsi="Arial" w:cs="Arial"/>
          <w:sz w:val="20"/>
        </w:rPr>
        <w:t xml:space="preserve">9.10 </w:t>
      </w:r>
      <w:r>
        <w:rPr>
          <w:rFonts w:ascii="Arial" w:eastAsia="Arial" w:hAnsi="Arial" w:cs="Arial"/>
          <w:sz w:val="20"/>
        </w:rPr>
        <w:tab/>
      </w:r>
      <w:r>
        <w:rPr>
          <w:rFonts w:ascii="Arial" w:eastAsia="Arial" w:hAnsi="Arial" w:cs="Arial"/>
          <w:b/>
          <w:sz w:val="20"/>
        </w:rPr>
        <w:t xml:space="preserve"> Qualificação Econômico-Financeira: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74" w:line="249" w:lineRule="auto"/>
        <w:ind w:left="152" w:right="57" w:hanging="10"/>
        <w:jc w:val="both"/>
      </w:pPr>
      <w:r>
        <w:rPr>
          <w:rFonts w:ascii="Arial" w:eastAsia="Arial" w:hAnsi="Arial" w:cs="Arial"/>
          <w:b/>
          <w:i/>
          <w:sz w:val="20"/>
        </w:rPr>
        <w:t xml:space="preserve">Nota Explicativa: </w:t>
      </w:r>
      <w:r>
        <w:rPr>
          <w:rFonts w:ascii="Arial" w:eastAsia="Arial" w:hAnsi="Arial" w:cs="Arial"/>
          <w:i/>
          <w:sz w:val="20"/>
        </w:rPr>
        <w:t>Reitere-se o quanto já dito, de que a exigência pode restringir-</w:t>
      </w:r>
      <w:r>
        <w:rPr>
          <w:rFonts w:ascii="Arial" w:eastAsia="Arial" w:hAnsi="Arial" w:cs="Arial"/>
          <w:i/>
          <w:sz w:val="20"/>
        </w:rPr>
        <w:t xml:space="preserve">se a alguns itens, como, por exemplo, somente aos itens não exclusivos a microempresa e empresas de pequeno porte, ou mesmo não ser exigida para nenhum deles, caso em que deve ser suprimida do edital. </w:t>
      </w:r>
    </w:p>
    <w:p w:rsidR="006C145C" w:rsidRDefault="00C62E5A">
      <w:pPr>
        <w:spacing w:after="17"/>
        <w:ind w:left="1995"/>
      </w:pPr>
      <w:r>
        <w:rPr>
          <w:rFonts w:ascii="Arial" w:eastAsia="Arial" w:hAnsi="Arial" w:cs="Arial"/>
          <w:sz w:val="20"/>
        </w:rPr>
        <w:t xml:space="preserve"> </w:t>
      </w:r>
    </w:p>
    <w:p w:rsidR="006C145C" w:rsidRDefault="00C62E5A">
      <w:pPr>
        <w:spacing w:after="3"/>
        <w:ind w:left="10" w:right="105" w:hanging="10"/>
        <w:jc w:val="right"/>
      </w:pPr>
      <w:r>
        <w:rPr>
          <w:rFonts w:ascii="Arial" w:eastAsia="Arial" w:hAnsi="Arial" w:cs="Arial"/>
          <w:sz w:val="20"/>
        </w:rPr>
        <w:t>9.10.1 certidão negativa de falência, recuperação ju</w:t>
      </w:r>
      <w:r>
        <w:rPr>
          <w:rFonts w:ascii="Arial" w:eastAsia="Arial" w:hAnsi="Arial" w:cs="Arial"/>
          <w:sz w:val="20"/>
        </w:rPr>
        <w:t xml:space="preserve">dicial ou recuperação extrajudicial </w:t>
      </w:r>
    </w:p>
    <w:p w:rsidR="006C145C" w:rsidRDefault="00C62E5A">
      <w:pPr>
        <w:spacing w:after="7" w:line="270" w:lineRule="auto"/>
        <w:ind w:left="5" w:right="54" w:hanging="8"/>
        <w:jc w:val="both"/>
      </w:pPr>
      <w:r>
        <w:rPr>
          <w:rFonts w:ascii="Arial" w:eastAsia="Arial" w:hAnsi="Arial" w:cs="Arial"/>
          <w:sz w:val="20"/>
        </w:rPr>
        <w:t xml:space="preserve">expedida pelo distribuidor da sede do licitante; </w:t>
      </w:r>
    </w:p>
    <w:p w:rsidR="006C145C" w:rsidRDefault="00C62E5A">
      <w:pPr>
        <w:spacing w:after="17"/>
        <w:ind w:left="1995"/>
      </w:pPr>
      <w:r>
        <w:rPr>
          <w:rFonts w:ascii="Arial" w:eastAsia="Arial" w:hAnsi="Arial" w:cs="Arial"/>
          <w:sz w:val="20"/>
        </w:rPr>
        <w:t xml:space="preserve"> </w:t>
      </w:r>
    </w:p>
    <w:p w:rsidR="006C145C" w:rsidRDefault="00C62E5A">
      <w:pPr>
        <w:spacing w:after="152" w:line="270" w:lineRule="auto"/>
        <w:ind w:left="1995" w:right="54" w:hanging="720"/>
        <w:jc w:val="both"/>
      </w:pPr>
      <w:r>
        <w:rPr>
          <w:rFonts w:ascii="Arial" w:eastAsia="Arial" w:hAnsi="Arial" w:cs="Arial"/>
          <w:sz w:val="20"/>
        </w:rPr>
        <w:t>9.10.1.1 No caso de certidão positiva de recuperação judicial ou extrajudicial, o licitante deverá apresentar a comprovação de que o respectivo plano de recuperação fo</w:t>
      </w:r>
      <w:r>
        <w:rPr>
          <w:rFonts w:ascii="Arial" w:eastAsia="Arial" w:hAnsi="Arial" w:cs="Arial"/>
          <w:sz w:val="20"/>
        </w:rPr>
        <w:t xml:space="preserve">i acolhido judicialmente, na forma do art. 58, da Lei n.º 11.101, de 09 de fevereiro de 2005, sob pena de inabilitação, devendo, ainda, comprovar todos os demais requisitos de habilitação.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4" w:line="250" w:lineRule="auto"/>
        <w:ind w:left="152" w:right="56" w:hanging="10"/>
        <w:jc w:val="both"/>
      </w:pPr>
      <w:r>
        <w:rPr>
          <w:rFonts w:ascii="Arial" w:eastAsia="Arial" w:hAnsi="Arial" w:cs="Arial"/>
          <w:b/>
          <w:i/>
          <w:sz w:val="20"/>
        </w:rPr>
        <w:t xml:space="preserve">Nota explicativa: </w:t>
      </w:r>
      <w:r>
        <w:rPr>
          <w:rFonts w:ascii="Arial" w:eastAsia="Arial" w:hAnsi="Arial" w:cs="Arial"/>
          <w:i/>
          <w:sz w:val="20"/>
        </w:rPr>
        <w:t xml:space="preserve">De acordo com o Parecer nº 2/2016/CPLCA/CGU/AGU aprovado pelo ConsultorGeral da União, a certidão negativa de recuperação judicial e extrajudicial deve ser exigida nos contratos com dedicação exclusiva de mão-de-obra.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0"/>
        <w:ind w:left="142" w:right="56"/>
      </w:pPr>
      <w:r>
        <w:rPr>
          <w:rFonts w:ascii="Arial" w:eastAsia="Arial" w:hAnsi="Arial" w:cs="Arial"/>
          <w:i/>
          <w:sz w:val="20"/>
        </w:rPr>
        <w:t xml:space="preserve">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4" w:line="250" w:lineRule="auto"/>
        <w:ind w:left="152" w:right="56" w:hanging="10"/>
        <w:jc w:val="both"/>
      </w:pPr>
      <w:r>
        <w:rPr>
          <w:rFonts w:ascii="Arial" w:eastAsia="Arial" w:hAnsi="Arial" w:cs="Arial"/>
          <w:i/>
          <w:sz w:val="20"/>
        </w:rPr>
        <w:t xml:space="preserve">Sem embargo disso, vale destacar a </w:t>
      </w:r>
      <w:r>
        <w:rPr>
          <w:rFonts w:ascii="Arial" w:eastAsia="Arial" w:hAnsi="Arial" w:cs="Arial"/>
          <w:i/>
          <w:sz w:val="20"/>
        </w:rPr>
        <w:t xml:space="preserve">existência de posicionamento jurídico em sentido diverso, constante do Parecer nº 04/2015/CPLC/DEPCONSU/PGF/AGU, aprovado pelo Procurador-Geral Federal, que apresenta, dentre outras, as seguintes conclusões: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4" w:line="250" w:lineRule="auto"/>
        <w:ind w:left="152" w:right="56" w:hanging="10"/>
        <w:jc w:val="both"/>
      </w:pPr>
      <w:r>
        <w:rPr>
          <w:rFonts w:ascii="Arial" w:eastAsia="Arial" w:hAnsi="Arial" w:cs="Arial"/>
          <w:i/>
          <w:sz w:val="20"/>
        </w:rPr>
        <w:t xml:space="preserve">[...] </w:t>
      </w:r>
    </w:p>
    <w:p w:rsidR="006C145C" w:rsidRDefault="00C62E5A">
      <w:pPr>
        <w:numPr>
          <w:ilvl w:val="0"/>
          <w:numId w:val="8"/>
        </w:numPr>
        <w:pBdr>
          <w:top w:val="single" w:sz="4" w:space="0" w:color="000000"/>
          <w:left w:val="single" w:sz="4" w:space="0" w:color="000000"/>
          <w:bottom w:val="single" w:sz="4" w:space="0" w:color="000000"/>
          <w:right w:val="single" w:sz="4" w:space="0" w:color="000000"/>
        </w:pBdr>
        <w:shd w:val="clear" w:color="auto" w:fill="FFFFCC"/>
        <w:spacing w:after="4" w:line="250" w:lineRule="auto"/>
        <w:ind w:right="56" w:hanging="10"/>
        <w:jc w:val="both"/>
      </w:pPr>
      <w:r>
        <w:rPr>
          <w:rFonts w:ascii="Arial" w:eastAsia="Arial" w:hAnsi="Arial" w:cs="Arial"/>
          <w:i/>
          <w:sz w:val="20"/>
        </w:rPr>
        <w:t>A certidão negativa de recuperação judi</w:t>
      </w:r>
      <w:r>
        <w:rPr>
          <w:rFonts w:ascii="Arial" w:eastAsia="Arial" w:hAnsi="Arial" w:cs="Arial"/>
          <w:i/>
          <w:sz w:val="20"/>
        </w:rPr>
        <w:t>cial é exigível por força do art. 31, 11, da Lei 8.666, de 1993, porém a certidão positiva não implica a imediata inabilitação, cabendo ao pregoeiro ou â comissão de licitação realizar diligências para avaliar a real situação de capacidade econômico-financ</w:t>
      </w:r>
      <w:r>
        <w:rPr>
          <w:rFonts w:ascii="Arial" w:eastAsia="Arial" w:hAnsi="Arial" w:cs="Arial"/>
          <w:i/>
          <w:sz w:val="20"/>
        </w:rPr>
        <w:t xml:space="preserve">eira; </w:t>
      </w:r>
    </w:p>
    <w:p w:rsidR="006C145C" w:rsidRDefault="00C62E5A">
      <w:pPr>
        <w:numPr>
          <w:ilvl w:val="0"/>
          <w:numId w:val="8"/>
        </w:numPr>
        <w:pBdr>
          <w:top w:val="single" w:sz="4" w:space="0" w:color="000000"/>
          <w:left w:val="single" w:sz="4" w:space="0" w:color="000000"/>
          <w:bottom w:val="single" w:sz="4" w:space="0" w:color="000000"/>
          <w:right w:val="single" w:sz="4" w:space="0" w:color="000000"/>
        </w:pBdr>
        <w:shd w:val="clear" w:color="auto" w:fill="FFFFCC"/>
        <w:spacing w:after="4" w:line="250" w:lineRule="auto"/>
        <w:ind w:right="56" w:hanging="10"/>
        <w:jc w:val="both"/>
      </w:pPr>
      <w:r>
        <w:rPr>
          <w:rFonts w:ascii="Arial" w:eastAsia="Arial" w:hAnsi="Arial" w:cs="Arial"/>
          <w:i/>
          <w:sz w:val="20"/>
        </w:rPr>
        <w:t xml:space="preserve">Caso a certidão seja positiva de recuperação, caberá ao órgão processante da licitação diligenciar no sentido de aferir se a empresa em recuperação já teve seu plano de recuperação acolhido judicialmente, na forma do art. 58 da Lei 11.101, de 2005; </w:t>
      </w:r>
    </w:p>
    <w:p w:rsidR="006C145C" w:rsidRDefault="00C62E5A">
      <w:pPr>
        <w:numPr>
          <w:ilvl w:val="0"/>
          <w:numId w:val="8"/>
        </w:numPr>
        <w:pBdr>
          <w:top w:val="single" w:sz="4" w:space="0" w:color="000000"/>
          <w:left w:val="single" w:sz="4" w:space="0" w:color="000000"/>
          <w:bottom w:val="single" w:sz="4" w:space="0" w:color="000000"/>
          <w:right w:val="single" w:sz="4" w:space="0" w:color="000000"/>
        </w:pBdr>
        <w:shd w:val="clear" w:color="auto" w:fill="FFFFCC"/>
        <w:spacing w:after="4" w:line="250" w:lineRule="auto"/>
        <w:ind w:right="56" w:hanging="10"/>
        <w:jc w:val="both"/>
      </w:pPr>
      <w:r>
        <w:rPr>
          <w:rFonts w:ascii="Arial" w:eastAsia="Arial" w:hAnsi="Arial" w:cs="Arial"/>
          <w:i/>
          <w:sz w:val="20"/>
        </w:rPr>
        <w:t xml:space="preserve">Se a empresa postulante à recuperação não obteve o acolhimento judicial do seu plano, não há demonstração da sua viabilidade económica, não devendo ser habilitada no certame licitatório; </w:t>
      </w:r>
    </w:p>
    <w:p w:rsidR="006C145C" w:rsidRDefault="00C62E5A">
      <w:pPr>
        <w:numPr>
          <w:ilvl w:val="0"/>
          <w:numId w:val="8"/>
        </w:numPr>
        <w:pBdr>
          <w:top w:val="single" w:sz="4" w:space="0" w:color="000000"/>
          <w:left w:val="single" w:sz="4" w:space="0" w:color="000000"/>
          <w:bottom w:val="single" w:sz="4" w:space="0" w:color="000000"/>
          <w:right w:val="single" w:sz="4" w:space="0" w:color="000000"/>
        </w:pBdr>
        <w:shd w:val="clear" w:color="auto" w:fill="FFFFCC"/>
        <w:spacing w:after="4" w:line="250" w:lineRule="auto"/>
        <w:ind w:left="-5" w:right="56" w:hanging="10"/>
        <w:jc w:val="both"/>
      </w:pPr>
      <w:r>
        <w:rPr>
          <w:rFonts w:ascii="Arial" w:eastAsia="Arial" w:hAnsi="Arial" w:cs="Arial"/>
          <w:i/>
          <w:sz w:val="20"/>
        </w:rPr>
        <w:t xml:space="preserve">A empresa em recuperação judicial com plano de recuperação acolhido, como qualquer licitante, deve demonstrar os demais requisitos para a habilitação econômico-financeira. </w:t>
      </w:r>
    </w:p>
    <w:p w:rsidR="006C145C" w:rsidRDefault="00C62E5A">
      <w:pPr>
        <w:numPr>
          <w:ilvl w:val="0"/>
          <w:numId w:val="8"/>
        </w:numPr>
        <w:pBdr>
          <w:top w:val="single" w:sz="4" w:space="0" w:color="000000"/>
          <w:left w:val="single" w:sz="4" w:space="0" w:color="000000"/>
          <w:bottom w:val="single" w:sz="4" w:space="0" w:color="000000"/>
          <w:right w:val="single" w:sz="4" w:space="0" w:color="000000"/>
        </w:pBdr>
        <w:shd w:val="clear" w:color="auto" w:fill="FFFFCC"/>
        <w:spacing w:after="4" w:line="250" w:lineRule="auto"/>
        <w:ind w:left="-5" w:right="56" w:hanging="10"/>
        <w:jc w:val="both"/>
      </w:pPr>
      <w:r>
        <w:rPr>
          <w:rFonts w:ascii="Arial" w:eastAsia="Arial" w:hAnsi="Arial" w:cs="Arial"/>
          <w:i/>
          <w:sz w:val="20"/>
        </w:rPr>
        <w:t>É aplicável à empresa em recuperação extrajudicial, com plano de recuperação homolo</w:t>
      </w:r>
      <w:r>
        <w:rPr>
          <w:rFonts w:ascii="Arial" w:eastAsia="Arial" w:hAnsi="Arial" w:cs="Arial"/>
          <w:i/>
          <w:sz w:val="20"/>
        </w:rPr>
        <w:t xml:space="preserve">gado judicialmente, a possibilidade de participar em licitações públicas, nos moldes da empresa em recuperação judicial.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0"/>
        <w:ind w:left="-15" w:right="56"/>
      </w:pPr>
      <w:r>
        <w:rPr>
          <w:rFonts w:ascii="Arial" w:eastAsia="Arial" w:hAnsi="Arial" w:cs="Arial"/>
          <w:i/>
          <w:sz w:val="20"/>
        </w:rPr>
        <w:t xml:space="preserve">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4" w:line="250" w:lineRule="auto"/>
        <w:ind w:left="-5" w:right="56" w:hanging="10"/>
        <w:jc w:val="both"/>
      </w:pPr>
      <w:r>
        <w:rPr>
          <w:rFonts w:ascii="Arial" w:eastAsia="Arial" w:hAnsi="Arial" w:cs="Arial"/>
          <w:i/>
          <w:sz w:val="20"/>
        </w:rPr>
        <w:lastRenderedPageBreak/>
        <w:t>Nessa mesma linha, decidiu o Tribunal de Contas da União, no Acórdão n.º 5686/2017 - Primeira Câmara, que “a vedação da participação</w:t>
      </w:r>
      <w:r>
        <w:rPr>
          <w:rFonts w:ascii="Arial" w:eastAsia="Arial" w:hAnsi="Arial" w:cs="Arial"/>
          <w:i/>
          <w:sz w:val="20"/>
        </w:rPr>
        <w:t xml:space="preserve"> de empresas em recuperação judicial, com plano de recuperação acolhido judicialmente, e empresas em recuperação extrajudicial, com plano de recuperação homologado judicialmente, em certames licitatórios, está em desacordo com o entendimento do TCU (Acórdã</w:t>
      </w:r>
      <w:r>
        <w:rPr>
          <w:rFonts w:ascii="Arial" w:eastAsia="Arial" w:hAnsi="Arial" w:cs="Arial"/>
          <w:i/>
          <w:sz w:val="20"/>
        </w:rPr>
        <w:t xml:space="preserve">o n. 658/2017 - Plenário) e da AGU (Parecer n. 4/2015/CPLC/DEPCONSU/PGF/AGU)”.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0"/>
        <w:ind w:left="-15" w:right="56"/>
      </w:pPr>
      <w:r>
        <w:rPr>
          <w:rFonts w:ascii="Arial" w:eastAsia="Arial" w:hAnsi="Arial" w:cs="Arial"/>
          <w:i/>
          <w:sz w:val="20"/>
        </w:rPr>
        <w:t xml:space="preserve">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4" w:line="250" w:lineRule="auto"/>
        <w:ind w:left="-5" w:right="56" w:hanging="10"/>
        <w:jc w:val="both"/>
      </w:pPr>
      <w:r>
        <w:rPr>
          <w:rFonts w:ascii="Arial" w:eastAsia="Arial" w:hAnsi="Arial" w:cs="Arial"/>
          <w:i/>
          <w:sz w:val="20"/>
        </w:rPr>
        <w:t>Igualmente, o Superior Tribunal de Justiça, aderindo ao entendimento do Parecer nº 04/2015/CPLC/DEPCONSU/PGF/AGU, proferiu recente decisão no sentido de que a exigência de ap</w:t>
      </w:r>
      <w:r>
        <w:rPr>
          <w:rFonts w:ascii="Arial" w:eastAsia="Arial" w:hAnsi="Arial" w:cs="Arial"/>
          <w:i/>
          <w:sz w:val="20"/>
        </w:rPr>
        <w:t>resentação de certidão negativa de recuperação judicial deve ser relativizada, a fim de possibilitar à empresa em recuperação judicial participar de licitações públicas, desde que demonstre, na fase de habilitação, a sua capacidade econômica, nos seguintes</w:t>
      </w:r>
      <w:r>
        <w:rPr>
          <w:rFonts w:ascii="Arial" w:eastAsia="Arial" w:hAnsi="Arial" w:cs="Arial"/>
          <w:i/>
          <w:sz w:val="20"/>
        </w:rPr>
        <w:t xml:space="preserve"> termos: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4" w:line="250" w:lineRule="auto"/>
        <w:ind w:left="-5" w:right="56" w:hanging="10"/>
        <w:jc w:val="both"/>
      </w:pPr>
      <w:r>
        <w:rPr>
          <w:rFonts w:ascii="Arial" w:eastAsia="Arial" w:hAnsi="Arial" w:cs="Arial"/>
          <w:i/>
          <w:sz w:val="20"/>
        </w:rPr>
        <w:t xml:space="preserve">ADMINISTRATIVO. LICITAÇÃO. EMPRESA EM RECUPERAÇÃO JUDICIAL. PARTICIPAÇÃO. POSSIBILIDADE. CERTIDÃO DE FALÊNCIA OU CONCORDATA. INTERPRETAÇÃO EXTENSIVA. DESCABIMENTO. APTIDÃO ECONÔMICO-FINANCEIRA. COMPROVAÇÃO. OUTROS MEIOS. NECESSIDADE.  </w:t>
      </w:r>
    </w:p>
    <w:p w:rsidR="006C145C" w:rsidRDefault="00C62E5A">
      <w:pPr>
        <w:numPr>
          <w:ilvl w:val="0"/>
          <w:numId w:val="9"/>
        </w:numPr>
        <w:pBdr>
          <w:top w:val="single" w:sz="4" w:space="0" w:color="000000"/>
          <w:left w:val="single" w:sz="4" w:space="0" w:color="000000"/>
          <w:bottom w:val="single" w:sz="4" w:space="0" w:color="000000"/>
          <w:right w:val="single" w:sz="4" w:space="0" w:color="000000"/>
        </w:pBdr>
        <w:shd w:val="clear" w:color="auto" w:fill="FFFFCC"/>
        <w:spacing w:after="4" w:line="250" w:lineRule="auto"/>
        <w:ind w:left="-5" w:right="56" w:hanging="10"/>
        <w:jc w:val="both"/>
      </w:pPr>
      <w:r>
        <w:rPr>
          <w:rFonts w:ascii="Arial" w:eastAsia="Arial" w:hAnsi="Arial" w:cs="Arial"/>
          <w:i/>
          <w:sz w:val="20"/>
        </w:rPr>
        <w:t>Conforme estabelecido pelo Plenário do STJ, "aos recursos interpostos com fundamento no CPC/1973 (relativos a decisões publicadas até 17 de março de 2016) devem ser exigidos os requisitos de admissibilidade na forma nele prevista, com as interpretações dad</w:t>
      </w:r>
      <w:r>
        <w:rPr>
          <w:rFonts w:ascii="Arial" w:eastAsia="Arial" w:hAnsi="Arial" w:cs="Arial"/>
          <w:i/>
          <w:sz w:val="20"/>
        </w:rPr>
        <w:t xml:space="preserve">as até então pela jurisprudência do Superior Tribunal de Justiça" (Enunciado Administrativo n. 2). </w:t>
      </w:r>
    </w:p>
    <w:p w:rsidR="006C145C" w:rsidRDefault="00C62E5A">
      <w:pPr>
        <w:numPr>
          <w:ilvl w:val="0"/>
          <w:numId w:val="9"/>
        </w:numPr>
        <w:pBdr>
          <w:top w:val="single" w:sz="4" w:space="0" w:color="000000"/>
          <w:left w:val="single" w:sz="4" w:space="0" w:color="000000"/>
          <w:bottom w:val="single" w:sz="4" w:space="0" w:color="000000"/>
          <w:right w:val="single" w:sz="4" w:space="0" w:color="000000"/>
        </w:pBdr>
        <w:shd w:val="clear" w:color="auto" w:fill="FFFFCC"/>
        <w:spacing w:after="4" w:line="250" w:lineRule="auto"/>
        <w:ind w:left="-5" w:right="56" w:hanging="10"/>
        <w:jc w:val="both"/>
      </w:pPr>
      <w:r>
        <w:rPr>
          <w:rFonts w:ascii="Arial" w:eastAsia="Arial" w:hAnsi="Arial" w:cs="Arial"/>
          <w:i/>
          <w:sz w:val="20"/>
        </w:rPr>
        <w:t>Conquanto a Lei n. 11.101/2005 tenha substituído a figura da concordata pelos institutos da recuperação judicial e extrajudicial, o art. 31 da Lei n. 8.666/</w:t>
      </w:r>
      <w:r>
        <w:rPr>
          <w:rFonts w:ascii="Arial" w:eastAsia="Arial" w:hAnsi="Arial" w:cs="Arial"/>
          <w:i/>
          <w:sz w:val="20"/>
        </w:rPr>
        <w:t xml:space="preserve">1993 não teve o texto alterado para se amoldar à nova sistemática, tampouco foi derrogado. </w:t>
      </w:r>
    </w:p>
    <w:p w:rsidR="006C145C" w:rsidRDefault="00C62E5A">
      <w:pPr>
        <w:numPr>
          <w:ilvl w:val="0"/>
          <w:numId w:val="9"/>
        </w:numPr>
        <w:pBdr>
          <w:top w:val="single" w:sz="4" w:space="0" w:color="000000"/>
          <w:left w:val="single" w:sz="4" w:space="0" w:color="000000"/>
          <w:bottom w:val="single" w:sz="4" w:space="0" w:color="000000"/>
          <w:right w:val="single" w:sz="4" w:space="0" w:color="000000"/>
        </w:pBdr>
        <w:shd w:val="clear" w:color="auto" w:fill="FFFFCC"/>
        <w:spacing w:after="4" w:line="250" w:lineRule="auto"/>
        <w:ind w:left="-5" w:right="56" w:hanging="10"/>
        <w:jc w:val="both"/>
      </w:pPr>
      <w:r>
        <w:rPr>
          <w:rFonts w:ascii="Arial" w:eastAsia="Arial" w:hAnsi="Arial" w:cs="Arial"/>
          <w:i/>
          <w:sz w:val="20"/>
        </w:rPr>
        <w:t>À luz do princípio da legalidade, "é vedado à Administração levar a termo interpretação extensiva ou restritiva de direitos, quando a lei assim não o dispuser de fo</w:t>
      </w:r>
      <w:r>
        <w:rPr>
          <w:rFonts w:ascii="Arial" w:eastAsia="Arial" w:hAnsi="Arial" w:cs="Arial"/>
          <w:i/>
          <w:sz w:val="20"/>
        </w:rPr>
        <w:t xml:space="preserve">rma expressa" (AgRg no RMS 44099/ES, Rel. Min. BENEDITO GONÇALVES, PRIMEIRA TURMA, julgado em 03/03/2016, DJe 10/03/2016). </w:t>
      </w:r>
    </w:p>
    <w:p w:rsidR="006C145C" w:rsidRDefault="00C62E5A">
      <w:pPr>
        <w:numPr>
          <w:ilvl w:val="0"/>
          <w:numId w:val="9"/>
        </w:numPr>
        <w:pBdr>
          <w:top w:val="single" w:sz="4" w:space="0" w:color="000000"/>
          <w:left w:val="single" w:sz="4" w:space="0" w:color="000000"/>
          <w:bottom w:val="single" w:sz="4" w:space="0" w:color="000000"/>
          <w:right w:val="single" w:sz="4" w:space="0" w:color="000000"/>
        </w:pBdr>
        <w:shd w:val="clear" w:color="auto" w:fill="FFFFCC"/>
        <w:spacing w:after="4" w:line="250" w:lineRule="auto"/>
        <w:ind w:left="-5" w:right="56" w:hanging="10"/>
        <w:jc w:val="both"/>
      </w:pPr>
      <w:r>
        <w:rPr>
          <w:rFonts w:ascii="Arial" w:eastAsia="Arial" w:hAnsi="Arial" w:cs="Arial"/>
          <w:i/>
          <w:sz w:val="20"/>
        </w:rPr>
        <w:t>Inexistindo autorização legislativa, incabível a automática inabilitação de empresas submetidas à Lei n. 11.101/2005 unicamente pela</w:t>
      </w:r>
      <w:r>
        <w:rPr>
          <w:rFonts w:ascii="Arial" w:eastAsia="Arial" w:hAnsi="Arial" w:cs="Arial"/>
          <w:i/>
          <w:sz w:val="20"/>
        </w:rPr>
        <w:t xml:space="preserve"> não apresentação de certidão negativa de recuperação judicial, principalmente considerando o disposto no art. 52, I, daquele normativo, que prevê a possibilidade de contratação com o poder público, o que, em regra geral, pressupõe a participação prévia em</w:t>
      </w:r>
      <w:r>
        <w:rPr>
          <w:rFonts w:ascii="Arial" w:eastAsia="Arial" w:hAnsi="Arial" w:cs="Arial"/>
          <w:i/>
          <w:sz w:val="20"/>
        </w:rPr>
        <w:t xml:space="preserve"> licitação. </w:t>
      </w:r>
    </w:p>
    <w:p w:rsidR="006C145C" w:rsidRDefault="00C62E5A">
      <w:pPr>
        <w:numPr>
          <w:ilvl w:val="0"/>
          <w:numId w:val="9"/>
        </w:numPr>
        <w:pBdr>
          <w:top w:val="single" w:sz="4" w:space="0" w:color="000000"/>
          <w:left w:val="single" w:sz="4" w:space="0" w:color="000000"/>
          <w:bottom w:val="single" w:sz="4" w:space="0" w:color="000000"/>
          <w:right w:val="single" w:sz="4" w:space="0" w:color="000000"/>
        </w:pBdr>
        <w:shd w:val="clear" w:color="auto" w:fill="FFFFCC"/>
        <w:spacing w:after="4" w:line="250" w:lineRule="auto"/>
        <w:ind w:left="-5" w:right="56" w:hanging="10"/>
        <w:jc w:val="both"/>
      </w:pPr>
      <w:r>
        <w:rPr>
          <w:rFonts w:ascii="Arial" w:eastAsia="Arial" w:hAnsi="Arial" w:cs="Arial"/>
          <w:i/>
          <w:sz w:val="20"/>
        </w:rPr>
        <w:t>O escopo primordial da Lei n. 11.101/2005, nos termos do art. 47, é viabilizar a superação da situação de crise econômico-financeira do devedor, a fim de permitir a manutenção da fonte produtora, do emprego dos trabalhadores e dos interesses d</w:t>
      </w:r>
      <w:r>
        <w:rPr>
          <w:rFonts w:ascii="Arial" w:eastAsia="Arial" w:hAnsi="Arial" w:cs="Arial"/>
          <w:i/>
          <w:sz w:val="20"/>
        </w:rPr>
        <w:t xml:space="preserve">os credores, promovendo, assim, a preservação da empresa, sua função social e o estímulo à atividade econômica. </w:t>
      </w:r>
    </w:p>
    <w:p w:rsidR="006C145C" w:rsidRDefault="00C62E5A">
      <w:pPr>
        <w:numPr>
          <w:ilvl w:val="0"/>
          <w:numId w:val="9"/>
        </w:numPr>
        <w:pBdr>
          <w:top w:val="single" w:sz="4" w:space="0" w:color="000000"/>
          <w:left w:val="single" w:sz="4" w:space="0" w:color="000000"/>
          <w:bottom w:val="single" w:sz="4" w:space="0" w:color="000000"/>
          <w:right w:val="single" w:sz="4" w:space="0" w:color="000000"/>
        </w:pBdr>
        <w:shd w:val="clear" w:color="auto" w:fill="FFFFCC"/>
        <w:spacing w:after="4" w:line="250" w:lineRule="auto"/>
        <w:ind w:left="-5" w:right="56" w:hanging="10"/>
        <w:jc w:val="both"/>
      </w:pPr>
      <w:r>
        <w:rPr>
          <w:rFonts w:ascii="Arial" w:eastAsia="Arial" w:hAnsi="Arial" w:cs="Arial"/>
          <w:i/>
          <w:sz w:val="20"/>
        </w:rPr>
        <w:t>A interpretação sistemática dos dispositivos das Leis n 8.666/1993 e n. 11.101/2005 leva à conclusão de que é possível uma ponderação equilibra</w:t>
      </w:r>
      <w:r>
        <w:rPr>
          <w:rFonts w:ascii="Arial" w:eastAsia="Arial" w:hAnsi="Arial" w:cs="Arial"/>
          <w:i/>
          <w:sz w:val="20"/>
        </w:rPr>
        <w:t>da dos princípios nelas contidos, pois a preservação da empresa, de sua função social e do estímulo à atividade econômica atendem também, em última análise, ao interesse da coletividade, uma vez que se busca a manutenção da fonte produtora, dos postos de t</w:t>
      </w:r>
      <w:r>
        <w:rPr>
          <w:rFonts w:ascii="Arial" w:eastAsia="Arial" w:hAnsi="Arial" w:cs="Arial"/>
          <w:i/>
          <w:sz w:val="20"/>
        </w:rPr>
        <w:t xml:space="preserve">rabalho e dos interesses dos credores.  </w:t>
      </w:r>
    </w:p>
    <w:p w:rsidR="006C145C" w:rsidRDefault="00C62E5A">
      <w:pPr>
        <w:numPr>
          <w:ilvl w:val="0"/>
          <w:numId w:val="9"/>
        </w:numPr>
        <w:pBdr>
          <w:top w:val="single" w:sz="4" w:space="0" w:color="000000"/>
          <w:left w:val="single" w:sz="4" w:space="0" w:color="000000"/>
          <w:bottom w:val="single" w:sz="4" w:space="0" w:color="000000"/>
          <w:right w:val="single" w:sz="4" w:space="0" w:color="000000"/>
        </w:pBdr>
        <w:shd w:val="clear" w:color="auto" w:fill="FFFFCC"/>
        <w:spacing w:after="4" w:line="250" w:lineRule="auto"/>
        <w:ind w:left="-5" w:right="56" w:hanging="10"/>
        <w:jc w:val="both"/>
      </w:pPr>
      <w:r>
        <w:rPr>
          <w:rFonts w:ascii="Arial" w:eastAsia="Arial" w:hAnsi="Arial" w:cs="Arial"/>
          <w:i/>
          <w:sz w:val="20"/>
        </w:rPr>
        <w:t>A exigência de apresentação de certidão negativa de recuperação judicial deve ser relativizada a fim de possibilitar à empresa em recuperação judicial participar do certame, desde que demonstre, na fase de habilitaç</w:t>
      </w:r>
      <w:r>
        <w:rPr>
          <w:rFonts w:ascii="Arial" w:eastAsia="Arial" w:hAnsi="Arial" w:cs="Arial"/>
          <w:i/>
          <w:sz w:val="20"/>
        </w:rPr>
        <w:t xml:space="preserve">ão, a sua viabilidade econômica.  </w:t>
      </w:r>
    </w:p>
    <w:p w:rsidR="006C145C" w:rsidRDefault="00C62E5A">
      <w:pPr>
        <w:numPr>
          <w:ilvl w:val="0"/>
          <w:numId w:val="9"/>
        </w:numPr>
        <w:pBdr>
          <w:top w:val="single" w:sz="4" w:space="0" w:color="000000"/>
          <w:left w:val="single" w:sz="4" w:space="0" w:color="000000"/>
          <w:bottom w:val="single" w:sz="4" w:space="0" w:color="000000"/>
          <w:right w:val="single" w:sz="4" w:space="0" w:color="000000"/>
        </w:pBdr>
        <w:shd w:val="clear" w:color="auto" w:fill="FFFFCC"/>
        <w:spacing w:after="125" w:line="250" w:lineRule="auto"/>
        <w:ind w:left="-5" w:right="56" w:hanging="10"/>
        <w:jc w:val="both"/>
      </w:pPr>
      <w:r>
        <w:rPr>
          <w:rFonts w:ascii="Arial" w:eastAsia="Arial" w:hAnsi="Arial" w:cs="Arial"/>
          <w:i/>
          <w:sz w:val="20"/>
        </w:rPr>
        <w:t>Agravo conhecido para dar provimento ao recurso especial. (STJ, Primeira Turma, AREsp 309867 / ES</w:t>
      </w:r>
      <w:r>
        <w:rPr>
          <w:rFonts w:ascii="Arial" w:eastAsia="Arial" w:hAnsi="Arial" w:cs="Arial"/>
          <w:sz w:val="20"/>
        </w:rPr>
        <w:t xml:space="preserve">, </w:t>
      </w:r>
      <w:r>
        <w:rPr>
          <w:rFonts w:ascii="Arial" w:eastAsia="Arial" w:hAnsi="Arial" w:cs="Arial"/>
          <w:i/>
          <w:sz w:val="20"/>
        </w:rPr>
        <w:t xml:space="preserve">Rel. Min. Gurgel de Faria, </w:t>
      </w:r>
      <w:r>
        <w:rPr>
          <w:rFonts w:ascii="Arial" w:eastAsia="Arial" w:hAnsi="Arial" w:cs="Arial"/>
          <w:sz w:val="20"/>
        </w:rPr>
        <w:t>DJe 08/08/2018</w:t>
      </w:r>
      <w:r>
        <w:rPr>
          <w:rFonts w:ascii="Arial" w:eastAsia="Arial" w:hAnsi="Arial" w:cs="Arial"/>
          <w:i/>
          <w:sz w:val="20"/>
        </w:rPr>
        <w:t>. Julgado em 26/06/2018).</w:t>
      </w:r>
      <w:r>
        <w:rPr>
          <w:rFonts w:ascii="Arial" w:eastAsia="Arial" w:hAnsi="Arial" w:cs="Arial"/>
          <w:sz w:val="20"/>
        </w:rPr>
        <w:t xml:space="preserve"> </w:t>
      </w:r>
      <w:r>
        <w:rPr>
          <w:rFonts w:ascii="Arial" w:eastAsia="Arial" w:hAnsi="Arial" w:cs="Arial"/>
          <w:b/>
          <w:i/>
          <w:sz w:val="20"/>
        </w:rPr>
        <w:t xml:space="preserve"> </w:t>
      </w:r>
    </w:p>
    <w:p w:rsidR="006C145C" w:rsidRDefault="00C62E5A">
      <w:pPr>
        <w:spacing w:after="129" w:line="270" w:lineRule="auto"/>
        <w:ind w:left="1141" w:right="54" w:hanging="8"/>
        <w:jc w:val="both"/>
      </w:pPr>
      <w:r>
        <w:rPr>
          <w:rFonts w:ascii="Arial" w:eastAsia="Arial" w:hAnsi="Arial" w:cs="Arial"/>
          <w:sz w:val="20"/>
        </w:rPr>
        <w:t xml:space="preserve">9.10.2 balanço patrimonial e demonstrações contábeis </w:t>
      </w:r>
      <w:r>
        <w:rPr>
          <w:rFonts w:ascii="Arial" w:eastAsia="Arial" w:hAnsi="Arial" w:cs="Arial"/>
          <w:sz w:val="20"/>
        </w:rPr>
        <w:t xml:space="preserve">do último exercício social, já exigíveis e apresentados na forma da lei, que comprovem a boa situação financeira da empresa, vedada a sua substituição por balancetes ou balanços provisórios, podendo ser atualizados por índices oficiais quando encerrado há </w:t>
      </w:r>
      <w:r>
        <w:rPr>
          <w:rFonts w:ascii="Arial" w:eastAsia="Arial" w:hAnsi="Arial" w:cs="Arial"/>
          <w:sz w:val="20"/>
        </w:rPr>
        <w:t xml:space="preserve">mais de 3 (três) meses da data de apresentação da proposta; </w:t>
      </w:r>
    </w:p>
    <w:p w:rsidR="006C145C" w:rsidRDefault="00C62E5A">
      <w:pPr>
        <w:spacing w:after="129" w:line="270" w:lineRule="auto"/>
        <w:ind w:left="1710" w:right="54" w:hanging="8"/>
        <w:jc w:val="both"/>
      </w:pPr>
      <w:r>
        <w:rPr>
          <w:rFonts w:ascii="Arial" w:eastAsia="Arial" w:hAnsi="Arial" w:cs="Arial"/>
          <w:sz w:val="20"/>
        </w:rPr>
        <w:t xml:space="preserve">9.10.2.1 no caso de empresa constituída no exercício social vigente, admite-se a apresentação de balanço patrimonial e demonstrações contábeis referentes ao período de existência da sociedade; </w:t>
      </w:r>
    </w:p>
    <w:p w:rsidR="006C145C" w:rsidRDefault="00C62E5A">
      <w:pPr>
        <w:spacing w:after="154" w:line="270" w:lineRule="auto"/>
        <w:ind w:left="1710" w:right="54" w:hanging="8"/>
        <w:jc w:val="both"/>
      </w:pPr>
      <w:r>
        <w:rPr>
          <w:rFonts w:ascii="Arial" w:eastAsia="Arial" w:hAnsi="Arial" w:cs="Arial"/>
          <w:sz w:val="20"/>
        </w:rPr>
        <w:t xml:space="preserve">9.10.2.2 é admissível o balanço intermediário, se decorrer de lei ou contrato/estatuto social.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73" w:line="249" w:lineRule="auto"/>
        <w:ind w:left="-5" w:right="57" w:hanging="10"/>
        <w:jc w:val="both"/>
      </w:pPr>
      <w:r>
        <w:rPr>
          <w:rFonts w:ascii="Arial" w:eastAsia="Arial" w:hAnsi="Arial" w:cs="Arial"/>
          <w:b/>
          <w:i/>
          <w:sz w:val="20"/>
        </w:rPr>
        <w:t xml:space="preserve">Nota Explicativa: </w:t>
      </w:r>
      <w:r>
        <w:rPr>
          <w:rFonts w:ascii="Arial" w:eastAsia="Arial" w:hAnsi="Arial" w:cs="Arial"/>
          <w:i/>
          <w:sz w:val="20"/>
        </w:rPr>
        <w:t>A previsão do subitem acima decorre da disposição do Acórdão TCU nº 484-122007 – Plenário. Sobre a diferenciação entre Balanço Intermediário e</w:t>
      </w:r>
      <w:r>
        <w:rPr>
          <w:rFonts w:ascii="Arial" w:eastAsia="Arial" w:hAnsi="Arial" w:cs="Arial"/>
          <w:i/>
          <w:sz w:val="20"/>
        </w:rPr>
        <w:t xml:space="preserve"> Balanço Provisório, referido acórdão </w:t>
      </w:r>
      <w:r>
        <w:rPr>
          <w:rFonts w:ascii="Arial" w:eastAsia="Arial" w:hAnsi="Arial" w:cs="Arial"/>
          <w:i/>
          <w:sz w:val="20"/>
        </w:rPr>
        <w:lastRenderedPageBreak/>
        <w:t>esclarece que: “Por outro lado, não se confunde balanço provisório com balanço intermediário. Aquele consiste em uma avaliação precária, cujo conteúdo não é definitivo. O balanço provisório admite retificação ampla pos</w:t>
      </w:r>
      <w:r>
        <w:rPr>
          <w:rFonts w:ascii="Arial" w:eastAsia="Arial" w:hAnsi="Arial" w:cs="Arial"/>
          <w:i/>
          <w:sz w:val="20"/>
        </w:rPr>
        <w:t>terior e corresponde a um documento sem maiores efeitos jurídicos. Já o balanço intermediário consiste em documento definitivo, cujo conteúdo retrata a situação empresarial no curso do exercício. A figura do balanço intermediário deverá estar prevista no e</w:t>
      </w:r>
      <w:r>
        <w:rPr>
          <w:rFonts w:ascii="Arial" w:eastAsia="Arial" w:hAnsi="Arial" w:cs="Arial"/>
          <w:i/>
          <w:sz w:val="20"/>
        </w:rPr>
        <w:t xml:space="preserve">statuto ou decorrer de lei.” </w:t>
      </w:r>
    </w:p>
    <w:p w:rsidR="006C145C" w:rsidRDefault="00C62E5A">
      <w:pPr>
        <w:spacing w:after="121" w:line="277" w:lineRule="auto"/>
        <w:ind w:left="2422" w:right="116" w:hanging="720"/>
        <w:jc w:val="both"/>
      </w:pPr>
      <w:r>
        <w:rPr>
          <w:rFonts w:ascii="Arial" w:eastAsia="Arial" w:hAnsi="Arial" w:cs="Arial"/>
          <w:color w:val="FF0000"/>
          <w:sz w:val="20"/>
          <w:shd w:val="clear" w:color="auto" w:fill="00FF00"/>
        </w:rPr>
        <w:t>9.10.2.3 Caso o licitante seja cooperativa, tais documentos deverão ser</w:t>
      </w:r>
      <w:r>
        <w:rPr>
          <w:rFonts w:ascii="Arial" w:eastAsia="Arial" w:hAnsi="Arial" w:cs="Arial"/>
          <w:color w:val="FF0000"/>
          <w:sz w:val="20"/>
        </w:rPr>
        <w:t xml:space="preserve"> </w:t>
      </w:r>
      <w:r>
        <w:rPr>
          <w:rFonts w:ascii="Arial" w:eastAsia="Arial" w:hAnsi="Arial" w:cs="Arial"/>
          <w:color w:val="FF0000"/>
          <w:sz w:val="20"/>
          <w:shd w:val="clear" w:color="auto" w:fill="00FF00"/>
        </w:rPr>
        <w:t>acompanhados da última auditoria contábil-financeira, conforme dispõe o</w:t>
      </w:r>
      <w:r>
        <w:rPr>
          <w:rFonts w:ascii="Arial" w:eastAsia="Arial" w:hAnsi="Arial" w:cs="Arial"/>
          <w:color w:val="FF0000"/>
          <w:sz w:val="20"/>
        </w:rPr>
        <w:t xml:space="preserve"> </w:t>
      </w:r>
      <w:r>
        <w:rPr>
          <w:rFonts w:ascii="Arial" w:eastAsia="Arial" w:hAnsi="Arial" w:cs="Arial"/>
          <w:color w:val="FF0000"/>
          <w:sz w:val="20"/>
          <w:shd w:val="clear" w:color="auto" w:fill="00FF00"/>
        </w:rPr>
        <w:t>artigo 112 da Lei nº 5.764, de 1971, ou de uma declaração, sob as penas</w:t>
      </w:r>
      <w:r>
        <w:rPr>
          <w:rFonts w:ascii="Arial" w:eastAsia="Arial" w:hAnsi="Arial" w:cs="Arial"/>
          <w:color w:val="FF0000"/>
          <w:sz w:val="20"/>
        </w:rPr>
        <w:t xml:space="preserve"> </w:t>
      </w:r>
      <w:r>
        <w:rPr>
          <w:rFonts w:ascii="Arial" w:eastAsia="Arial" w:hAnsi="Arial" w:cs="Arial"/>
          <w:color w:val="FF0000"/>
          <w:sz w:val="20"/>
          <w:shd w:val="clear" w:color="auto" w:fill="00FF00"/>
        </w:rPr>
        <w:t>da lei, de</w:t>
      </w:r>
      <w:r>
        <w:rPr>
          <w:rFonts w:ascii="Arial" w:eastAsia="Arial" w:hAnsi="Arial" w:cs="Arial"/>
          <w:color w:val="FF0000"/>
          <w:sz w:val="20"/>
          <w:shd w:val="clear" w:color="auto" w:fill="00FF00"/>
        </w:rPr>
        <w:t xml:space="preserve"> que tal auditoria não foi exigida pelo órgão fiscalizador.</w:t>
      </w:r>
      <w:r>
        <w:rPr>
          <w:rFonts w:ascii="Arial" w:eastAsia="Arial" w:hAnsi="Arial" w:cs="Arial"/>
          <w:color w:val="FF0000"/>
          <w:sz w:val="20"/>
        </w:rPr>
        <w:t xml:space="preserve"> </w:t>
      </w:r>
    </w:p>
    <w:p w:rsidR="006C145C" w:rsidRDefault="00C62E5A">
      <w:pPr>
        <w:spacing w:after="129" w:line="270" w:lineRule="auto"/>
        <w:ind w:left="1141" w:right="118" w:hanging="8"/>
        <w:jc w:val="both"/>
      </w:pPr>
      <w:r>
        <w:rPr>
          <w:rFonts w:ascii="Arial" w:eastAsia="Arial" w:hAnsi="Arial" w:cs="Arial"/>
          <w:sz w:val="20"/>
        </w:rPr>
        <w:t>9.10.3 comprovação da boa situação financeira da empresa mediante obtenção de índices de Liquidez Geral (LG), Solvência Geral (SG) e Liquidez Corrente (LC), superiores a 1 (um), obtidos pela apli</w:t>
      </w:r>
      <w:r>
        <w:rPr>
          <w:rFonts w:ascii="Arial" w:eastAsia="Arial" w:hAnsi="Arial" w:cs="Arial"/>
          <w:sz w:val="20"/>
        </w:rPr>
        <w:t xml:space="preserve">cação das seguintes fórmulas:  </w:t>
      </w:r>
    </w:p>
    <w:p w:rsidR="006C145C" w:rsidRDefault="00C62E5A">
      <w:pPr>
        <w:spacing w:after="0" w:line="270" w:lineRule="auto"/>
        <w:ind w:left="3487" w:right="54" w:hanging="8"/>
        <w:jc w:val="both"/>
      </w:pPr>
      <w:r>
        <w:rPr>
          <w:rFonts w:ascii="Arial" w:eastAsia="Arial" w:hAnsi="Arial" w:cs="Arial"/>
          <w:sz w:val="20"/>
        </w:rPr>
        <w:t xml:space="preserve">Ativo Circulante + Realizável a Longo Prazo </w:t>
      </w:r>
    </w:p>
    <w:p w:rsidR="006C145C" w:rsidRDefault="00C62E5A">
      <w:pPr>
        <w:tabs>
          <w:tab w:val="center" w:pos="1008"/>
          <w:tab w:val="center" w:pos="5042"/>
        </w:tabs>
        <w:spacing w:after="0" w:line="270" w:lineRule="auto"/>
      </w:pPr>
      <w:r>
        <w:tab/>
      </w:r>
      <w:r>
        <w:rPr>
          <w:rFonts w:ascii="Arial" w:eastAsia="Arial" w:hAnsi="Arial" w:cs="Arial"/>
          <w:sz w:val="20"/>
        </w:rPr>
        <w:t xml:space="preserve">LG = </w:t>
      </w:r>
      <w:r>
        <w:rPr>
          <w:rFonts w:ascii="Arial" w:eastAsia="Arial" w:hAnsi="Arial" w:cs="Arial"/>
          <w:sz w:val="20"/>
        </w:rPr>
        <w:tab/>
      </w:r>
      <w:r>
        <w:rPr>
          <w:noProof/>
        </w:rPr>
        <mc:AlternateContent>
          <mc:Choice Requires="wpg">
            <w:drawing>
              <wp:inline distT="0" distB="0" distL="0" distR="0">
                <wp:extent cx="2699639" cy="6096"/>
                <wp:effectExtent l="0" t="0" r="0" b="0"/>
                <wp:docPr id="245010" name="Group 245010"/>
                <wp:cNvGraphicFramePr/>
                <a:graphic xmlns:a="http://schemas.openxmlformats.org/drawingml/2006/main">
                  <a:graphicData uri="http://schemas.microsoft.com/office/word/2010/wordprocessingGroup">
                    <wpg:wgp>
                      <wpg:cNvGrpSpPr/>
                      <wpg:grpSpPr>
                        <a:xfrm>
                          <a:off x="0" y="0"/>
                          <a:ext cx="2699639" cy="6096"/>
                          <a:chOff x="0" y="0"/>
                          <a:chExt cx="2699639" cy="6096"/>
                        </a:xfrm>
                      </wpg:grpSpPr>
                      <wps:wsp>
                        <wps:cNvPr id="311067" name="Shape 311067"/>
                        <wps:cNvSpPr/>
                        <wps:spPr>
                          <a:xfrm>
                            <a:off x="0" y="0"/>
                            <a:ext cx="2699639" cy="9144"/>
                          </a:xfrm>
                          <a:custGeom>
                            <a:avLst/>
                            <a:gdLst/>
                            <a:ahLst/>
                            <a:cxnLst/>
                            <a:rect l="0" t="0" r="0" b="0"/>
                            <a:pathLst>
                              <a:path w="2699639" h="9144">
                                <a:moveTo>
                                  <a:pt x="0" y="0"/>
                                </a:moveTo>
                                <a:lnTo>
                                  <a:pt x="2699639" y="0"/>
                                </a:lnTo>
                                <a:lnTo>
                                  <a:pt x="26996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5010" style="width:212.57pt;height:0.47998pt;mso-position-horizontal-relative:char;mso-position-vertical-relative:line" coordsize="26996,60">
                <v:shape id="Shape 311068" style="position:absolute;width:26996;height:91;left:0;top:0;" coordsize="2699639,9144" path="m0,0l2699639,0l2699639,9144l0,9144l0,0">
                  <v:stroke weight="0pt" endcap="flat" joinstyle="miter" miterlimit="10" on="false" color="#000000" opacity="0"/>
                  <v:fill on="true" color="#000000"/>
                </v:shape>
              </v:group>
            </w:pict>
          </mc:Fallback>
        </mc:AlternateContent>
      </w:r>
    </w:p>
    <w:p w:rsidR="006C145C" w:rsidRDefault="00C62E5A">
      <w:pPr>
        <w:spacing w:after="10" w:line="270" w:lineRule="auto"/>
        <w:ind w:left="3487" w:right="54" w:hanging="8"/>
        <w:jc w:val="both"/>
      </w:pPr>
      <w:r>
        <w:rPr>
          <w:rFonts w:ascii="Arial" w:eastAsia="Arial" w:hAnsi="Arial" w:cs="Arial"/>
          <w:sz w:val="20"/>
        </w:rPr>
        <w:t xml:space="preserve">Passivo Circulante + Passivo Não Circulante </w:t>
      </w:r>
    </w:p>
    <w:p w:rsidR="006C145C" w:rsidRDefault="00C62E5A">
      <w:pPr>
        <w:spacing w:after="17"/>
        <w:ind w:left="1133"/>
      </w:pPr>
      <w:r>
        <w:rPr>
          <w:rFonts w:ascii="Arial" w:eastAsia="Arial" w:hAnsi="Arial" w:cs="Arial"/>
          <w:sz w:val="20"/>
        </w:rPr>
        <w:t xml:space="preserve"> </w:t>
      </w:r>
    </w:p>
    <w:p w:rsidR="006C145C" w:rsidRDefault="00C62E5A">
      <w:pPr>
        <w:spacing w:after="0" w:line="270" w:lineRule="auto"/>
        <w:ind w:left="3487" w:right="54" w:hanging="8"/>
        <w:jc w:val="both"/>
      </w:pPr>
      <w:r>
        <w:rPr>
          <w:rFonts w:ascii="Arial" w:eastAsia="Arial" w:hAnsi="Arial" w:cs="Arial"/>
          <w:sz w:val="20"/>
        </w:rPr>
        <w:t xml:space="preserve">Ativo Total </w:t>
      </w:r>
    </w:p>
    <w:p w:rsidR="006C145C" w:rsidRDefault="00C62E5A">
      <w:pPr>
        <w:tabs>
          <w:tab w:val="center" w:pos="1019"/>
          <w:tab w:val="center" w:pos="5114"/>
        </w:tabs>
        <w:spacing w:after="0" w:line="270" w:lineRule="auto"/>
      </w:pPr>
      <w:r>
        <w:tab/>
      </w:r>
      <w:r>
        <w:rPr>
          <w:rFonts w:ascii="Arial" w:eastAsia="Arial" w:hAnsi="Arial" w:cs="Arial"/>
          <w:sz w:val="20"/>
        </w:rPr>
        <w:t xml:space="preserve">SG = </w:t>
      </w:r>
      <w:r>
        <w:rPr>
          <w:rFonts w:ascii="Arial" w:eastAsia="Arial" w:hAnsi="Arial" w:cs="Arial"/>
          <w:sz w:val="20"/>
        </w:rPr>
        <w:tab/>
      </w:r>
      <w:r>
        <w:rPr>
          <w:noProof/>
        </w:rPr>
        <mc:AlternateContent>
          <mc:Choice Requires="wpg">
            <w:drawing>
              <wp:inline distT="0" distB="0" distL="0" distR="0">
                <wp:extent cx="2791079" cy="6096"/>
                <wp:effectExtent l="0" t="0" r="0" b="0"/>
                <wp:docPr id="245011" name="Group 245011"/>
                <wp:cNvGraphicFramePr/>
                <a:graphic xmlns:a="http://schemas.openxmlformats.org/drawingml/2006/main">
                  <a:graphicData uri="http://schemas.microsoft.com/office/word/2010/wordprocessingGroup">
                    <wpg:wgp>
                      <wpg:cNvGrpSpPr/>
                      <wpg:grpSpPr>
                        <a:xfrm>
                          <a:off x="0" y="0"/>
                          <a:ext cx="2791079" cy="6096"/>
                          <a:chOff x="0" y="0"/>
                          <a:chExt cx="2791079" cy="6096"/>
                        </a:xfrm>
                      </wpg:grpSpPr>
                      <wps:wsp>
                        <wps:cNvPr id="311069" name="Shape 311069"/>
                        <wps:cNvSpPr/>
                        <wps:spPr>
                          <a:xfrm>
                            <a:off x="0" y="0"/>
                            <a:ext cx="2791079" cy="9144"/>
                          </a:xfrm>
                          <a:custGeom>
                            <a:avLst/>
                            <a:gdLst/>
                            <a:ahLst/>
                            <a:cxnLst/>
                            <a:rect l="0" t="0" r="0" b="0"/>
                            <a:pathLst>
                              <a:path w="2791079" h="9144">
                                <a:moveTo>
                                  <a:pt x="0" y="0"/>
                                </a:moveTo>
                                <a:lnTo>
                                  <a:pt x="2791079" y="0"/>
                                </a:lnTo>
                                <a:lnTo>
                                  <a:pt x="27910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5011" style="width:219.77pt;height:0.47998pt;mso-position-horizontal-relative:char;mso-position-vertical-relative:line" coordsize="27910,60">
                <v:shape id="Shape 311070" style="position:absolute;width:27910;height:91;left:0;top:0;" coordsize="2791079,9144" path="m0,0l2791079,0l2791079,9144l0,9144l0,0">
                  <v:stroke weight="0pt" endcap="flat" joinstyle="miter" miterlimit="10" on="false" color="#000000" opacity="0"/>
                  <v:fill on="true" color="#000000"/>
                </v:shape>
              </v:group>
            </w:pict>
          </mc:Fallback>
        </mc:AlternateContent>
      </w:r>
    </w:p>
    <w:p w:rsidR="006C145C" w:rsidRDefault="00C62E5A">
      <w:pPr>
        <w:spacing w:after="7" w:line="270" w:lineRule="auto"/>
        <w:ind w:left="3487" w:right="54" w:hanging="8"/>
        <w:jc w:val="both"/>
      </w:pPr>
      <w:r>
        <w:rPr>
          <w:rFonts w:ascii="Arial" w:eastAsia="Arial" w:hAnsi="Arial" w:cs="Arial"/>
          <w:sz w:val="20"/>
        </w:rPr>
        <w:t xml:space="preserve">Passivo Circulante + Passivo Não Circulante </w:t>
      </w:r>
    </w:p>
    <w:p w:rsidR="006C145C" w:rsidRDefault="00C62E5A">
      <w:pPr>
        <w:spacing w:after="19"/>
        <w:ind w:left="1133"/>
      </w:pPr>
      <w:r>
        <w:rPr>
          <w:rFonts w:ascii="Arial" w:eastAsia="Arial" w:hAnsi="Arial" w:cs="Arial"/>
          <w:sz w:val="20"/>
        </w:rPr>
        <w:t xml:space="preserve"> </w:t>
      </w:r>
    </w:p>
    <w:p w:rsidR="006C145C" w:rsidRDefault="00C62E5A">
      <w:pPr>
        <w:spacing w:after="2" w:line="254" w:lineRule="auto"/>
        <w:ind w:left="311" w:right="1130" w:hanging="10"/>
        <w:jc w:val="center"/>
      </w:pPr>
      <w:r>
        <w:rPr>
          <w:rFonts w:ascii="Arial" w:eastAsia="Arial" w:hAnsi="Arial" w:cs="Arial"/>
          <w:sz w:val="20"/>
        </w:rPr>
        <w:t xml:space="preserve">Ativo Circulante </w:t>
      </w:r>
    </w:p>
    <w:p w:rsidR="006C145C" w:rsidRDefault="00C62E5A">
      <w:pPr>
        <w:tabs>
          <w:tab w:val="center" w:pos="1003"/>
          <w:tab w:val="center" w:pos="4192"/>
        </w:tabs>
        <w:spacing w:after="0" w:line="270" w:lineRule="auto"/>
      </w:pPr>
      <w:r>
        <w:tab/>
      </w:r>
      <w:r>
        <w:rPr>
          <w:rFonts w:ascii="Arial" w:eastAsia="Arial" w:hAnsi="Arial" w:cs="Arial"/>
          <w:sz w:val="20"/>
        </w:rPr>
        <w:t xml:space="preserve">LC = </w:t>
      </w:r>
      <w:r>
        <w:rPr>
          <w:rFonts w:ascii="Arial" w:eastAsia="Arial" w:hAnsi="Arial" w:cs="Arial"/>
          <w:sz w:val="20"/>
        </w:rPr>
        <w:tab/>
      </w:r>
      <w:r>
        <w:rPr>
          <w:noProof/>
        </w:rPr>
        <mc:AlternateContent>
          <mc:Choice Requires="wpg">
            <w:drawing>
              <wp:inline distT="0" distB="0" distL="0" distR="0">
                <wp:extent cx="1620266" cy="6096"/>
                <wp:effectExtent l="0" t="0" r="0" b="0"/>
                <wp:docPr id="245013" name="Group 245013"/>
                <wp:cNvGraphicFramePr/>
                <a:graphic xmlns:a="http://schemas.openxmlformats.org/drawingml/2006/main">
                  <a:graphicData uri="http://schemas.microsoft.com/office/word/2010/wordprocessingGroup">
                    <wpg:wgp>
                      <wpg:cNvGrpSpPr/>
                      <wpg:grpSpPr>
                        <a:xfrm>
                          <a:off x="0" y="0"/>
                          <a:ext cx="1620266" cy="6096"/>
                          <a:chOff x="0" y="0"/>
                          <a:chExt cx="1620266" cy="6096"/>
                        </a:xfrm>
                      </wpg:grpSpPr>
                      <wps:wsp>
                        <wps:cNvPr id="311071" name="Shape 311071"/>
                        <wps:cNvSpPr/>
                        <wps:spPr>
                          <a:xfrm>
                            <a:off x="0" y="0"/>
                            <a:ext cx="1620266" cy="9144"/>
                          </a:xfrm>
                          <a:custGeom>
                            <a:avLst/>
                            <a:gdLst/>
                            <a:ahLst/>
                            <a:cxnLst/>
                            <a:rect l="0" t="0" r="0" b="0"/>
                            <a:pathLst>
                              <a:path w="1620266" h="9144">
                                <a:moveTo>
                                  <a:pt x="0" y="0"/>
                                </a:moveTo>
                                <a:lnTo>
                                  <a:pt x="1620266" y="0"/>
                                </a:lnTo>
                                <a:lnTo>
                                  <a:pt x="1620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5013" style="width:127.58pt;height:0.480011pt;mso-position-horizontal-relative:char;mso-position-vertical-relative:line" coordsize="16202,60">
                <v:shape id="Shape 311072" style="position:absolute;width:16202;height:91;left:0;top:0;" coordsize="1620266,9144" path="m0,0l1620266,0l1620266,9144l0,9144l0,0">
                  <v:stroke weight="0pt" endcap="flat" joinstyle="miter" miterlimit="10" on="false" color="#000000" opacity="0"/>
                  <v:fill on="true" color="#000000"/>
                </v:shape>
              </v:group>
            </w:pict>
          </mc:Fallback>
        </mc:AlternateContent>
      </w:r>
    </w:p>
    <w:p w:rsidR="006C145C" w:rsidRDefault="00C62E5A">
      <w:pPr>
        <w:spacing w:after="141" w:line="254" w:lineRule="auto"/>
        <w:ind w:left="311" w:right="875" w:hanging="10"/>
        <w:jc w:val="center"/>
      </w:pPr>
      <w:r>
        <w:rPr>
          <w:rFonts w:ascii="Arial" w:eastAsia="Arial" w:hAnsi="Arial" w:cs="Arial"/>
          <w:sz w:val="20"/>
        </w:rPr>
        <w:t xml:space="preserve">Passivo Circulante </w:t>
      </w:r>
    </w:p>
    <w:p w:rsidR="006C145C" w:rsidRDefault="00C62E5A">
      <w:pPr>
        <w:spacing w:after="152" w:line="270" w:lineRule="auto"/>
        <w:ind w:left="1141" w:right="116" w:hanging="8"/>
        <w:jc w:val="both"/>
      </w:pPr>
      <w:r>
        <w:rPr>
          <w:rFonts w:ascii="Arial" w:eastAsia="Arial" w:hAnsi="Arial" w:cs="Arial"/>
          <w:sz w:val="20"/>
        </w:rPr>
        <w:t xml:space="preserve">9.10.4 </w:t>
      </w:r>
      <w:r>
        <w:rPr>
          <w:rFonts w:ascii="Arial" w:eastAsia="Arial" w:hAnsi="Arial" w:cs="Arial"/>
          <w:sz w:val="20"/>
        </w:rPr>
        <w:t xml:space="preserve">As empresas que apresentarem resultado inferior ou igual a 1(um) em qualquer dos índices de Liquidez Geral (LG), Solvência Geral (SG) e Liquidez Corrente (LC), deverão comprovar patrimônio líquido de </w:t>
      </w:r>
      <w:r>
        <w:rPr>
          <w:rFonts w:ascii="Arial" w:eastAsia="Arial" w:hAnsi="Arial" w:cs="Arial"/>
          <w:color w:val="FF0000"/>
          <w:sz w:val="20"/>
        </w:rPr>
        <w:t xml:space="preserve">...(....) </w:t>
      </w:r>
      <w:r>
        <w:rPr>
          <w:rFonts w:ascii="Arial" w:eastAsia="Arial" w:hAnsi="Arial" w:cs="Arial"/>
          <w:sz w:val="20"/>
        </w:rPr>
        <w:t>do valor total estimado da contratação ou do i</w:t>
      </w:r>
      <w:r>
        <w:rPr>
          <w:rFonts w:ascii="Arial" w:eastAsia="Arial" w:hAnsi="Arial" w:cs="Arial"/>
          <w:sz w:val="20"/>
        </w:rPr>
        <w:t xml:space="preserve">tem pertinente.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88" w:hanging="10"/>
        <w:jc w:val="both"/>
      </w:pPr>
      <w:r>
        <w:rPr>
          <w:rFonts w:ascii="Arial" w:eastAsia="Arial" w:hAnsi="Arial" w:cs="Arial"/>
          <w:b/>
          <w:i/>
          <w:sz w:val="20"/>
        </w:rPr>
        <w:t>Nota Explicativa 1:</w:t>
      </w:r>
      <w:r>
        <w:rPr>
          <w:rFonts w:ascii="Arial" w:eastAsia="Arial" w:hAnsi="Arial" w:cs="Arial"/>
          <w:i/>
          <w:sz w:val="20"/>
        </w:rPr>
        <w:t xml:space="preserve"> A fixação do percentual referente ao patrimônio líquido se insere na esfera de atuação discricionária da Administração até o limite legal de 10% (dez por cento) do valor estimado da contratação (art. 31, § 3º da Lei nº </w:t>
      </w:r>
      <w:r>
        <w:rPr>
          <w:rFonts w:ascii="Arial" w:eastAsia="Arial" w:hAnsi="Arial" w:cs="Arial"/>
          <w:i/>
          <w:sz w:val="20"/>
        </w:rPr>
        <w:t xml:space="preserve">8.666, de 1993).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5" w:line="249" w:lineRule="auto"/>
        <w:ind w:left="-5" w:right="88" w:hanging="10"/>
        <w:jc w:val="both"/>
      </w:pPr>
      <w:r>
        <w:rPr>
          <w:rFonts w:ascii="Arial" w:eastAsia="Arial" w:hAnsi="Arial" w:cs="Arial"/>
          <w:b/>
          <w:i/>
          <w:sz w:val="20"/>
        </w:rPr>
        <w:t xml:space="preserve">Nota Explicativa 2: </w:t>
      </w:r>
      <w:r>
        <w:rPr>
          <w:rFonts w:ascii="Arial" w:eastAsia="Arial" w:hAnsi="Arial" w:cs="Arial"/>
          <w:i/>
          <w:sz w:val="20"/>
        </w:rPr>
        <w:t>De acordo com o art. 24 da Instrução Normativa SEGES/MP nº 03/2018, deve-se  fixar  percentual  proporcional  aos  riscos  que  a inexecução total ou  parcial  do  contrato  poderá acarretar  para  a  Administração,  c</w:t>
      </w:r>
      <w:r>
        <w:rPr>
          <w:rFonts w:ascii="Arial" w:eastAsia="Arial" w:hAnsi="Arial" w:cs="Arial"/>
          <w:i/>
          <w:sz w:val="20"/>
        </w:rPr>
        <w:t>onsiderando-se,  entre  outros  fatores,  o  valor  do  contrato,  a essencialidade do objeto, o tempo de duração do contrato.  A sondagem do mercado se afigura importante, a fim de obter dados sobre o porte das empresas que atuam na área objeto da contrat</w:t>
      </w:r>
      <w:r>
        <w:rPr>
          <w:rFonts w:ascii="Arial" w:eastAsia="Arial" w:hAnsi="Arial" w:cs="Arial"/>
          <w:i/>
          <w:sz w:val="20"/>
        </w:rPr>
        <w:t xml:space="preserve">ação. Ressalte-se que, se o referido percentual for fixado em seu mais alto patamar e o valor total estimado da contratação também for significativo, trará como consequência a necessidade de comprovação de patrimônio líquido elevado, o que poderá resultar </w:t>
      </w:r>
      <w:r>
        <w:rPr>
          <w:rFonts w:ascii="Arial" w:eastAsia="Arial" w:hAnsi="Arial" w:cs="Arial"/>
          <w:i/>
          <w:sz w:val="20"/>
        </w:rPr>
        <w:t>na restrição à participação de interessados no certame, em especial, de microempresas ou empresas de pequeno porte, podendo ferir o princípio constitucional de incentivo a essas unidades empresariais. Por essa razão, é indispensável avaliação técnica sobre</w:t>
      </w:r>
      <w:r>
        <w:rPr>
          <w:rFonts w:ascii="Arial" w:eastAsia="Arial" w:hAnsi="Arial" w:cs="Arial"/>
          <w:i/>
          <w:sz w:val="20"/>
        </w:rPr>
        <w:t xml:space="preserve"> o assunto. Caso feita a exigência de capital ou patrimônio líquido mínimo, fica vedada a exigência simultânea de garantia da proposta (art. 31, III, da Lei n° 8.666/93), conforme interpretação do § 2° do mesmo dispositivo. </w:t>
      </w:r>
    </w:p>
    <w:p w:rsidR="006C145C" w:rsidRDefault="00C62E5A">
      <w:pPr>
        <w:spacing w:after="129" w:line="270" w:lineRule="auto"/>
        <w:ind w:left="1141" w:right="54" w:hanging="8"/>
        <w:jc w:val="both"/>
      </w:pPr>
      <w:r>
        <w:rPr>
          <w:rFonts w:ascii="Arial" w:eastAsia="Arial" w:hAnsi="Arial" w:cs="Arial"/>
          <w:sz w:val="20"/>
        </w:rPr>
        <w:t>9.10.5 As empresas deverão aind</w:t>
      </w:r>
      <w:r>
        <w:rPr>
          <w:rFonts w:ascii="Arial" w:eastAsia="Arial" w:hAnsi="Arial" w:cs="Arial"/>
          <w:sz w:val="20"/>
        </w:rPr>
        <w:t xml:space="preserve">a complementar a comprovação da qualificação econômico-financeira por meio de:  </w:t>
      </w:r>
    </w:p>
    <w:p w:rsidR="006C145C" w:rsidRDefault="00C62E5A">
      <w:pPr>
        <w:spacing w:after="129" w:line="270" w:lineRule="auto"/>
        <w:ind w:left="1710" w:right="117" w:hanging="8"/>
        <w:jc w:val="both"/>
      </w:pPr>
      <w:r>
        <w:rPr>
          <w:rFonts w:ascii="Arial" w:eastAsia="Arial" w:hAnsi="Arial" w:cs="Arial"/>
          <w:sz w:val="20"/>
        </w:rPr>
        <w:t>9.10.5.1 Comprovação de possuir Capital Circulante Líquido (CCL) ou Capital de Giro (Ativo Circulante – Passivo Circulante) de, no mínimo, 16,66% (dezesseis inteiros e sessent</w:t>
      </w:r>
      <w:r>
        <w:rPr>
          <w:rFonts w:ascii="Arial" w:eastAsia="Arial" w:hAnsi="Arial" w:cs="Arial"/>
          <w:sz w:val="20"/>
        </w:rPr>
        <w:t xml:space="preserve">a e seis centésimos por cento) do valor estimado para a contratação ou item pertinente, tendo por base o balanço patrimonial e as demonstrações contábeis já exigíveis na forma da lei;  </w:t>
      </w:r>
    </w:p>
    <w:p w:rsidR="006C145C" w:rsidRDefault="00C62E5A">
      <w:pPr>
        <w:spacing w:after="6" w:line="270" w:lineRule="auto"/>
        <w:ind w:left="1710" w:right="54" w:hanging="8"/>
        <w:jc w:val="both"/>
      </w:pPr>
      <w:r>
        <w:rPr>
          <w:rFonts w:ascii="Arial" w:eastAsia="Arial" w:hAnsi="Arial" w:cs="Arial"/>
          <w:sz w:val="20"/>
        </w:rPr>
        <w:lastRenderedPageBreak/>
        <w:t xml:space="preserve">9.10.5.2 </w:t>
      </w:r>
      <w:r>
        <w:rPr>
          <w:rFonts w:ascii="Arial" w:eastAsia="Arial" w:hAnsi="Arial" w:cs="Arial"/>
          <w:sz w:val="20"/>
        </w:rPr>
        <w:t>Comprovação de patrimônio líquido de 10% (dez por cento) do valor estimado da contratação, por meio da apresentação do balanço patrimonial e demonstrações contáveis do último exercício social, apresentados na forma da lei, vedada a substituição por balance</w:t>
      </w:r>
      <w:r>
        <w:rPr>
          <w:rFonts w:ascii="Arial" w:eastAsia="Arial" w:hAnsi="Arial" w:cs="Arial"/>
          <w:sz w:val="20"/>
        </w:rPr>
        <w:t xml:space="preserve">tes ou balanços provisórios, podendo ser atualizados por índices oficiais quando encerrados há mais de 3 (três) meses da data da apresentação da proposta.  </w:t>
      </w:r>
    </w:p>
    <w:p w:rsidR="006C145C" w:rsidRDefault="00C62E5A">
      <w:pPr>
        <w:spacing w:after="8" w:line="270" w:lineRule="auto"/>
        <w:ind w:left="1710" w:right="54" w:hanging="8"/>
        <w:jc w:val="both"/>
      </w:pPr>
      <w:r>
        <w:rPr>
          <w:rFonts w:ascii="Arial" w:eastAsia="Arial" w:hAnsi="Arial" w:cs="Arial"/>
          <w:sz w:val="20"/>
        </w:rPr>
        <w:t>9.10.5.3 Comprovação, por meio de declaração, da relação de compromissos assumidos, conforme modelo</w:t>
      </w:r>
      <w:r>
        <w:rPr>
          <w:rFonts w:ascii="Arial" w:eastAsia="Arial" w:hAnsi="Arial" w:cs="Arial"/>
          <w:sz w:val="20"/>
        </w:rPr>
        <w:t xml:space="preserve"> constante do Anexo </w:t>
      </w:r>
      <w:r>
        <w:rPr>
          <w:rFonts w:ascii="Arial" w:eastAsia="Arial" w:hAnsi="Arial" w:cs="Arial"/>
          <w:color w:val="FF0000"/>
          <w:sz w:val="20"/>
        </w:rPr>
        <w:t>.....</w:t>
      </w:r>
      <w:r>
        <w:rPr>
          <w:rFonts w:ascii="Arial" w:eastAsia="Arial" w:hAnsi="Arial" w:cs="Arial"/>
          <w:sz w:val="20"/>
        </w:rPr>
        <w:t>,</w:t>
      </w:r>
      <w:r>
        <w:rPr>
          <w:rFonts w:ascii="Arial" w:eastAsia="Arial" w:hAnsi="Arial" w:cs="Arial"/>
          <w:color w:val="FF0000"/>
          <w:sz w:val="20"/>
        </w:rPr>
        <w:t xml:space="preserve"> </w:t>
      </w:r>
      <w:r>
        <w:rPr>
          <w:rFonts w:ascii="Arial" w:eastAsia="Arial" w:hAnsi="Arial" w:cs="Arial"/>
          <w:sz w:val="20"/>
        </w:rPr>
        <w:t>de que 1/12 (um doze avos) do valor total dos contratos firmados com a Administração Pública e/ou com a iniciativa privada, vigentes na data da sessão pública de abertura deste Pregão, não é superior ao Patrimônio Líquido do lici</w:t>
      </w:r>
      <w:r>
        <w:rPr>
          <w:rFonts w:ascii="Arial" w:eastAsia="Arial" w:hAnsi="Arial" w:cs="Arial"/>
          <w:sz w:val="20"/>
        </w:rPr>
        <w:t xml:space="preserve">tante, podendo este ser atualizado na forma já disciplinada neste Edital;  </w:t>
      </w:r>
    </w:p>
    <w:p w:rsidR="006C145C" w:rsidRDefault="00C62E5A">
      <w:pPr>
        <w:spacing w:after="5" w:line="270" w:lineRule="auto"/>
        <w:ind w:left="1710" w:right="54" w:hanging="8"/>
        <w:jc w:val="both"/>
      </w:pPr>
      <w:r>
        <w:rPr>
          <w:rFonts w:ascii="Arial" w:eastAsia="Arial" w:hAnsi="Arial" w:cs="Arial"/>
          <w:sz w:val="20"/>
        </w:rPr>
        <w:t xml:space="preserve">9.10.5.4 a declaração de que trata a subcondição acima deverá estar acompanhada da Demonstração do Resultado do Exercício (DRE) relativa ao último exercício social,  </w:t>
      </w:r>
    </w:p>
    <w:p w:rsidR="006C145C" w:rsidRDefault="00C62E5A">
      <w:pPr>
        <w:spacing w:after="34" w:line="270" w:lineRule="auto"/>
        <w:ind w:left="1710" w:right="54" w:hanging="8"/>
        <w:jc w:val="both"/>
      </w:pPr>
      <w:r>
        <w:rPr>
          <w:rFonts w:ascii="Arial" w:eastAsia="Arial" w:hAnsi="Arial" w:cs="Arial"/>
          <w:sz w:val="20"/>
        </w:rPr>
        <w:t>9.10.5.5 quan</w:t>
      </w:r>
      <w:r>
        <w:rPr>
          <w:rFonts w:ascii="Arial" w:eastAsia="Arial" w:hAnsi="Arial" w:cs="Arial"/>
          <w:sz w:val="20"/>
        </w:rPr>
        <w:t>do houver divergência percentual superior a 10% (dez por cento), para mais ou para menos, entre a declaração aqui tratada e a receita bruta discriminada na Demonstração do Resultado do Exercício (DRE), deverão ser apresentadas, concomitantemente, as devida</w:t>
      </w:r>
      <w:r>
        <w:rPr>
          <w:rFonts w:ascii="Arial" w:eastAsia="Arial" w:hAnsi="Arial" w:cs="Arial"/>
          <w:sz w:val="20"/>
        </w:rPr>
        <w:t xml:space="preserve">s justificativas.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25" w:line="249" w:lineRule="auto"/>
        <w:ind w:left="-5" w:right="57" w:hanging="10"/>
        <w:jc w:val="both"/>
      </w:pPr>
      <w:r>
        <w:rPr>
          <w:rFonts w:ascii="Arial" w:eastAsia="Arial" w:hAnsi="Arial" w:cs="Arial"/>
          <w:b/>
          <w:i/>
          <w:sz w:val="20"/>
        </w:rPr>
        <w:t>Nota Explicativa:</w:t>
      </w:r>
      <w:r>
        <w:rPr>
          <w:rFonts w:ascii="Arial" w:eastAsia="Arial" w:hAnsi="Arial" w:cs="Arial"/>
          <w:i/>
          <w:sz w:val="20"/>
        </w:rPr>
        <w:t xml:space="preserve"> O presente subitem, relativo à documentação complementar de qualificação econômico-financeira, contém exigências embasadas na IN SEGES/MP nº 05, de 2017 e no Relatório apresentado pelo Grupo de Estudos de Contratação e</w:t>
      </w:r>
      <w:r>
        <w:rPr>
          <w:rFonts w:ascii="Arial" w:eastAsia="Arial" w:hAnsi="Arial" w:cs="Arial"/>
          <w:i/>
          <w:sz w:val="20"/>
        </w:rPr>
        <w:t xml:space="preserve"> Gestão de Contratos de Terceirização de Serviços Continuados na Administração Pública Federal, conforme Acórdão nº 1214/2013- TCUPlenário, cuja leitura se recomenda.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23" w:line="249" w:lineRule="auto"/>
        <w:ind w:left="-5" w:right="57" w:hanging="10"/>
        <w:jc w:val="both"/>
      </w:pPr>
      <w:r>
        <w:rPr>
          <w:rFonts w:ascii="Arial" w:eastAsia="Arial" w:hAnsi="Arial" w:cs="Arial"/>
          <w:i/>
          <w:sz w:val="20"/>
        </w:rPr>
        <w:t>Deve-</w:t>
      </w:r>
      <w:r>
        <w:rPr>
          <w:rFonts w:ascii="Arial" w:eastAsia="Arial" w:hAnsi="Arial" w:cs="Arial"/>
          <w:i/>
          <w:sz w:val="20"/>
        </w:rPr>
        <w:t>se observar que o item 12 do Anexo VII da IN SEGES/MP nº 05, de 2017 autoriza que os requisitos de qualificação econômico-financeira sejam adaptados, suprimidos ou acrescidos de outros considerados importantes para a contratação, observado o disposto nos a</w:t>
      </w:r>
      <w:r>
        <w:rPr>
          <w:rFonts w:ascii="Arial" w:eastAsia="Arial" w:hAnsi="Arial" w:cs="Arial"/>
          <w:i/>
          <w:sz w:val="20"/>
        </w:rPr>
        <w:t xml:space="preserve">rts. 27 a 31 da Lei nº 8.666, de 1993.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51" w:line="249" w:lineRule="auto"/>
        <w:ind w:left="-5" w:right="57" w:hanging="10"/>
        <w:jc w:val="both"/>
      </w:pPr>
      <w:r>
        <w:rPr>
          <w:rFonts w:ascii="Arial" w:eastAsia="Arial" w:hAnsi="Arial" w:cs="Arial"/>
          <w:i/>
          <w:sz w:val="20"/>
        </w:rPr>
        <w:t>O Pregoeiro ou a equipe de apoio devem saber operacionalizar as novas exigências, com condições de compreender e julgar os documentos apresentados. Recomenda-se buscar previamente orientações técnicas para tanto, esp</w:t>
      </w:r>
      <w:r>
        <w:rPr>
          <w:rFonts w:ascii="Arial" w:eastAsia="Arial" w:hAnsi="Arial" w:cs="Arial"/>
          <w:i/>
          <w:sz w:val="20"/>
        </w:rPr>
        <w:t xml:space="preserve">ecialmente da área contábil, se for necessário.   </w:t>
      </w:r>
    </w:p>
    <w:p w:rsidR="006C145C" w:rsidRDefault="00C62E5A">
      <w:pPr>
        <w:spacing w:after="137"/>
      </w:pPr>
      <w:r>
        <w:rPr>
          <w:rFonts w:ascii="Arial" w:eastAsia="Arial" w:hAnsi="Arial" w:cs="Arial"/>
          <w:sz w:val="20"/>
        </w:rPr>
        <w:t xml:space="preserve"> </w:t>
      </w:r>
    </w:p>
    <w:p w:rsidR="006C145C" w:rsidRDefault="00C62E5A">
      <w:pPr>
        <w:tabs>
          <w:tab w:val="center" w:pos="733"/>
          <w:tab w:val="center" w:pos="2585"/>
        </w:tabs>
        <w:spacing w:after="303" w:line="249" w:lineRule="auto"/>
      </w:pPr>
      <w:r>
        <w:tab/>
      </w:r>
      <w:r>
        <w:rPr>
          <w:rFonts w:ascii="Arial" w:eastAsia="Arial" w:hAnsi="Arial" w:cs="Arial"/>
          <w:sz w:val="20"/>
        </w:rPr>
        <w:t xml:space="preserve">9.11 </w:t>
      </w:r>
      <w:r>
        <w:rPr>
          <w:rFonts w:ascii="Arial" w:eastAsia="Arial" w:hAnsi="Arial" w:cs="Arial"/>
          <w:sz w:val="20"/>
        </w:rPr>
        <w:tab/>
      </w:r>
      <w:r>
        <w:rPr>
          <w:rFonts w:ascii="Arial" w:eastAsia="Arial" w:hAnsi="Arial" w:cs="Arial"/>
          <w:b/>
          <w:sz w:val="20"/>
        </w:rPr>
        <w:t xml:space="preserve"> Qualificação Técnica: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294" w:line="249" w:lineRule="auto"/>
        <w:ind w:left="-5" w:right="57" w:hanging="10"/>
        <w:jc w:val="both"/>
      </w:pPr>
      <w:r>
        <w:rPr>
          <w:rFonts w:ascii="Arial" w:eastAsia="Arial" w:hAnsi="Arial" w:cs="Arial"/>
          <w:b/>
          <w:i/>
          <w:sz w:val="20"/>
        </w:rPr>
        <w:t>Nota Explicativa:</w:t>
      </w:r>
      <w:r>
        <w:rPr>
          <w:rFonts w:ascii="Arial" w:eastAsia="Arial" w:hAnsi="Arial" w:cs="Arial"/>
          <w:i/>
          <w:sz w:val="20"/>
        </w:rPr>
        <w:t xml:space="preserve"> Nos termos do art. 30, II, da Lei nº 8.666/93, é obrigatório o estabelecimento de parâmetros mínimos objetivos para aferição da qualificação técnica dos </w:t>
      </w:r>
      <w:r>
        <w:rPr>
          <w:rFonts w:ascii="Arial" w:eastAsia="Arial" w:hAnsi="Arial" w:cs="Arial"/>
          <w:i/>
          <w:sz w:val="20"/>
        </w:rPr>
        <w:t xml:space="preserve">licitantes (quantitativo, prazo, etc.), assim como é importante salientar a impossibilidade de se fixar parâmetro mínimo acima de 50%, pois somente em casos excepcionais pode ser exigido quantitativo superior a 50% do item licitado. (Acórdão 361/2017- TCU </w:t>
      </w:r>
      <w:r>
        <w:rPr>
          <w:rFonts w:ascii="Arial" w:eastAsia="Arial" w:hAnsi="Arial" w:cs="Arial"/>
          <w:i/>
          <w:sz w:val="20"/>
        </w:rPr>
        <w:t xml:space="preserve">Plenário). Reitera-se, ainda, o quanto dito em relação às exigências restringirem-se a alguns itens específicos do edital. </w:t>
      </w:r>
    </w:p>
    <w:p w:rsidR="006C145C" w:rsidRDefault="00C62E5A">
      <w:pPr>
        <w:spacing w:after="156" w:line="268" w:lineRule="auto"/>
        <w:ind w:left="240" w:right="60" w:hanging="10"/>
        <w:jc w:val="right"/>
      </w:pPr>
      <w:r>
        <w:rPr>
          <w:rFonts w:ascii="Arial" w:eastAsia="Arial" w:hAnsi="Arial" w:cs="Arial"/>
          <w:sz w:val="20"/>
        </w:rPr>
        <w:t xml:space="preserve">9.11.1 </w:t>
      </w:r>
      <w:r>
        <w:rPr>
          <w:rFonts w:ascii="Arial" w:eastAsia="Arial" w:hAnsi="Arial" w:cs="Arial"/>
          <w:color w:val="FF0000"/>
          <w:sz w:val="20"/>
        </w:rPr>
        <w:t xml:space="preserve">Registro ou inscrição da empresa licitante na entidade profissional .........(escrever por extenso, se o caso), em plena validade;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b/>
          <w:i/>
          <w:sz w:val="20"/>
        </w:rPr>
        <w:t>Nota explicativa</w:t>
      </w:r>
      <w:r>
        <w:rPr>
          <w:rFonts w:ascii="Arial" w:eastAsia="Arial" w:hAnsi="Arial" w:cs="Arial"/>
          <w:i/>
          <w:sz w:val="20"/>
        </w:rPr>
        <w:t>: Tal exigência só deve ser formulada quando, por determinação legal, o exercício de determinada atividade a</w:t>
      </w:r>
      <w:r>
        <w:rPr>
          <w:rFonts w:ascii="Arial" w:eastAsia="Arial" w:hAnsi="Arial" w:cs="Arial"/>
          <w:i/>
          <w:sz w:val="20"/>
        </w:rPr>
        <w:t xml:space="preserve">feta ao objeto contratual esteja sujeita à fiscalização da entidade profissional competente, a ser indicada expressamente no edital.  </w:t>
      </w:r>
    </w:p>
    <w:p w:rsidR="006C145C" w:rsidRDefault="006C145C">
      <w:pPr>
        <w:spacing w:after="0"/>
        <w:ind w:left="-1021" w:right="1041"/>
      </w:pPr>
    </w:p>
    <w:tbl>
      <w:tblPr>
        <w:tblStyle w:val="TableGrid"/>
        <w:tblW w:w="9297" w:type="dxa"/>
        <w:tblInd w:w="0" w:type="dxa"/>
        <w:tblCellMar>
          <w:top w:w="30" w:type="dxa"/>
          <w:left w:w="112" w:type="dxa"/>
          <w:bottom w:w="0" w:type="dxa"/>
          <w:right w:w="56" w:type="dxa"/>
        </w:tblCellMar>
        <w:tblLook w:val="04A0" w:firstRow="1" w:lastRow="0" w:firstColumn="1" w:lastColumn="0" w:noHBand="0" w:noVBand="1"/>
      </w:tblPr>
      <w:tblGrid>
        <w:gridCol w:w="9297"/>
      </w:tblGrid>
      <w:tr w:rsidR="006C145C">
        <w:trPr>
          <w:trHeight w:val="13750"/>
        </w:trPr>
        <w:tc>
          <w:tcPr>
            <w:tcW w:w="9297" w:type="dxa"/>
            <w:tcBorders>
              <w:top w:val="single" w:sz="4" w:space="0" w:color="1F497D"/>
              <w:left w:val="single" w:sz="4" w:space="0" w:color="1F497D"/>
              <w:bottom w:val="nil"/>
              <w:right w:val="single" w:sz="4" w:space="0" w:color="1F497D"/>
            </w:tcBorders>
            <w:shd w:val="clear" w:color="auto" w:fill="FFFFCC"/>
          </w:tcPr>
          <w:p w:rsidR="006C145C" w:rsidRDefault="00C62E5A">
            <w:pPr>
              <w:spacing w:after="120" w:line="277" w:lineRule="auto"/>
              <w:ind w:right="69"/>
              <w:jc w:val="both"/>
            </w:pPr>
            <w:r>
              <w:rPr>
                <w:rFonts w:ascii="Arial" w:eastAsia="Arial" w:hAnsi="Arial" w:cs="Arial"/>
                <w:i/>
                <w:sz w:val="20"/>
              </w:rPr>
              <w:lastRenderedPageBreak/>
              <w:t>Quando não existir determinação legal atrelando o exercício de determinada atividade ao correspondente conselho de fisca</w:t>
            </w:r>
            <w:r>
              <w:rPr>
                <w:rFonts w:ascii="Arial" w:eastAsia="Arial" w:hAnsi="Arial" w:cs="Arial"/>
                <w:i/>
                <w:sz w:val="20"/>
              </w:rPr>
              <w:t xml:space="preserve">lização profissional, a exigência de registro ou inscrição, para fim de habilitação, torna-se inaplicável. </w:t>
            </w:r>
          </w:p>
          <w:p w:rsidR="006C145C" w:rsidRDefault="00C62E5A">
            <w:pPr>
              <w:spacing w:after="137"/>
            </w:pPr>
            <w:r>
              <w:rPr>
                <w:rFonts w:ascii="Arial" w:eastAsia="Arial" w:hAnsi="Arial" w:cs="Arial"/>
                <w:i/>
                <w:sz w:val="20"/>
              </w:rPr>
              <w:t xml:space="preserve">Nessas situações, o referido subitem deve ser excluído. </w:t>
            </w:r>
          </w:p>
          <w:p w:rsidR="006C145C" w:rsidRDefault="00C62E5A">
            <w:pPr>
              <w:spacing w:after="137"/>
            </w:pPr>
            <w:r>
              <w:rPr>
                <w:rFonts w:ascii="Arial" w:eastAsia="Arial" w:hAnsi="Arial" w:cs="Arial"/>
                <w:i/>
                <w:sz w:val="20"/>
              </w:rPr>
              <w:t xml:space="preserve">Jurisprudência atinente ao registro no Conselho Regional de Administração – CRA: </w:t>
            </w:r>
          </w:p>
          <w:p w:rsidR="006C145C" w:rsidRDefault="00C62E5A">
            <w:pPr>
              <w:spacing w:after="119" w:line="278" w:lineRule="auto"/>
              <w:ind w:right="60"/>
              <w:jc w:val="both"/>
            </w:pPr>
            <w:r>
              <w:rPr>
                <w:rFonts w:ascii="Arial" w:eastAsia="Arial" w:hAnsi="Arial" w:cs="Arial"/>
                <w:i/>
                <w:sz w:val="20"/>
              </w:rPr>
              <w:t xml:space="preserve">“ADMINISTRATIVO. LICITAÇÃO. EMPRESA DE SEGURANÇA E VIGILÂNCIA. REGISTRO NO CONSELHO REGIONAL DE ADMINISTRAÇÃO. ATIVIDADE-FIM. EXIGÊNCIA EDITALÍCIA. INVALIDADE. </w:t>
            </w:r>
          </w:p>
          <w:p w:rsidR="006C145C" w:rsidRDefault="00C62E5A">
            <w:pPr>
              <w:numPr>
                <w:ilvl w:val="0"/>
                <w:numId w:val="60"/>
              </w:numPr>
              <w:spacing w:after="122" w:line="277" w:lineRule="auto"/>
              <w:ind w:right="55"/>
              <w:jc w:val="both"/>
            </w:pPr>
            <w:r>
              <w:rPr>
                <w:rFonts w:ascii="Arial" w:eastAsia="Arial" w:hAnsi="Arial" w:cs="Arial"/>
                <w:i/>
                <w:sz w:val="20"/>
              </w:rPr>
              <w:t>A inscrição de empresas nas entidades fiscalizadoras do exercício profissional relaciona-se à a</w:t>
            </w:r>
            <w:r>
              <w:rPr>
                <w:rFonts w:ascii="Arial" w:eastAsia="Arial" w:hAnsi="Arial" w:cs="Arial"/>
                <w:i/>
                <w:sz w:val="20"/>
              </w:rPr>
              <w:t xml:space="preserve">tividade-fim, a teor do disposto no artigo 1º da Lei 6.839/80, razão pela qual as empresas de segurança e vigilância não se sujeitam a registro no Conselho Regional de Administração. </w:t>
            </w:r>
          </w:p>
          <w:p w:rsidR="006C145C" w:rsidRDefault="00C62E5A">
            <w:pPr>
              <w:numPr>
                <w:ilvl w:val="0"/>
                <w:numId w:val="60"/>
              </w:numPr>
              <w:spacing w:after="119" w:line="277" w:lineRule="auto"/>
              <w:ind w:right="55"/>
              <w:jc w:val="both"/>
            </w:pPr>
            <w:r>
              <w:rPr>
                <w:rFonts w:ascii="Arial" w:eastAsia="Arial" w:hAnsi="Arial" w:cs="Arial"/>
                <w:i/>
                <w:sz w:val="20"/>
              </w:rPr>
              <w:t xml:space="preserve">É inválida disposição editalícia que condiciona a participação </w:t>
            </w:r>
            <w:r>
              <w:rPr>
                <w:rFonts w:ascii="Arial" w:eastAsia="Arial" w:hAnsi="Arial" w:cs="Arial"/>
                <w:i/>
                <w:sz w:val="20"/>
              </w:rPr>
              <w:t xml:space="preserve">dessas empresas no certame à apresentação de certidão comprobatória de sua inscrição perante o CRA. </w:t>
            </w:r>
          </w:p>
          <w:p w:rsidR="006C145C" w:rsidRDefault="00C62E5A">
            <w:pPr>
              <w:numPr>
                <w:ilvl w:val="0"/>
                <w:numId w:val="60"/>
              </w:numPr>
              <w:spacing w:after="104" w:line="293" w:lineRule="auto"/>
              <w:ind w:right="55"/>
              <w:jc w:val="both"/>
            </w:pPr>
            <w:r>
              <w:rPr>
                <w:rFonts w:ascii="Arial" w:eastAsia="Arial" w:hAnsi="Arial" w:cs="Arial"/>
                <w:i/>
                <w:sz w:val="20"/>
              </w:rPr>
              <w:t>Dentre as atividades fiscalizadas pelo Conselho Regional de Administração não estão inseridas as executadas pelas empresas de vigilância e segurança. As em</w:t>
            </w:r>
            <w:r>
              <w:rPr>
                <w:rFonts w:ascii="Arial" w:eastAsia="Arial" w:hAnsi="Arial" w:cs="Arial"/>
                <w:i/>
                <w:sz w:val="20"/>
              </w:rPr>
              <w:t>presas de limpeza e conservação não estão sujeitas à inscrição no CRA, pois na atividade básica não exige a presença de profissionais de Administração.” (Processo nº 200131000002295, Tribunal Regional Federal da 1ª Região, Órgão Julgador: Quinta Turma, Rel</w:t>
            </w:r>
            <w:r>
              <w:rPr>
                <w:rFonts w:ascii="Arial" w:eastAsia="Arial" w:hAnsi="Arial" w:cs="Arial"/>
                <w:i/>
                <w:sz w:val="20"/>
              </w:rPr>
              <w:t>. Desembargadora Federal Selene Maria de Almeida, DJ</w:t>
            </w:r>
            <w:r>
              <w:rPr>
                <w:rFonts w:ascii="Arial" w:eastAsia="Arial" w:hAnsi="Arial" w:cs="Arial"/>
                <w:b/>
                <w:i/>
                <w:sz w:val="20"/>
              </w:rPr>
              <w:t xml:space="preserve"> </w:t>
            </w:r>
            <w:r>
              <w:rPr>
                <w:rFonts w:ascii="Arial" w:eastAsia="Arial" w:hAnsi="Arial" w:cs="Arial"/>
                <w:i/>
                <w:sz w:val="20"/>
              </w:rPr>
              <w:t>18/6/2004 –</w:t>
            </w:r>
            <w:r>
              <w:rPr>
                <w:rFonts w:ascii="Arial" w:eastAsia="Arial" w:hAnsi="Arial" w:cs="Arial"/>
                <w:b/>
                <w:i/>
                <w:sz w:val="20"/>
              </w:rPr>
              <w:t xml:space="preserve"> </w:t>
            </w:r>
            <w:r>
              <w:rPr>
                <w:rFonts w:ascii="Arial" w:eastAsia="Arial" w:hAnsi="Arial" w:cs="Arial"/>
                <w:i/>
                <w:sz w:val="20"/>
              </w:rPr>
              <w:t xml:space="preserve">página 30.) “Segundo o contra recurso apresentado pela empresa [...], e cujas razões foram assimiladas pela Comissão de Licitação, o atestado para ter validade deveria ter sido registrado no </w:t>
            </w:r>
            <w:r>
              <w:rPr>
                <w:rFonts w:ascii="Arial" w:eastAsia="Arial" w:hAnsi="Arial" w:cs="Arial"/>
                <w:i/>
                <w:sz w:val="20"/>
              </w:rPr>
              <w:t xml:space="preserve">Conselho Regional de Administração do Estado de [...]. </w:t>
            </w:r>
          </w:p>
          <w:p w:rsidR="006C145C" w:rsidRDefault="00C62E5A">
            <w:pPr>
              <w:spacing w:after="134" w:line="283" w:lineRule="auto"/>
              <w:ind w:right="57"/>
              <w:jc w:val="both"/>
            </w:pPr>
            <w:r>
              <w:rPr>
                <w:rFonts w:ascii="Arial" w:eastAsia="Arial" w:hAnsi="Arial" w:cs="Arial"/>
                <w:i/>
                <w:sz w:val="20"/>
              </w:rPr>
              <w:t>Ora, já demonstramos (vide fls. 9/12 - vol. principal) que a Jurisprudência firmou entendimento de que é a atividade preponderante do profissional ou da empresa que determina qual o Conselho Profissio</w:t>
            </w:r>
            <w:r>
              <w:rPr>
                <w:rFonts w:ascii="Arial" w:eastAsia="Arial" w:hAnsi="Arial" w:cs="Arial"/>
                <w:i/>
                <w:sz w:val="20"/>
              </w:rPr>
              <w:t>nal que tem competência para a Fiscalização (STJ, Resp nº 488.441/RS). Ademais, as empresas prestadoras de serviços de limpeza, conservação e prestação de serviços de vigilância desarmada não se inserem dentre as hipóteses da lei regulamentadora da profiss</w:t>
            </w:r>
            <w:r>
              <w:rPr>
                <w:rFonts w:ascii="Arial" w:eastAsia="Arial" w:hAnsi="Arial" w:cs="Arial"/>
                <w:i/>
                <w:sz w:val="20"/>
              </w:rPr>
              <w:t xml:space="preserve">ão de administrador (TRF 4ª Região, Remessa Ex-Offício nº 12.923/SC).” Acórdão nº 2211/2010 Plenário, TCU </w:t>
            </w:r>
          </w:p>
          <w:p w:rsidR="006C145C" w:rsidRDefault="00C62E5A">
            <w:pPr>
              <w:spacing w:after="131" w:line="290" w:lineRule="auto"/>
              <w:ind w:right="62"/>
              <w:jc w:val="both"/>
            </w:pPr>
            <w:r>
              <w:rPr>
                <w:rFonts w:ascii="Arial" w:eastAsia="Arial" w:hAnsi="Arial" w:cs="Arial"/>
                <w:i/>
                <w:sz w:val="20"/>
              </w:rPr>
              <w:t>“9.4.17. em atenção ao princípio da legalidade, abstenha-se de exigir, no caso de contratação de serviços de informática, o registro de licitantes ou</w:t>
            </w:r>
            <w:r>
              <w:rPr>
                <w:rFonts w:ascii="Arial" w:eastAsia="Arial" w:hAnsi="Arial" w:cs="Arial"/>
                <w:i/>
                <w:sz w:val="20"/>
              </w:rPr>
              <w:t xml:space="preserve"> profissionais ou os atestados no Conselho Regional de Administração ou em qualquer outro conselho, uma vez que as atividades de tecnologia da informação não são regulamentadas por lei;” Acórdão nº 1724/2010 Plenário, TCU. </w:t>
            </w:r>
          </w:p>
          <w:p w:rsidR="006C145C" w:rsidRDefault="00C62E5A">
            <w:pPr>
              <w:spacing w:after="114" w:line="286" w:lineRule="auto"/>
            </w:pPr>
            <w:r>
              <w:rPr>
                <w:rFonts w:ascii="Arial" w:eastAsia="Arial" w:hAnsi="Arial" w:cs="Arial"/>
                <w:b/>
                <w:i/>
                <w:sz w:val="20"/>
              </w:rPr>
              <w:t>Nota explicativa</w:t>
            </w:r>
            <w:r>
              <w:rPr>
                <w:rFonts w:ascii="Arial" w:eastAsia="Arial" w:hAnsi="Arial" w:cs="Arial"/>
                <w:i/>
                <w:sz w:val="20"/>
              </w:rPr>
              <w:t>: O TCU possui f</w:t>
            </w:r>
            <w:r>
              <w:rPr>
                <w:rFonts w:ascii="Arial" w:eastAsia="Arial" w:hAnsi="Arial" w:cs="Arial"/>
                <w:i/>
                <w:sz w:val="20"/>
              </w:rPr>
              <w:t>irme jurisprudência quanto a tal interpretação abrangente do “quadro permanente” do licitante, que não deve ser restrito ao vínculo empregatício ou societário, admitindo-se também o vínculo por meio de contrato de prestação de serviços (Acórdãos n° 170/200</w:t>
            </w:r>
            <w:r>
              <w:rPr>
                <w:rFonts w:ascii="Arial" w:eastAsia="Arial" w:hAnsi="Arial" w:cs="Arial"/>
                <w:i/>
                <w:sz w:val="20"/>
              </w:rPr>
              <w:t xml:space="preserve">7, n° 141/2008, n° 1.905/2009, n° 2.828/2009, n° 73/2010, n° 1.733/2010, n° 2.583/2010, n° 600/2011, n° 1.898/2011 e n° 2.299/2011, todos do Plenário). </w:t>
            </w:r>
          </w:p>
          <w:p w:rsidR="006C145C" w:rsidRDefault="00C62E5A">
            <w:pPr>
              <w:spacing w:after="122" w:line="277" w:lineRule="auto"/>
              <w:ind w:right="59"/>
              <w:jc w:val="both"/>
            </w:pPr>
            <w:r>
              <w:rPr>
                <w:rFonts w:ascii="Arial" w:eastAsia="Arial" w:hAnsi="Arial" w:cs="Arial"/>
                <w:i/>
                <w:sz w:val="20"/>
              </w:rPr>
              <w:t>Ademais, a jurisprudência do TCU também se posiciona no sentido de que não é razoável exigir a comprova</w:t>
            </w:r>
            <w:r>
              <w:rPr>
                <w:rFonts w:ascii="Arial" w:eastAsia="Arial" w:hAnsi="Arial" w:cs="Arial"/>
                <w:i/>
                <w:sz w:val="20"/>
              </w:rPr>
              <w:t>ção do vínculo permanente entre empresa e responsável técnico no momento de apresentação da proposta, por restringir a ampla competitividade ao impor ônus antecipado aos licitantes (por exemplo, Acórdãos n° 2.471/2007, n° 1.265/2009, n° 1.282/2010, n° 1.02</w:t>
            </w:r>
            <w:r>
              <w:rPr>
                <w:rFonts w:ascii="Arial" w:eastAsia="Arial" w:hAnsi="Arial" w:cs="Arial"/>
                <w:i/>
                <w:sz w:val="20"/>
              </w:rPr>
              <w:t xml:space="preserve">8/2011 e n° 2.353/2011, todos do Plenário). </w:t>
            </w:r>
          </w:p>
          <w:p w:rsidR="006C145C" w:rsidRDefault="00C62E5A">
            <w:pPr>
              <w:spacing w:after="0"/>
              <w:ind w:right="66"/>
              <w:jc w:val="both"/>
            </w:pPr>
            <w:r>
              <w:rPr>
                <w:rFonts w:ascii="Arial" w:eastAsia="Arial" w:hAnsi="Arial" w:cs="Arial"/>
                <w:i/>
                <w:sz w:val="20"/>
              </w:rPr>
              <w:t xml:space="preserve">Vejamos, a propósito, a irregularidade apontada no Acórdão n° 2.607/2011, também do Plenário: “9.1.2. ausência de previsão, no edital da Concorrência (...), da possibilidade de comprovação da capacidade técnica </w:t>
            </w:r>
            <w:r>
              <w:rPr>
                <w:rFonts w:ascii="Arial" w:eastAsia="Arial" w:hAnsi="Arial" w:cs="Arial"/>
                <w:i/>
                <w:sz w:val="20"/>
              </w:rPr>
              <w:t xml:space="preserve">do responsável pela obra por meio de contrato regido pelo Direito Civil ou declaração de que o profissional integraria o quadro da licitante como responsável técnico, se a </w:t>
            </w:r>
          </w:p>
        </w:tc>
      </w:tr>
    </w:tbl>
    <w:p w:rsidR="006C145C" w:rsidRDefault="00C62E5A">
      <w:pPr>
        <w:pBdr>
          <w:left w:val="single" w:sz="4" w:space="0" w:color="1F497D"/>
          <w:bottom w:val="single" w:sz="4" w:space="0" w:color="1F497D"/>
          <w:right w:val="single" w:sz="4" w:space="0" w:color="1F497D"/>
        </w:pBdr>
        <w:shd w:val="clear" w:color="auto" w:fill="FFFFCC"/>
        <w:spacing w:after="109" w:line="313" w:lineRule="auto"/>
        <w:ind w:left="-5" w:right="49" w:hanging="10"/>
        <w:jc w:val="both"/>
      </w:pPr>
      <w:r>
        <w:rPr>
          <w:rFonts w:ascii="Arial" w:eastAsia="Arial" w:hAnsi="Arial" w:cs="Arial"/>
          <w:i/>
          <w:sz w:val="20"/>
        </w:rPr>
        <w:lastRenderedPageBreak/>
        <w:t xml:space="preserve">empresa viesse a ser contratada, em desconformidade com os Acórdãos/TCU 2297/2005 e 291/2007, ambos do Plenário;” </w:t>
      </w:r>
    </w:p>
    <w:p w:rsidR="006C145C" w:rsidRDefault="00C62E5A">
      <w:pPr>
        <w:pBdr>
          <w:left w:val="single" w:sz="4" w:space="0" w:color="1F497D"/>
          <w:bottom w:val="single" w:sz="4" w:space="0" w:color="1F497D"/>
          <w:right w:val="single" w:sz="4" w:space="0" w:color="1F497D"/>
        </w:pBdr>
        <w:shd w:val="clear" w:color="auto" w:fill="FFFFCC"/>
        <w:spacing w:after="142" w:line="253" w:lineRule="auto"/>
        <w:ind w:left="-5" w:right="49" w:hanging="10"/>
        <w:jc w:val="both"/>
      </w:pPr>
      <w:r>
        <w:rPr>
          <w:rFonts w:ascii="Arial" w:eastAsia="Arial" w:hAnsi="Arial" w:cs="Arial"/>
          <w:i/>
          <w:sz w:val="20"/>
        </w:rPr>
        <w:t>Assim, além da tradicional extensão da interpretação do “quadro permanente”, também se deve admitir que o vínculo seja comprovado mediante ta</w:t>
      </w:r>
      <w:r>
        <w:rPr>
          <w:rFonts w:ascii="Arial" w:eastAsia="Arial" w:hAnsi="Arial" w:cs="Arial"/>
          <w:i/>
          <w:sz w:val="20"/>
        </w:rPr>
        <w:t xml:space="preserve">l declaração de disponibilidade futura. </w:t>
      </w:r>
    </w:p>
    <w:p w:rsidR="006C145C" w:rsidRDefault="00C62E5A">
      <w:pPr>
        <w:pBdr>
          <w:left w:val="single" w:sz="4" w:space="0" w:color="1F497D"/>
          <w:bottom w:val="single" w:sz="4" w:space="0" w:color="1F497D"/>
          <w:right w:val="single" w:sz="4" w:space="0" w:color="1F497D"/>
        </w:pBdr>
        <w:shd w:val="clear" w:color="auto" w:fill="FFFFCC"/>
        <w:spacing w:after="142" w:line="253" w:lineRule="auto"/>
        <w:ind w:left="-5" w:right="49" w:hanging="10"/>
        <w:jc w:val="both"/>
      </w:pPr>
      <w:r>
        <w:rPr>
          <w:rFonts w:ascii="Arial" w:eastAsia="Arial" w:hAnsi="Arial" w:cs="Arial"/>
          <w:i/>
          <w:sz w:val="20"/>
        </w:rPr>
        <w:t>No decorrer da execução do serviço, os profissionais de que trata este subitem poderão ser substituídos, nos termos do artigo 30, §10, da Lei n° 8.666, de 1993, por profissionais de experiência equivalente ou superi</w:t>
      </w:r>
      <w:r>
        <w:rPr>
          <w:rFonts w:ascii="Arial" w:eastAsia="Arial" w:hAnsi="Arial" w:cs="Arial"/>
          <w:i/>
          <w:sz w:val="20"/>
        </w:rPr>
        <w:t xml:space="preserve">or, desde que a substituição seja aprovada pela Administração. </w:t>
      </w:r>
    </w:p>
    <w:p w:rsidR="006C145C" w:rsidRDefault="00C62E5A">
      <w:pPr>
        <w:pBdr>
          <w:left w:val="single" w:sz="4" w:space="0" w:color="1F497D"/>
          <w:bottom w:val="single" w:sz="4" w:space="0" w:color="1F497D"/>
          <w:right w:val="single" w:sz="4" w:space="0" w:color="1F497D"/>
        </w:pBdr>
        <w:shd w:val="clear" w:color="auto" w:fill="FFFFCC"/>
        <w:spacing w:after="48"/>
        <w:ind w:left="-15" w:right="49"/>
      </w:pPr>
      <w:r>
        <w:rPr>
          <w:rFonts w:ascii="Arial" w:eastAsia="Arial" w:hAnsi="Arial" w:cs="Arial"/>
          <w:i/>
          <w:sz w:val="20"/>
        </w:rPr>
        <w:t xml:space="preserve"> </w:t>
      </w:r>
    </w:p>
    <w:p w:rsidR="006C145C" w:rsidRDefault="00C62E5A">
      <w:pPr>
        <w:spacing w:after="0"/>
      </w:pPr>
      <w:r>
        <w:rPr>
          <w:rFonts w:ascii="Arial" w:eastAsia="Arial" w:hAnsi="Arial" w:cs="Arial"/>
          <w:sz w:val="20"/>
        </w:rPr>
        <w:t xml:space="preserve"> </w:t>
      </w:r>
    </w:p>
    <w:tbl>
      <w:tblPr>
        <w:tblStyle w:val="TableGrid"/>
        <w:tblW w:w="9297" w:type="dxa"/>
        <w:tblInd w:w="-112" w:type="dxa"/>
        <w:tblCellMar>
          <w:top w:w="30" w:type="dxa"/>
          <w:left w:w="112" w:type="dxa"/>
          <w:bottom w:w="0" w:type="dxa"/>
          <w:right w:w="57" w:type="dxa"/>
        </w:tblCellMar>
        <w:tblLook w:val="04A0" w:firstRow="1" w:lastRow="0" w:firstColumn="1" w:lastColumn="0" w:noHBand="0" w:noVBand="1"/>
      </w:tblPr>
      <w:tblGrid>
        <w:gridCol w:w="9297"/>
      </w:tblGrid>
      <w:tr w:rsidR="006C145C">
        <w:trPr>
          <w:trHeight w:val="8824"/>
        </w:trPr>
        <w:tc>
          <w:tcPr>
            <w:tcW w:w="9297" w:type="dxa"/>
            <w:tcBorders>
              <w:top w:val="single" w:sz="4" w:space="0" w:color="1F497D"/>
              <w:left w:val="single" w:sz="4" w:space="0" w:color="1F497D"/>
              <w:bottom w:val="single" w:sz="4" w:space="0" w:color="1F497D"/>
              <w:right w:val="single" w:sz="4" w:space="0" w:color="1F497D"/>
            </w:tcBorders>
            <w:shd w:val="clear" w:color="auto" w:fill="FFFFCC"/>
          </w:tcPr>
          <w:p w:rsidR="006C145C" w:rsidRDefault="00C62E5A">
            <w:pPr>
              <w:spacing w:after="122" w:line="277" w:lineRule="auto"/>
              <w:ind w:right="60"/>
              <w:jc w:val="both"/>
            </w:pPr>
            <w:r>
              <w:rPr>
                <w:rFonts w:ascii="Arial" w:eastAsia="Arial" w:hAnsi="Arial" w:cs="Arial"/>
                <w:b/>
                <w:i/>
                <w:sz w:val="20"/>
              </w:rPr>
              <w:t>Nota explicativa 2</w:t>
            </w:r>
            <w:r>
              <w:rPr>
                <w:rFonts w:ascii="Arial" w:eastAsia="Arial" w:hAnsi="Arial" w:cs="Arial"/>
                <w:i/>
                <w:sz w:val="20"/>
              </w:rPr>
              <w:t>: Nos serviços em que seja necessário exigir alguma qualificação profissional específica, será possível, justificadamente, exigir a capacitação técnico-</w:t>
            </w:r>
            <w:r>
              <w:rPr>
                <w:rFonts w:ascii="Arial" w:eastAsia="Arial" w:hAnsi="Arial" w:cs="Arial"/>
                <w:i/>
                <w:sz w:val="20"/>
              </w:rPr>
              <w:t xml:space="preserve">profissional, nos termos do art. 30, §1º, I da Lei n. 8.666/93 (como é feito nos serviços de engenharia, por exemplo). Nessa hipótese, os profissionais devem ser arrolados, bem como a experiência anterior a ser comprovada por cada um – a qual se limita às </w:t>
            </w:r>
            <w:r>
              <w:rPr>
                <w:rFonts w:ascii="Arial" w:eastAsia="Arial" w:hAnsi="Arial" w:cs="Arial"/>
                <w:i/>
                <w:sz w:val="20"/>
              </w:rPr>
              <w:t>parcelas de maior relevância técnica e valor significativo, a serem expressamente indicadas no edital (art. 30, § 2°, da Lei n° 8.666/93).</w:t>
            </w:r>
            <w:r>
              <w:rPr>
                <w:rFonts w:ascii="Arial" w:eastAsia="Arial" w:hAnsi="Arial" w:cs="Arial"/>
                <w:b/>
                <w:i/>
                <w:sz w:val="20"/>
              </w:rPr>
              <w:t xml:space="preserve"> </w:t>
            </w:r>
            <w:r>
              <w:rPr>
                <w:rFonts w:ascii="Arial" w:eastAsia="Arial" w:hAnsi="Arial" w:cs="Arial"/>
                <w:i/>
                <w:sz w:val="20"/>
              </w:rPr>
              <w:t>Alertamos que o art. 30, § 1°, inciso I, da Lei n° 8.666/93, veda, para a capacidade técnico-profissional, as exigênc</w:t>
            </w:r>
            <w:r>
              <w:rPr>
                <w:rFonts w:ascii="Arial" w:eastAsia="Arial" w:hAnsi="Arial" w:cs="Arial"/>
                <w:i/>
                <w:sz w:val="20"/>
              </w:rPr>
              <w:t>ias de quantidades mínimas ou prazos máximos. O § 5° do mesmo artigo também veda genericamente a exigência de comprovação de atividade ou aptidão com limitações de tempo, época ou locais específicos. Portanto, nesse caso, recomenda-se a inclusão da seguint</w:t>
            </w:r>
            <w:r>
              <w:rPr>
                <w:rFonts w:ascii="Arial" w:eastAsia="Arial" w:hAnsi="Arial" w:cs="Arial"/>
                <w:i/>
                <w:sz w:val="20"/>
              </w:rPr>
              <w:t>e redação:</w:t>
            </w:r>
            <w:r>
              <w:rPr>
                <w:rFonts w:ascii="Arial" w:eastAsia="Arial" w:hAnsi="Arial" w:cs="Arial"/>
                <w:b/>
                <w:i/>
                <w:sz w:val="20"/>
              </w:rPr>
              <w:t xml:space="preserve"> </w:t>
            </w:r>
          </w:p>
          <w:p w:rsidR="006C145C" w:rsidRDefault="00C62E5A">
            <w:pPr>
              <w:spacing w:after="122" w:line="277" w:lineRule="auto"/>
              <w:ind w:right="56"/>
              <w:jc w:val="both"/>
            </w:pPr>
            <w:r>
              <w:rPr>
                <w:rFonts w:ascii="Arial" w:eastAsia="Arial" w:hAnsi="Arial" w:cs="Arial"/>
                <w:b/>
                <w:sz w:val="20"/>
              </w:rPr>
              <w:t>*.*.</w:t>
            </w:r>
            <w:r>
              <w:rPr>
                <w:rFonts w:ascii="Arial" w:eastAsia="Arial" w:hAnsi="Arial" w:cs="Arial"/>
                <w:sz w:val="20"/>
              </w:rPr>
              <w:t xml:space="preserve"> Comprovação da capacitação técnico-profissional: comprovação do licitante de possuir em seu quadro permanente, na data prevista para entrega da proposta, profissional de nível superior ou outro devidamente reconhecido pela entidade profiss</w:t>
            </w:r>
            <w:r>
              <w:rPr>
                <w:rFonts w:ascii="Arial" w:eastAsia="Arial" w:hAnsi="Arial" w:cs="Arial"/>
                <w:sz w:val="20"/>
              </w:rPr>
              <w:t xml:space="preserve">ional XXXX, detentor de atestado de responsabilidade técnica relativo à execução dos serviços que compõem as parcelas de maior relevância técnica e valor significativo da contratação, a saber: </w:t>
            </w:r>
          </w:p>
          <w:p w:rsidR="006C145C" w:rsidRDefault="00C62E5A">
            <w:pPr>
              <w:spacing w:after="0" w:line="403" w:lineRule="auto"/>
              <w:ind w:right="4128"/>
            </w:pPr>
            <w:r>
              <w:rPr>
                <w:rFonts w:ascii="Arial" w:eastAsia="Arial" w:hAnsi="Arial" w:cs="Arial"/>
                <w:sz w:val="20"/>
              </w:rPr>
              <w:t xml:space="preserve">i.          Para o (profissional XXXX): serviços de XXXX; ii. </w:t>
            </w:r>
            <w:r>
              <w:rPr>
                <w:rFonts w:ascii="Arial" w:eastAsia="Arial" w:hAnsi="Arial" w:cs="Arial"/>
                <w:sz w:val="20"/>
              </w:rPr>
              <w:t xml:space="preserve">       Para o (profissional XXXX): serviços de XXXX; etc.     </w:t>
            </w:r>
          </w:p>
          <w:p w:rsidR="006C145C" w:rsidRDefault="00C62E5A">
            <w:pPr>
              <w:spacing w:after="117" w:line="278" w:lineRule="auto"/>
              <w:ind w:right="57"/>
              <w:jc w:val="both"/>
            </w:pPr>
            <w:r>
              <w:rPr>
                <w:rFonts w:ascii="Arial" w:eastAsia="Arial" w:hAnsi="Arial" w:cs="Arial"/>
                <w:b/>
                <w:sz w:val="20"/>
              </w:rPr>
              <w:t>*.*.1.</w:t>
            </w:r>
            <w:r>
              <w:rPr>
                <w:rFonts w:ascii="Arial" w:eastAsia="Arial" w:hAnsi="Arial" w:cs="Arial"/>
                <w:sz w:val="20"/>
              </w:rPr>
              <w:t xml:space="preserve"> Entende-se, para fins deste Edital, como pertencente ao quadro permanente do licitante, na data prevista para entrega da proposta, o sócio que comprove seu vínculo por intermédio de cont</w:t>
            </w:r>
            <w:r>
              <w:rPr>
                <w:rFonts w:ascii="Arial" w:eastAsia="Arial" w:hAnsi="Arial" w:cs="Arial"/>
                <w:sz w:val="20"/>
              </w:rPr>
              <w:t>rato/estatuto social; o administrador ou o diretor; o empregado devidamente registrado em Carteira de Trabalho e Previdência Social; e o prestador de serviços com contrato escrito firmado com o licitante, ou com declaração de compromisso de vinculação futu</w:t>
            </w:r>
            <w:r>
              <w:rPr>
                <w:rFonts w:ascii="Arial" w:eastAsia="Arial" w:hAnsi="Arial" w:cs="Arial"/>
                <w:sz w:val="20"/>
              </w:rPr>
              <w:t xml:space="preserve">ra, caso o licitante se sagre vencedor do certame. </w:t>
            </w:r>
          </w:p>
          <w:p w:rsidR="006C145C" w:rsidRDefault="00C62E5A">
            <w:pPr>
              <w:spacing w:after="116" w:line="279" w:lineRule="auto"/>
              <w:ind w:right="63"/>
              <w:jc w:val="both"/>
            </w:pPr>
            <w:r>
              <w:rPr>
                <w:rFonts w:ascii="Arial" w:eastAsia="Arial" w:hAnsi="Arial" w:cs="Arial"/>
                <w:b/>
                <w:sz w:val="20"/>
              </w:rPr>
              <w:t>*.*.2</w:t>
            </w:r>
            <w:r>
              <w:rPr>
                <w:rFonts w:ascii="Arial" w:eastAsia="Arial" w:hAnsi="Arial" w:cs="Arial"/>
                <w:sz w:val="20"/>
              </w:rPr>
              <w:t xml:space="preserve"> No decorrer da execução do serviço, os profissionais de que trata este subitem poderão ser substituídos, nos termos do artigo 30, §10, da Lei n° 8.666, de 1993, por profissionais de experiência equi</w:t>
            </w:r>
            <w:r>
              <w:rPr>
                <w:rFonts w:ascii="Arial" w:eastAsia="Arial" w:hAnsi="Arial" w:cs="Arial"/>
                <w:sz w:val="20"/>
              </w:rPr>
              <w:t xml:space="preserve">valente ou superior, desde que a substituição seja aprovada pela Administração. </w:t>
            </w:r>
          </w:p>
          <w:p w:rsidR="006C145C" w:rsidRDefault="00C62E5A">
            <w:pPr>
              <w:spacing w:after="0"/>
              <w:ind w:right="62"/>
              <w:jc w:val="both"/>
            </w:pPr>
            <w:r>
              <w:rPr>
                <w:rFonts w:ascii="Arial" w:eastAsia="Arial" w:hAnsi="Arial" w:cs="Arial"/>
                <w:i/>
                <w:sz w:val="20"/>
              </w:rPr>
              <w:t>Entretanto, vale salientar que o Tribunal de Contas da União admite excepcionalmente a exigência de quantitativos para qualificação técnico-profissional, se houver justificati</w:t>
            </w:r>
            <w:r>
              <w:rPr>
                <w:rFonts w:ascii="Arial" w:eastAsia="Arial" w:hAnsi="Arial" w:cs="Arial"/>
                <w:i/>
                <w:sz w:val="20"/>
              </w:rPr>
              <w:t xml:space="preserve">va nesse sentido, conforme Acórdãos TCU 1.214/2013 e 2.434/2013 - Plenário, cuja leitura se recomenda. </w:t>
            </w:r>
          </w:p>
        </w:tc>
      </w:tr>
    </w:tbl>
    <w:p w:rsidR="006C145C" w:rsidRDefault="00C62E5A">
      <w:pPr>
        <w:spacing w:after="6" w:line="270" w:lineRule="auto"/>
        <w:ind w:left="2281" w:right="54" w:hanging="721"/>
        <w:jc w:val="both"/>
      </w:pPr>
      <w:r>
        <w:rPr>
          <w:rFonts w:ascii="Arial" w:eastAsia="Arial" w:hAnsi="Arial" w:cs="Arial"/>
          <w:sz w:val="20"/>
        </w:rPr>
        <w:t xml:space="preserve">9.11.2 </w:t>
      </w:r>
      <w:r>
        <w:rPr>
          <w:rFonts w:ascii="Arial" w:eastAsia="Arial" w:hAnsi="Arial" w:cs="Arial"/>
          <w:sz w:val="20"/>
        </w:rPr>
        <w:t>Comprovação de aptidão para a prestação dos serviços em características, quantidades e prazos compatíveis com o objeto desta licitação, ou com o item pertinente, mediante a apresentação de atestado(s) fornecido(s) por pessoas jurídicas de direito público o</w:t>
      </w:r>
      <w:r>
        <w:rPr>
          <w:rFonts w:ascii="Arial" w:eastAsia="Arial" w:hAnsi="Arial" w:cs="Arial"/>
          <w:sz w:val="20"/>
        </w:rPr>
        <w:t xml:space="preserve">u privado.  </w:t>
      </w:r>
    </w:p>
    <w:p w:rsidR="006C145C" w:rsidRDefault="00C62E5A">
      <w:pPr>
        <w:spacing w:after="5" w:line="270" w:lineRule="auto"/>
        <w:ind w:left="2423" w:right="54" w:hanging="721"/>
        <w:jc w:val="both"/>
      </w:pPr>
      <w:r>
        <w:rPr>
          <w:rFonts w:ascii="Arial" w:eastAsia="Arial" w:hAnsi="Arial" w:cs="Arial"/>
          <w:sz w:val="20"/>
        </w:rPr>
        <w:t xml:space="preserve">9.11.2.1 Para fins da comprovação de que trata este subitem, os atestados deverão dizer respeito a serviços executados com as seguintes características mínimas: </w:t>
      </w:r>
    </w:p>
    <w:p w:rsidR="006C145C" w:rsidRDefault="00C62E5A">
      <w:pPr>
        <w:spacing w:after="131" w:line="269" w:lineRule="auto"/>
        <w:ind w:left="2279" w:right="54" w:hanging="10"/>
        <w:jc w:val="both"/>
      </w:pPr>
      <w:r>
        <w:rPr>
          <w:rFonts w:ascii="Arial" w:eastAsia="Arial" w:hAnsi="Arial" w:cs="Arial"/>
          <w:color w:val="FF0000"/>
          <w:sz w:val="20"/>
        </w:rPr>
        <w:t xml:space="preserve">9.11.2.1.1 .... </w:t>
      </w:r>
    </w:p>
    <w:p w:rsidR="006C145C" w:rsidRDefault="00C62E5A">
      <w:pPr>
        <w:spacing w:after="7" w:line="269" w:lineRule="auto"/>
        <w:ind w:left="2278" w:right="4614" w:hanging="10"/>
        <w:jc w:val="both"/>
      </w:pPr>
      <w:r>
        <w:rPr>
          <w:rFonts w:ascii="Arial" w:eastAsia="Arial" w:hAnsi="Arial" w:cs="Arial"/>
          <w:color w:val="FF0000"/>
          <w:sz w:val="20"/>
        </w:rPr>
        <w:lastRenderedPageBreak/>
        <w:t xml:space="preserve">9.11.2.1.2 .... 9.11.2.1.3 .... </w:t>
      </w:r>
    </w:p>
    <w:p w:rsidR="006C145C" w:rsidRDefault="00C62E5A">
      <w:pPr>
        <w:spacing w:after="157" w:line="269" w:lineRule="auto"/>
        <w:ind w:left="2278" w:right="54" w:hanging="10"/>
        <w:jc w:val="both"/>
      </w:pPr>
      <w:r>
        <w:rPr>
          <w:rFonts w:ascii="Arial" w:eastAsia="Arial" w:hAnsi="Arial" w:cs="Arial"/>
          <w:color w:val="FF0000"/>
          <w:sz w:val="20"/>
        </w:rPr>
        <w:t xml:space="preserve">9.11.2.1.4 ....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3" w:line="249" w:lineRule="auto"/>
        <w:ind w:left="-5" w:right="57" w:hanging="10"/>
        <w:jc w:val="both"/>
      </w:pPr>
      <w:r>
        <w:rPr>
          <w:rFonts w:ascii="Arial" w:eastAsia="Arial" w:hAnsi="Arial" w:cs="Arial"/>
          <w:b/>
          <w:i/>
          <w:sz w:val="20"/>
        </w:rPr>
        <w:t xml:space="preserve">Nota Explicativa: </w:t>
      </w:r>
      <w:r>
        <w:rPr>
          <w:rFonts w:ascii="Arial" w:eastAsia="Arial" w:hAnsi="Arial" w:cs="Arial"/>
          <w:i/>
          <w:sz w:val="20"/>
        </w:rPr>
        <w:t xml:space="preserve">Conforme Acórdão nº 914/2019-Plenário do Tribunal de Contas da União, é obrigatório o estabelecimento de parâmetros objetivos para análise da comprovação (atestados de capacidade técnico-operacional) de que a licitante já tenha fornecido </w:t>
      </w:r>
      <w:r>
        <w:rPr>
          <w:rFonts w:ascii="Arial" w:eastAsia="Arial" w:hAnsi="Arial" w:cs="Arial"/>
          <w:i/>
          <w:sz w:val="20"/>
        </w:rPr>
        <w:t xml:space="preserve">bens pertinentes e compatíveis em características, quantidades e prazos com o objeto da licitação. Nesse sentido, é consignado no acórdão a seguinte recomendação: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70" w:line="249" w:lineRule="auto"/>
        <w:ind w:left="-5" w:right="57" w:hanging="10"/>
        <w:jc w:val="both"/>
      </w:pPr>
      <w:r>
        <w:rPr>
          <w:rFonts w:ascii="Arial" w:eastAsia="Arial" w:hAnsi="Arial" w:cs="Arial"/>
          <w:i/>
          <w:sz w:val="20"/>
        </w:rPr>
        <w:t xml:space="preserve">“9.3.2. estabeleça no edital da nova licitação, de forma clara e objetiva, os requisitos de </w:t>
      </w:r>
      <w:r>
        <w:rPr>
          <w:rFonts w:ascii="Arial" w:eastAsia="Arial" w:hAnsi="Arial" w:cs="Arial"/>
          <w:i/>
          <w:sz w:val="20"/>
        </w:rPr>
        <w:t>qualificação técnica que deverão ser demonstrados pelos licitantes, os quais deverão estar baseados em estudos técnicos os quais evidenciem que as exigências constituem o mínimo necessário à garantia da regular execução contratual, ponderados seus impactos</w:t>
      </w:r>
      <w:r>
        <w:rPr>
          <w:rFonts w:ascii="Arial" w:eastAsia="Arial" w:hAnsi="Arial" w:cs="Arial"/>
          <w:i/>
          <w:sz w:val="20"/>
        </w:rPr>
        <w:t xml:space="preserve"> em relação à competitividade do certame;” </w:t>
      </w:r>
    </w:p>
    <w:p w:rsidR="006C145C" w:rsidRDefault="00C62E5A">
      <w:pPr>
        <w:spacing w:after="129" w:line="270" w:lineRule="auto"/>
        <w:ind w:left="1710" w:right="54" w:hanging="8"/>
        <w:jc w:val="both"/>
      </w:pPr>
      <w:r>
        <w:rPr>
          <w:rFonts w:ascii="Arial" w:eastAsia="Arial" w:hAnsi="Arial" w:cs="Arial"/>
          <w:sz w:val="20"/>
        </w:rPr>
        <w:t xml:space="preserve">9.11.2.2 Os atestados deverão referir-se a serviços prestados no âmbito de sua atividade econômica principal ou secundária especificadas no contrato social vigente;  </w:t>
      </w:r>
    </w:p>
    <w:p w:rsidR="006C145C" w:rsidRDefault="00C62E5A">
      <w:pPr>
        <w:spacing w:after="129" w:line="270" w:lineRule="auto"/>
        <w:ind w:left="1710" w:right="54" w:hanging="8"/>
        <w:jc w:val="both"/>
      </w:pPr>
      <w:r>
        <w:rPr>
          <w:rFonts w:ascii="Arial" w:eastAsia="Arial" w:hAnsi="Arial" w:cs="Arial"/>
          <w:sz w:val="20"/>
        </w:rPr>
        <w:t>9.11.2.3 Somente serão aceitos atestados expe</w:t>
      </w:r>
      <w:r>
        <w:rPr>
          <w:rFonts w:ascii="Arial" w:eastAsia="Arial" w:hAnsi="Arial" w:cs="Arial"/>
          <w:sz w:val="20"/>
        </w:rPr>
        <w:t xml:space="preserve">didos após a conclusão do contrato ou se decorrido, pelo menos, um ano do início de sua execução, exceto se firmado para ser executado em prazo inferior, conforme item 10.8 do Anexo VII-A da IN SEGES/MP n. 5, de 2017.   </w:t>
      </w:r>
    </w:p>
    <w:p w:rsidR="006C145C" w:rsidRDefault="00C62E5A">
      <w:pPr>
        <w:spacing w:after="129" w:line="270" w:lineRule="auto"/>
        <w:ind w:left="1710" w:right="54" w:hanging="8"/>
        <w:jc w:val="both"/>
      </w:pPr>
      <w:r>
        <w:rPr>
          <w:rFonts w:ascii="Arial" w:eastAsia="Arial" w:hAnsi="Arial" w:cs="Arial"/>
          <w:sz w:val="20"/>
        </w:rPr>
        <w:t xml:space="preserve">9.11.2.4 </w:t>
      </w:r>
      <w:r>
        <w:rPr>
          <w:rFonts w:ascii="Arial" w:eastAsia="Arial" w:hAnsi="Arial" w:cs="Arial"/>
          <w:sz w:val="20"/>
        </w:rPr>
        <w:t>Poderá ser admitida, para fins de comprovação de quantitativo mínimo do serviço, a apresentação de diferentes atestados de serviços executados de forma concomitante, pois essa situação se equivale, para fins de comprovação de capacidade técnico-operacional</w:t>
      </w:r>
      <w:r>
        <w:rPr>
          <w:rFonts w:ascii="Arial" w:eastAsia="Arial" w:hAnsi="Arial" w:cs="Arial"/>
          <w:sz w:val="20"/>
        </w:rPr>
        <w:t xml:space="preserve">, a uma única contratação, nos termos do item 10.9 do Anexo VII-A da IN SEGES/MP n. 5/2017. </w:t>
      </w:r>
    </w:p>
    <w:p w:rsidR="006C145C" w:rsidRDefault="00C62E5A">
      <w:pPr>
        <w:spacing w:after="157" w:line="270" w:lineRule="auto"/>
        <w:ind w:left="1712" w:right="58" w:hanging="10"/>
        <w:jc w:val="both"/>
      </w:pPr>
      <w:r>
        <w:rPr>
          <w:rFonts w:ascii="Arial" w:eastAsia="Arial" w:hAnsi="Arial" w:cs="Arial"/>
          <w:i/>
          <w:color w:val="FF0000"/>
          <w:sz w:val="20"/>
        </w:rPr>
        <w:t>9.11.2.5 Deverá haver a comprovação da experiência mínima de..... anos na prestação dos serviços, sendo aceito o somatório de atestados de períodos diferentes, não</w:t>
      </w:r>
      <w:r>
        <w:rPr>
          <w:rFonts w:ascii="Arial" w:eastAsia="Arial" w:hAnsi="Arial" w:cs="Arial"/>
          <w:i/>
          <w:color w:val="FF0000"/>
          <w:sz w:val="20"/>
        </w:rPr>
        <w:t xml:space="preserve"> havendo obrigatoriedade de os ......  anos serem ininterruptos, conforme item 10.7.1 do Anexo VII-A da IN SEGES/MPDG n. 5/2017.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5" w:line="249" w:lineRule="auto"/>
        <w:ind w:left="-5" w:right="57" w:hanging="10"/>
        <w:jc w:val="both"/>
      </w:pPr>
      <w:r>
        <w:rPr>
          <w:rFonts w:ascii="Arial" w:eastAsia="Arial" w:hAnsi="Arial" w:cs="Arial"/>
          <w:b/>
          <w:i/>
          <w:sz w:val="20"/>
        </w:rPr>
        <w:t xml:space="preserve">Nota explicativa 1: </w:t>
      </w:r>
      <w:r>
        <w:rPr>
          <w:rFonts w:ascii="Arial" w:eastAsia="Arial" w:hAnsi="Arial" w:cs="Arial"/>
          <w:i/>
          <w:sz w:val="20"/>
        </w:rPr>
        <w:t>A possibilidade de exigência de período de experiência somente se aplica, a luz do subitem 10.6 do Anexo VII-A da IN SEGES/MP nº 5/2017, a serviços de caráter continuado, em caráter facultativo, devendo a Administração especificar o número de anos de exper</w:t>
      </w:r>
      <w:r>
        <w:rPr>
          <w:rFonts w:ascii="Arial" w:eastAsia="Arial" w:hAnsi="Arial" w:cs="Arial"/>
          <w:i/>
          <w:sz w:val="20"/>
        </w:rPr>
        <w:t xml:space="preserve">iência exigidos.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23" w:line="249" w:lineRule="auto"/>
        <w:ind w:left="-5" w:right="57" w:hanging="10"/>
        <w:jc w:val="both"/>
      </w:pPr>
      <w:r>
        <w:rPr>
          <w:rFonts w:ascii="Arial" w:eastAsia="Arial" w:hAnsi="Arial" w:cs="Arial"/>
          <w:i/>
          <w:sz w:val="20"/>
        </w:rPr>
        <w:t>Ainda assim, deve a Administração verificar a necessidade do estabelecimento de tal previsão, considerando, em especial, o tempo esperado de execução contratual. Nesse sentido consigna o Tribunal de Contas da União, no Acórdão 2870/2018-P</w:t>
      </w:r>
      <w:r>
        <w:rPr>
          <w:rFonts w:ascii="Arial" w:eastAsia="Arial" w:hAnsi="Arial" w:cs="Arial"/>
          <w:i/>
          <w:sz w:val="20"/>
        </w:rPr>
        <w:t xml:space="preserve">lenário, que: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7"/>
        <w:ind w:left="-15" w:right="57"/>
      </w:pPr>
      <w:r>
        <w:rPr>
          <w:rFonts w:ascii="Arial" w:eastAsia="Arial" w:hAnsi="Arial" w:cs="Arial"/>
          <w:i/>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23" w:line="249" w:lineRule="auto"/>
        <w:ind w:left="-5" w:right="57" w:hanging="10"/>
        <w:jc w:val="both"/>
      </w:pPr>
      <w:r>
        <w:rPr>
          <w:rFonts w:ascii="Arial" w:eastAsia="Arial" w:hAnsi="Arial" w:cs="Arial"/>
          <w:i/>
          <w:sz w:val="20"/>
        </w:rPr>
        <w:t>“Por se tratar de exigência de qualificação com potencial de restringir o caráter competitivo do certame e o desenvolvimento do setor em que se insere o objeto da contratação, a experiência anterior em lapso temporal superior ao prazo inic</w:t>
      </w:r>
      <w:r>
        <w:rPr>
          <w:rFonts w:ascii="Arial" w:eastAsia="Arial" w:hAnsi="Arial" w:cs="Arial"/>
          <w:i/>
          <w:sz w:val="20"/>
        </w:rPr>
        <w:t>ial do contrato deve ser objeto de adequada fundamentação, baseada em estudos prévios à licitação e na experiência pretérita do órgão contratante, que indiquem ser tal lapso indispensável para assegurar prestação do serviço em conformidade com as necessida</w:t>
      </w:r>
      <w:r>
        <w:rPr>
          <w:rFonts w:ascii="Arial" w:eastAsia="Arial" w:hAnsi="Arial" w:cs="Arial"/>
          <w:i/>
          <w:sz w:val="20"/>
        </w:rPr>
        <w:t xml:space="preserve">des específicas do órgão, por força da sua essencialidade, quantitativo, risco, complexidade ou qualquer outra particularidade. Convém, também, que o órgão contratante sopese os reflexos da restrição no desenvolvimento do setor do serviço pretendido.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A exemplo de zeladoria, limpeza, conservação e dedetização de grupos sanitários, lavatórios e vestiários, há atividades em relação às quais não me parece que a empresa com 3 anos de experiência tenha melhores condições de execução a contento do que outra q</w:t>
      </w:r>
      <w:r>
        <w:rPr>
          <w:rFonts w:ascii="Arial" w:eastAsia="Arial" w:hAnsi="Arial" w:cs="Arial"/>
          <w:i/>
          <w:sz w:val="20"/>
        </w:rPr>
        <w:t xml:space="preserve">ue tenha executado quantitativo equivalente em prazo inferior.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53" w:line="249" w:lineRule="auto"/>
        <w:ind w:left="-5" w:right="57" w:hanging="10"/>
        <w:jc w:val="both"/>
      </w:pPr>
      <w:r>
        <w:rPr>
          <w:rFonts w:ascii="Arial" w:eastAsia="Arial" w:hAnsi="Arial" w:cs="Arial"/>
          <w:i/>
          <w:sz w:val="20"/>
        </w:rPr>
        <w:t>Nesse sentido, fez bem o MPOG ao prever, no 10.6 do anexo VI da Instrução Normativa 5/2017, possibilidade de a Administração exigir experiência mínima de 3 anos, em vez de determinar, como lhe</w:t>
      </w:r>
      <w:r>
        <w:rPr>
          <w:rFonts w:ascii="Arial" w:eastAsia="Arial" w:hAnsi="Arial" w:cs="Arial"/>
          <w:i/>
          <w:sz w:val="20"/>
        </w:rPr>
        <w:t xml:space="preserve"> havia recomendado o TCU. Teria feito ainda melhor se houvesse assinalado que essa possibilidade está restrita aos casos em que as circunstâncias da prestação do serviço a ser contratado assim recomendem.”. </w:t>
      </w:r>
    </w:p>
    <w:p w:rsidR="006C145C" w:rsidRDefault="00C62E5A">
      <w:pPr>
        <w:spacing w:after="132"/>
      </w:pPr>
      <w:r>
        <w:rPr>
          <w:rFonts w:ascii="Arial" w:eastAsia="Arial" w:hAnsi="Arial" w:cs="Arial"/>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52" w:line="249" w:lineRule="auto"/>
        <w:ind w:left="-5" w:right="57" w:hanging="10"/>
        <w:jc w:val="both"/>
      </w:pPr>
      <w:r>
        <w:rPr>
          <w:rFonts w:ascii="Arial" w:eastAsia="Arial" w:hAnsi="Arial" w:cs="Arial"/>
          <w:b/>
          <w:i/>
          <w:sz w:val="20"/>
        </w:rPr>
        <w:lastRenderedPageBreak/>
        <w:t>Nota explicativa 2</w:t>
      </w:r>
      <w:r>
        <w:rPr>
          <w:rFonts w:ascii="Arial" w:eastAsia="Arial" w:hAnsi="Arial" w:cs="Arial"/>
          <w:i/>
          <w:sz w:val="20"/>
        </w:rPr>
        <w:t>: Deve a autoridade atentar,</w:t>
      </w:r>
      <w:r>
        <w:rPr>
          <w:rFonts w:ascii="Arial" w:eastAsia="Arial" w:hAnsi="Arial" w:cs="Arial"/>
          <w:i/>
          <w:sz w:val="20"/>
        </w:rPr>
        <w:t xml:space="preserve"> ademais, que os atestados de capacidade técnica devem comprovar a habilidade da licitante em gestão de mão de obra, e não a aptidão relativa à atividade a ser contratada, conforme destacou o Acórdão TCU n º 553/2016 – Plenário.  </w:t>
      </w:r>
    </w:p>
    <w:p w:rsidR="006C145C" w:rsidRDefault="00C62E5A">
      <w:pPr>
        <w:spacing w:after="103"/>
      </w:pPr>
      <w:r>
        <w:rPr>
          <w:rFonts w:ascii="Arial" w:eastAsia="Arial" w:hAnsi="Arial" w:cs="Arial"/>
          <w:sz w:val="20"/>
        </w:rPr>
        <w:t xml:space="preserve"> </w:t>
      </w:r>
    </w:p>
    <w:p w:rsidR="006C145C" w:rsidRDefault="00C62E5A">
      <w:pPr>
        <w:spacing w:after="129" w:line="270" w:lineRule="auto"/>
        <w:ind w:left="1710" w:right="54" w:hanging="8"/>
        <w:jc w:val="both"/>
      </w:pPr>
      <w:r>
        <w:rPr>
          <w:rFonts w:ascii="Arial" w:eastAsia="Arial" w:hAnsi="Arial" w:cs="Arial"/>
          <w:sz w:val="20"/>
        </w:rPr>
        <w:t xml:space="preserve">9.11.2.6 </w:t>
      </w:r>
      <w:r>
        <w:rPr>
          <w:rFonts w:ascii="Arial" w:eastAsia="Arial" w:hAnsi="Arial" w:cs="Arial"/>
          <w:sz w:val="20"/>
        </w:rPr>
        <w:t>O licitante disponibilizará todas as informações necessárias à comprovação da legitimidade dos atestados apresentados, apresentando, dentre outros documentos, cópia do contrato que deu suporte à contratação, endereço atual da contratante e local em que for</w:t>
      </w:r>
      <w:r>
        <w:rPr>
          <w:rFonts w:ascii="Arial" w:eastAsia="Arial" w:hAnsi="Arial" w:cs="Arial"/>
          <w:sz w:val="20"/>
        </w:rPr>
        <w:t xml:space="preserve">am prestados os serviços, consoante o disposto no item 10.10 do Anexo VII-A da IN SEGES/MP n. 5/2017. </w:t>
      </w:r>
    </w:p>
    <w:p w:rsidR="006C145C" w:rsidRDefault="00C62E5A">
      <w:pPr>
        <w:spacing w:after="129" w:line="270" w:lineRule="auto"/>
        <w:ind w:left="2423" w:right="54" w:hanging="721"/>
        <w:jc w:val="both"/>
      </w:pPr>
      <w:r>
        <w:rPr>
          <w:rFonts w:ascii="Arial" w:eastAsia="Arial" w:hAnsi="Arial" w:cs="Arial"/>
          <w:sz w:val="20"/>
        </w:rPr>
        <w:t>9.11.2.7 Na contratação de serviços continuados com mais de 40 (quarenta) postos, o licitante deverá comprovar que tenha executado contrato com um mínimo</w:t>
      </w:r>
      <w:r>
        <w:rPr>
          <w:rFonts w:ascii="Arial" w:eastAsia="Arial" w:hAnsi="Arial" w:cs="Arial"/>
          <w:sz w:val="20"/>
        </w:rPr>
        <w:t xml:space="preserve"> de 50% (cinquenta por cento) do número de postos de trabalho a serem contratados.  </w:t>
      </w:r>
    </w:p>
    <w:p w:rsidR="006C145C" w:rsidRDefault="00C62E5A">
      <w:pPr>
        <w:spacing w:after="129" w:line="270" w:lineRule="auto"/>
        <w:ind w:left="2423" w:right="54" w:hanging="721"/>
        <w:jc w:val="both"/>
      </w:pPr>
      <w:r>
        <w:rPr>
          <w:rFonts w:ascii="Arial" w:eastAsia="Arial" w:hAnsi="Arial" w:cs="Arial"/>
          <w:sz w:val="20"/>
        </w:rPr>
        <w:t>9.11.2.8 Quando o número de postos de trabalho a ser contratado for igual ou inferior a 40 (quarenta), o licitante deverá comprovar que tenha executado contrato(s) em núme</w:t>
      </w:r>
      <w:r>
        <w:rPr>
          <w:rFonts w:ascii="Arial" w:eastAsia="Arial" w:hAnsi="Arial" w:cs="Arial"/>
          <w:sz w:val="20"/>
        </w:rPr>
        <w:t xml:space="preserve">ro de postos equivalentes ao da contratação, conforme exigido na alínea c2 do item 10.6 do Anexo VII-A da IN SEGES/MP n. 5/2017. </w:t>
      </w:r>
    </w:p>
    <w:p w:rsidR="006C145C" w:rsidRDefault="00C62E5A">
      <w:pPr>
        <w:spacing w:after="129" w:line="270" w:lineRule="auto"/>
        <w:ind w:left="2423" w:right="54" w:hanging="721"/>
        <w:jc w:val="both"/>
      </w:pPr>
      <w:r>
        <w:rPr>
          <w:rFonts w:ascii="Arial" w:eastAsia="Arial" w:hAnsi="Arial" w:cs="Arial"/>
          <w:sz w:val="20"/>
        </w:rPr>
        <w:t>9.11.2.9 Para a comprovação do número mínimo de postos exigido, será aceito o somatório de atestados que comprovem que o licit</w:t>
      </w:r>
      <w:r>
        <w:rPr>
          <w:rFonts w:ascii="Arial" w:eastAsia="Arial" w:hAnsi="Arial" w:cs="Arial"/>
          <w:sz w:val="20"/>
        </w:rPr>
        <w:t xml:space="preserve">ante gerencia ou gerenciou serviços de terceirização compatíveis com o objeto licitado, nos termos do item 10.7 do Anexo VII-A da IN SEGES/MP n. 5/2017. </w:t>
      </w:r>
    </w:p>
    <w:p w:rsidR="006C145C" w:rsidRDefault="00C62E5A">
      <w:pPr>
        <w:spacing w:after="185" w:line="270" w:lineRule="auto"/>
        <w:ind w:left="1143" w:right="58" w:hanging="10"/>
        <w:jc w:val="both"/>
      </w:pPr>
      <w:r>
        <w:rPr>
          <w:rFonts w:ascii="Arial" w:eastAsia="Arial" w:hAnsi="Arial" w:cs="Arial"/>
          <w:sz w:val="20"/>
        </w:rPr>
        <w:t xml:space="preserve">9.11.3 </w:t>
      </w:r>
      <w:r>
        <w:rPr>
          <w:rFonts w:ascii="Arial" w:eastAsia="Arial" w:hAnsi="Arial" w:cs="Arial"/>
          <w:i/>
          <w:color w:val="FF0000"/>
          <w:sz w:val="20"/>
        </w:rPr>
        <w:t>Declaração de que instalará escritório na cidade de XXXX, ou em um raio máximo de até XXXX km d</w:t>
      </w:r>
      <w:r>
        <w:rPr>
          <w:rFonts w:ascii="Arial" w:eastAsia="Arial" w:hAnsi="Arial" w:cs="Arial"/>
          <w:i/>
          <w:color w:val="FF0000"/>
          <w:sz w:val="20"/>
        </w:rPr>
        <w:t>a cidade de XXXX (adequada ao item para o qual apresentar proposta) a ser comprovado no prazo máximo de 60 (sessenta) dias contado a partir da vigência do contrato, em cumprimento ao disposto no item 10.6, ‘a’, do anexo VII da IN SEGES/MP nº 05/2017, confo</w:t>
      </w:r>
      <w:r>
        <w:rPr>
          <w:rFonts w:ascii="Arial" w:eastAsia="Arial" w:hAnsi="Arial" w:cs="Arial"/>
          <w:i/>
          <w:color w:val="FF0000"/>
          <w:sz w:val="20"/>
        </w:rPr>
        <w:t xml:space="preserve">rme modelo do Anexo ____ deste Edital. Caso a licitante já disponha de matriz, filial ou escritório no local definido, deverá declarar a instalação/manutenção do escritório.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53" w:line="249" w:lineRule="auto"/>
        <w:ind w:left="-5" w:right="57" w:hanging="10"/>
        <w:jc w:val="both"/>
      </w:pPr>
      <w:r>
        <w:rPr>
          <w:rFonts w:ascii="Arial" w:eastAsia="Arial" w:hAnsi="Arial" w:cs="Arial"/>
          <w:b/>
          <w:i/>
          <w:sz w:val="20"/>
        </w:rPr>
        <w:t>Nota explicativa</w:t>
      </w:r>
      <w:r>
        <w:rPr>
          <w:rFonts w:ascii="Arial" w:eastAsia="Arial" w:hAnsi="Arial" w:cs="Arial"/>
          <w:i/>
          <w:sz w:val="20"/>
        </w:rPr>
        <w:t>: Tal exigência poderá ser feita pela autoridade, nos termos item</w:t>
      </w:r>
      <w:r>
        <w:rPr>
          <w:rFonts w:ascii="Arial" w:eastAsia="Arial" w:hAnsi="Arial" w:cs="Arial"/>
          <w:i/>
          <w:sz w:val="20"/>
        </w:rPr>
        <w:t xml:space="preserve"> 10.6, ‘a’, do anexo VII da IN SEGES/MP nº 05/2017. Nesse caso, deve ser incluído no Edital anexo com o modelo da declaração exigida. Contudo, reiteramos os termos da Nota Explicativa inicial do presente tópico, no sentido de que exigências demasiadas pode</w:t>
      </w:r>
      <w:r>
        <w:rPr>
          <w:rFonts w:ascii="Arial" w:eastAsia="Arial" w:hAnsi="Arial" w:cs="Arial"/>
          <w:i/>
          <w:sz w:val="20"/>
        </w:rPr>
        <w:t xml:space="preserve">rão prejudicar a competitividade da licitação e ofender ao disposto no art. 37, XXI da Constituição Federal. Especialmente no caso da exigência de instalação de escritório, esta pode impor um custo considerável ao contratante, razão pela qual deve guardar </w:t>
      </w:r>
      <w:r>
        <w:rPr>
          <w:rFonts w:ascii="Arial" w:eastAsia="Arial" w:hAnsi="Arial" w:cs="Arial"/>
          <w:i/>
          <w:sz w:val="20"/>
        </w:rPr>
        <w:t>proporção com o valor do contrato, sob pena de afugentar licitantes ou encarecer demasiadamente o preço do serviço. Por fim, também se deve ter em conta que se trata de exigência de qualificação técnica, que obrigatoriamente deve recair sobre serviços de m</w:t>
      </w:r>
      <w:r>
        <w:rPr>
          <w:rFonts w:ascii="Arial" w:eastAsia="Arial" w:hAnsi="Arial" w:cs="Arial"/>
          <w:i/>
          <w:sz w:val="20"/>
        </w:rPr>
        <w:t>aior relevância técnica e valor significativo. Assim, caso a exigência seja dispensável para a garantia do cumprimento das obrigações, ou mesmo impertinente, a disposição acima deve ser suprimida da minuta de edital.</w:t>
      </w:r>
      <w:r>
        <w:rPr>
          <w:rFonts w:ascii="Arial" w:eastAsia="Arial" w:hAnsi="Arial" w:cs="Arial"/>
          <w:color w:val="FF0000"/>
          <w:sz w:val="20"/>
        </w:rPr>
        <w:t xml:space="preserve"> </w:t>
      </w:r>
    </w:p>
    <w:p w:rsidR="006C145C" w:rsidRDefault="00C62E5A">
      <w:pPr>
        <w:tabs>
          <w:tab w:val="center" w:pos="1525"/>
          <w:tab w:val="center" w:pos="5221"/>
        </w:tabs>
        <w:spacing w:after="174"/>
      </w:pPr>
      <w:r>
        <w:tab/>
      </w:r>
      <w:r>
        <w:rPr>
          <w:rFonts w:ascii="Arial" w:eastAsia="Arial" w:hAnsi="Arial" w:cs="Arial"/>
          <w:sz w:val="20"/>
        </w:rPr>
        <w:t xml:space="preserve">9.11.4 </w:t>
      </w:r>
      <w:r>
        <w:rPr>
          <w:rFonts w:ascii="Arial" w:eastAsia="Arial" w:hAnsi="Arial" w:cs="Arial"/>
          <w:sz w:val="20"/>
        </w:rPr>
        <w:tab/>
      </w:r>
      <w:r>
        <w:rPr>
          <w:rFonts w:ascii="Arial" w:eastAsia="Arial" w:hAnsi="Arial" w:cs="Arial"/>
          <w:i/>
          <w:color w:val="FF0000"/>
          <w:sz w:val="20"/>
        </w:rPr>
        <w:t>Prova de atendimento aos requ</w:t>
      </w:r>
      <w:r>
        <w:rPr>
          <w:rFonts w:ascii="Arial" w:eastAsia="Arial" w:hAnsi="Arial" w:cs="Arial"/>
          <w:i/>
          <w:color w:val="FF0000"/>
          <w:sz w:val="20"/>
        </w:rPr>
        <w:t xml:space="preserve">isitos ........, previstos na lei ............: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49" w:line="249" w:lineRule="auto"/>
        <w:ind w:left="-5" w:right="57" w:hanging="10"/>
        <w:jc w:val="both"/>
      </w:pPr>
      <w:r>
        <w:rPr>
          <w:rFonts w:ascii="Arial" w:eastAsia="Arial" w:hAnsi="Arial" w:cs="Arial"/>
          <w:b/>
          <w:i/>
          <w:sz w:val="20"/>
        </w:rPr>
        <w:t>Nota Explicativa:</w:t>
      </w:r>
      <w:r>
        <w:rPr>
          <w:rFonts w:ascii="Arial" w:eastAsia="Arial" w:hAnsi="Arial" w:cs="Arial"/>
          <w:i/>
          <w:sz w:val="20"/>
        </w:rPr>
        <w:t xml:space="preserve"> Em havendo legislação especial incidente sobre a matéria, que preveja requisitos de qualificação técnica específicos, estes podem ser mencionados neste item do Edital. </w:t>
      </w:r>
    </w:p>
    <w:p w:rsidR="006C145C" w:rsidRDefault="00C62E5A">
      <w:pPr>
        <w:spacing w:after="137"/>
        <w:ind w:left="720"/>
      </w:pPr>
      <w:r>
        <w:rPr>
          <w:rFonts w:ascii="Arial" w:eastAsia="Arial" w:hAnsi="Arial" w:cs="Arial"/>
          <w:i/>
          <w:color w:val="FF0000"/>
          <w:sz w:val="20"/>
        </w:rPr>
        <w:t xml:space="preserve"> </w:t>
      </w:r>
    </w:p>
    <w:p w:rsidR="006C145C" w:rsidRDefault="00C62E5A">
      <w:pPr>
        <w:spacing w:after="130" w:line="270" w:lineRule="auto"/>
        <w:ind w:left="1143" w:right="58" w:hanging="10"/>
        <w:jc w:val="both"/>
      </w:pPr>
      <w:r>
        <w:rPr>
          <w:rFonts w:ascii="Arial" w:eastAsia="Arial" w:hAnsi="Arial" w:cs="Arial"/>
          <w:sz w:val="20"/>
        </w:rPr>
        <w:t xml:space="preserve">9.11.5 </w:t>
      </w:r>
      <w:r>
        <w:rPr>
          <w:rFonts w:ascii="Arial" w:eastAsia="Arial" w:hAnsi="Arial" w:cs="Arial"/>
          <w:i/>
          <w:color w:val="FF0000"/>
          <w:sz w:val="20"/>
        </w:rPr>
        <w:t>As empresas</w:t>
      </w:r>
      <w:r>
        <w:rPr>
          <w:rFonts w:ascii="Arial" w:eastAsia="Arial" w:hAnsi="Arial" w:cs="Arial"/>
          <w:i/>
          <w:color w:val="FF0000"/>
          <w:sz w:val="20"/>
        </w:rPr>
        <w:t xml:space="preserve"> deverão apresentar atestado de vistoria assinado pelo servidor responsável, caso exigida no Termo de Referência.  </w:t>
      </w:r>
    </w:p>
    <w:p w:rsidR="006C145C" w:rsidRDefault="00C62E5A">
      <w:pPr>
        <w:spacing w:after="17"/>
        <w:ind w:left="2422"/>
      </w:pPr>
      <w:r>
        <w:rPr>
          <w:rFonts w:ascii="Arial" w:eastAsia="Arial" w:hAnsi="Arial" w:cs="Arial"/>
          <w:i/>
          <w:color w:val="FF0000"/>
          <w:sz w:val="20"/>
        </w:rPr>
        <w:t xml:space="preserve"> </w:t>
      </w:r>
    </w:p>
    <w:p w:rsidR="006C145C" w:rsidRDefault="00C62E5A">
      <w:pPr>
        <w:spacing w:after="158" w:line="270" w:lineRule="auto"/>
        <w:ind w:left="2422" w:right="58" w:hanging="720"/>
        <w:jc w:val="both"/>
      </w:pPr>
      <w:r>
        <w:rPr>
          <w:rFonts w:ascii="Arial" w:eastAsia="Arial" w:hAnsi="Arial" w:cs="Arial"/>
          <w:i/>
          <w:color w:val="FF0000"/>
          <w:sz w:val="20"/>
        </w:rPr>
        <w:t xml:space="preserve">9.11.5.1 O atestado de vistoria poderá ser substituído por declaração emitida pelo licitante em que conste, alternativamente, que conhece </w:t>
      </w:r>
      <w:r>
        <w:rPr>
          <w:rFonts w:ascii="Arial" w:eastAsia="Arial" w:hAnsi="Arial" w:cs="Arial"/>
          <w:i/>
          <w:color w:val="FF0000"/>
          <w:sz w:val="20"/>
        </w:rPr>
        <w:t>as condições locais para execução do objeto</w:t>
      </w:r>
      <w:r>
        <w:rPr>
          <w:rFonts w:ascii="Arial" w:eastAsia="Arial" w:hAnsi="Arial" w:cs="Arial"/>
          <w:i/>
          <w:strike/>
          <w:color w:val="FF0000"/>
          <w:sz w:val="20"/>
        </w:rPr>
        <w:t>,</w:t>
      </w:r>
      <w:r>
        <w:rPr>
          <w:rFonts w:ascii="Arial" w:eastAsia="Arial" w:hAnsi="Arial" w:cs="Arial"/>
          <w:i/>
          <w:color w:val="FF0000"/>
          <w:sz w:val="20"/>
        </w:rPr>
        <w:t xml:space="preserve"> ou que tem pleno conhecimento das condições e peculiaridades inerentes à natureza do trabalho, assumindo total </w:t>
      </w:r>
      <w:r>
        <w:rPr>
          <w:rFonts w:ascii="Arial" w:eastAsia="Arial" w:hAnsi="Arial" w:cs="Arial"/>
          <w:i/>
          <w:color w:val="FF0000"/>
          <w:sz w:val="20"/>
        </w:rPr>
        <w:lastRenderedPageBreak/>
        <w:t xml:space="preserve">responsabilidade por este fato e que não utilizará deste para quaisquer questionamentos futuros que </w:t>
      </w:r>
      <w:r>
        <w:rPr>
          <w:rFonts w:ascii="Arial" w:eastAsia="Arial" w:hAnsi="Arial" w:cs="Arial"/>
          <w:i/>
          <w:color w:val="FF0000"/>
          <w:sz w:val="20"/>
        </w:rPr>
        <w:t xml:space="preserve">ensejem desavenças técnicas ou financeiras com a contratante.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3" w:line="249" w:lineRule="auto"/>
        <w:ind w:left="-5" w:right="57" w:hanging="10"/>
        <w:jc w:val="both"/>
      </w:pPr>
      <w:r>
        <w:rPr>
          <w:rFonts w:ascii="Arial" w:eastAsia="Arial" w:hAnsi="Arial" w:cs="Arial"/>
          <w:b/>
          <w:i/>
          <w:sz w:val="20"/>
        </w:rPr>
        <w:t>Nota explicativa</w:t>
      </w:r>
      <w:r>
        <w:rPr>
          <w:rFonts w:ascii="Arial" w:eastAsia="Arial" w:hAnsi="Arial" w:cs="Arial"/>
          <w:i/>
          <w:sz w:val="20"/>
        </w:rPr>
        <w:t xml:space="preserve">: De acordo com o art. 30, III, da Lei 8.666, de 1993, o licitante deve apresentar na habilitação “comprovação, fornecida pelo órgão licitante, de que recebeu os documentos, e, </w:t>
      </w:r>
      <w:r>
        <w:rPr>
          <w:rFonts w:ascii="Arial" w:eastAsia="Arial" w:hAnsi="Arial" w:cs="Arial"/>
          <w:i/>
          <w:sz w:val="20"/>
        </w:rPr>
        <w:t>quando exigido, de que tomou conhecimento de todas as informações e das condições locais para o cumprimento das obrigações objeto da licitação”. Lembramos que tal documento só deve ser exigido para a habilitação do licitante caso a vistoria seja definida p</w:t>
      </w:r>
      <w:r>
        <w:rPr>
          <w:rFonts w:ascii="Arial" w:eastAsia="Arial" w:hAnsi="Arial" w:cs="Arial"/>
          <w:i/>
          <w:sz w:val="20"/>
        </w:rPr>
        <w:t xml:space="preserve">elo órgão, no Termo de Referência, como obrigatória, assim como deverá ser apresentada justificativa, conforme item 3.3 do Anexo VII-A da IN SEGES/MP n. 5/2017.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3" w:line="249" w:lineRule="auto"/>
        <w:ind w:left="-5" w:right="57" w:hanging="10"/>
        <w:jc w:val="both"/>
      </w:pPr>
      <w:r>
        <w:rPr>
          <w:rFonts w:ascii="Arial" w:eastAsia="Arial" w:hAnsi="Arial" w:cs="Arial"/>
          <w:i/>
          <w:sz w:val="20"/>
        </w:rPr>
        <w:t>Ressalte-se que a exigência de vistoria obrigatória representa um ônus desnecessário para os l</w:t>
      </w:r>
      <w:r>
        <w:rPr>
          <w:rFonts w:ascii="Arial" w:eastAsia="Arial" w:hAnsi="Arial" w:cs="Arial"/>
          <w:i/>
          <w:sz w:val="20"/>
        </w:rPr>
        <w:t>icitantes, configurando restrição à competitividade do certame. Para evitar tal quadro, o TCU recomenda que se exija não a visita, mas sim a declaração do licitante de que está ciente das condições de execução dos serviços, nos termos do art. 30, III, da L</w:t>
      </w:r>
      <w:r>
        <w:rPr>
          <w:rFonts w:ascii="Arial" w:eastAsia="Arial" w:hAnsi="Arial" w:cs="Arial"/>
          <w:i/>
          <w:sz w:val="20"/>
        </w:rPr>
        <w:t xml:space="preserve">ei n° 8.666/93 (por exemplo, Acórdãos n° 2.150/2008, n° 1.599/2010, n° 2.266/2011, n° 2.776/2011 e n° 110/2012, todos do Plenário).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2" w:line="249" w:lineRule="auto"/>
        <w:ind w:left="-5" w:right="57" w:hanging="10"/>
        <w:jc w:val="both"/>
      </w:pPr>
      <w:r>
        <w:rPr>
          <w:rFonts w:ascii="Arial" w:eastAsia="Arial" w:hAnsi="Arial" w:cs="Arial"/>
          <w:i/>
          <w:sz w:val="20"/>
        </w:rPr>
        <w:t xml:space="preserve">Esse quadro tornou-se mais crítico com o Acórdão 170/2018 – </w:t>
      </w:r>
      <w:r>
        <w:rPr>
          <w:rFonts w:ascii="Arial" w:eastAsia="Arial" w:hAnsi="Arial" w:cs="Arial"/>
          <w:i/>
          <w:sz w:val="20"/>
        </w:rPr>
        <w:t xml:space="preserve">Plenário (Informativo 339), que chega a considerar a vistoria como um direito do licitante, e não uma obrigação imposta pela Administração.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5" w:line="249" w:lineRule="auto"/>
        <w:ind w:left="-5" w:right="57" w:hanging="10"/>
        <w:jc w:val="both"/>
      </w:pPr>
      <w:r>
        <w:rPr>
          <w:rFonts w:ascii="Arial" w:eastAsia="Arial" w:hAnsi="Arial" w:cs="Arial"/>
          <w:i/>
          <w:sz w:val="20"/>
        </w:rPr>
        <w:t>Por isso, a Câmara Nacional de Modelos de Editais da Consultoria-</w:t>
      </w:r>
      <w:r>
        <w:rPr>
          <w:rFonts w:ascii="Arial" w:eastAsia="Arial" w:hAnsi="Arial" w:cs="Arial"/>
          <w:i/>
          <w:sz w:val="20"/>
        </w:rPr>
        <w:t xml:space="preserve">Geral da União faz a sugestão de disposição no edital que permite ao licitante emitir declaração, mesmo quando o órgão exija a vistoria. Isso evita que exigências de vistoria sem o embasamento técnico adequado sejam motivo de frustração do certame.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2" w:line="249" w:lineRule="auto"/>
        <w:ind w:left="-5" w:right="57" w:hanging="10"/>
        <w:jc w:val="both"/>
      </w:pPr>
      <w:r>
        <w:rPr>
          <w:rFonts w:ascii="Arial" w:eastAsia="Arial" w:hAnsi="Arial" w:cs="Arial"/>
          <w:i/>
          <w:sz w:val="20"/>
        </w:rPr>
        <w:t>Caso o</w:t>
      </w:r>
      <w:r>
        <w:rPr>
          <w:rFonts w:ascii="Arial" w:eastAsia="Arial" w:hAnsi="Arial" w:cs="Arial"/>
          <w:i/>
          <w:sz w:val="20"/>
        </w:rPr>
        <w:t xml:space="preserve"> órgão efetivamente pretenda exigir a vistoria, sem permitir essa alternativa aos licitantes, recomenda-se então que substitua esse trecho final da disposição (“ou que tem pleno conhecimento das condições e peculiaridades inerentes à natureza do trabalho..</w:t>
      </w:r>
      <w:r>
        <w:rPr>
          <w:rFonts w:ascii="Arial" w:eastAsia="Arial" w:hAnsi="Arial" w:cs="Arial"/>
          <w:i/>
          <w:sz w:val="20"/>
        </w:rPr>
        <w:t xml:space="preserve">.”), por um resumo da justificativa técnica de tal exigência (uma vez que, na presente licitação,…), fazendo referência ao documento do processo que a contém.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3" w:line="249" w:lineRule="auto"/>
        <w:ind w:left="-5" w:right="57" w:hanging="10"/>
        <w:jc w:val="both"/>
      </w:pPr>
      <w:r>
        <w:rPr>
          <w:rFonts w:ascii="Arial" w:eastAsia="Arial" w:hAnsi="Arial" w:cs="Arial"/>
          <w:i/>
          <w:sz w:val="20"/>
        </w:rPr>
        <w:t>Reiteramos que a exigência de vistoria traz um risco considerável para a licitação, mesmo que se</w:t>
      </w:r>
      <w:r>
        <w:rPr>
          <w:rFonts w:ascii="Arial" w:eastAsia="Arial" w:hAnsi="Arial" w:cs="Arial"/>
          <w:i/>
          <w:sz w:val="20"/>
        </w:rPr>
        <w:t>jam adotadas as providências acima (existência de justificativa técnica, cuja motivação seja mencionada de forma resumida no edital). Nesse caso, não se deve indicar uma data e horário específico, mas sim conceder um prazo razoável para todos os interessad</w:t>
      </w:r>
      <w:r>
        <w:rPr>
          <w:rFonts w:ascii="Arial" w:eastAsia="Arial" w:hAnsi="Arial" w:cs="Arial"/>
          <w:i/>
          <w:sz w:val="20"/>
        </w:rPr>
        <w:t xml:space="preserve">os.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34" w:line="249" w:lineRule="auto"/>
        <w:ind w:left="-5" w:right="57" w:hanging="10"/>
        <w:jc w:val="both"/>
      </w:pPr>
      <w:r>
        <w:rPr>
          <w:rFonts w:ascii="Arial" w:eastAsia="Arial" w:hAnsi="Arial" w:cs="Arial"/>
          <w:i/>
          <w:sz w:val="20"/>
        </w:rPr>
        <w:t>De qualquer forma, reitera-se que a exigência de vistoria deve ser excepcional, porque restringe a participação no certame, razão pela qual a divulgação de ‘fotografias, plantas, desenhos técnicos e congêneres’ torna-</w:t>
      </w:r>
      <w:r>
        <w:rPr>
          <w:rFonts w:ascii="Arial" w:eastAsia="Arial" w:hAnsi="Arial" w:cs="Arial"/>
          <w:i/>
          <w:sz w:val="20"/>
        </w:rPr>
        <w:t xml:space="preserve">se ainda mais importante para a correta dimensão do custo da execução e, consequentemente, para a maior isonomia entre os licitantes. </w:t>
      </w:r>
    </w:p>
    <w:p w:rsidR="006C145C" w:rsidRDefault="00C62E5A">
      <w:pPr>
        <w:spacing w:after="132"/>
      </w:pPr>
      <w:r>
        <w:rPr>
          <w:rFonts w:ascii="Arial" w:eastAsia="Arial" w:hAnsi="Arial" w:cs="Arial"/>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b/>
          <w:i/>
          <w:sz w:val="20"/>
        </w:rPr>
        <w:t>Nota Explicativa:</w:t>
      </w:r>
      <w:r>
        <w:rPr>
          <w:rFonts w:ascii="Arial" w:eastAsia="Arial" w:hAnsi="Arial" w:cs="Arial"/>
          <w:i/>
          <w:sz w:val="20"/>
        </w:rPr>
        <w:t xml:space="preserve"> Caso admitida a participação de cooperativas, utilizar as regras abaixo: </w:t>
      </w:r>
    </w:p>
    <w:p w:rsidR="006C145C" w:rsidRDefault="00C62E5A">
      <w:pPr>
        <w:spacing w:after="127" w:line="269" w:lineRule="auto"/>
        <w:ind w:left="435" w:right="48" w:hanging="10"/>
        <w:jc w:val="both"/>
      </w:pPr>
      <w:r>
        <w:rPr>
          <w:rFonts w:ascii="Arial" w:eastAsia="Arial" w:hAnsi="Arial" w:cs="Arial"/>
          <w:i/>
          <w:color w:val="FF0000"/>
          <w:sz w:val="20"/>
          <w:shd w:val="clear" w:color="auto" w:fill="00FF00"/>
        </w:rPr>
        <w:t>9.12  Em relação às licitan</w:t>
      </w:r>
      <w:r>
        <w:rPr>
          <w:rFonts w:ascii="Arial" w:eastAsia="Arial" w:hAnsi="Arial" w:cs="Arial"/>
          <w:i/>
          <w:color w:val="FF0000"/>
          <w:sz w:val="20"/>
          <w:shd w:val="clear" w:color="auto" w:fill="00FF00"/>
        </w:rPr>
        <w:t>tes cooperativas será, ainda, exigida a seguinte documentação</w:t>
      </w:r>
      <w:r>
        <w:rPr>
          <w:rFonts w:ascii="Arial" w:eastAsia="Arial" w:hAnsi="Arial" w:cs="Arial"/>
          <w:i/>
          <w:color w:val="FF0000"/>
          <w:sz w:val="20"/>
        </w:rPr>
        <w:t xml:space="preserve"> </w:t>
      </w:r>
      <w:r>
        <w:rPr>
          <w:rFonts w:ascii="Arial" w:eastAsia="Arial" w:hAnsi="Arial" w:cs="Arial"/>
          <w:i/>
          <w:color w:val="FF0000"/>
          <w:sz w:val="20"/>
          <w:shd w:val="clear" w:color="auto" w:fill="00FF00"/>
        </w:rPr>
        <w:t>complementar, conforme item 10.5 do Anexo VII-A da IN SEGES/MP n. 5/2017:</w:t>
      </w:r>
      <w:r>
        <w:rPr>
          <w:rFonts w:ascii="Arial" w:eastAsia="Arial" w:hAnsi="Arial" w:cs="Arial"/>
          <w:i/>
          <w:color w:val="FF0000"/>
          <w:sz w:val="20"/>
        </w:rPr>
        <w:t xml:space="preserve"> </w:t>
      </w:r>
    </w:p>
    <w:p w:rsidR="006C145C" w:rsidRDefault="00C62E5A">
      <w:pPr>
        <w:spacing w:after="127" w:line="269" w:lineRule="auto"/>
        <w:ind w:left="2266" w:right="48" w:hanging="721"/>
        <w:jc w:val="both"/>
      </w:pPr>
      <w:r>
        <w:rPr>
          <w:rFonts w:ascii="Arial" w:eastAsia="Arial" w:hAnsi="Arial" w:cs="Arial"/>
          <w:sz w:val="20"/>
          <w:shd w:val="clear" w:color="auto" w:fill="00FF00"/>
        </w:rPr>
        <w:t xml:space="preserve">9.12.1 </w:t>
      </w:r>
      <w:r>
        <w:rPr>
          <w:rFonts w:ascii="Arial" w:eastAsia="Arial" w:hAnsi="Arial" w:cs="Arial"/>
          <w:i/>
          <w:color w:val="FF0000"/>
          <w:sz w:val="20"/>
          <w:shd w:val="clear" w:color="auto" w:fill="00FF00"/>
        </w:rPr>
        <w:t>A relação dos cooperados que atendem aos requisitos técnicos exigidos para</w:t>
      </w:r>
      <w:r>
        <w:rPr>
          <w:rFonts w:ascii="Arial" w:eastAsia="Arial" w:hAnsi="Arial" w:cs="Arial"/>
          <w:i/>
          <w:color w:val="FF0000"/>
          <w:sz w:val="20"/>
        </w:rPr>
        <w:t xml:space="preserve"> </w:t>
      </w:r>
      <w:r>
        <w:rPr>
          <w:rFonts w:ascii="Arial" w:eastAsia="Arial" w:hAnsi="Arial" w:cs="Arial"/>
          <w:i/>
          <w:color w:val="FF0000"/>
          <w:sz w:val="20"/>
          <w:shd w:val="clear" w:color="auto" w:fill="00FF00"/>
        </w:rPr>
        <w:t>a contratação e que executarão o cont</w:t>
      </w:r>
      <w:r>
        <w:rPr>
          <w:rFonts w:ascii="Arial" w:eastAsia="Arial" w:hAnsi="Arial" w:cs="Arial"/>
          <w:i/>
          <w:color w:val="FF0000"/>
          <w:sz w:val="20"/>
          <w:shd w:val="clear" w:color="auto" w:fill="00FF00"/>
        </w:rPr>
        <w:t>rato, com as respectivas atas de</w:t>
      </w:r>
      <w:r>
        <w:rPr>
          <w:rFonts w:ascii="Arial" w:eastAsia="Arial" w:hAnsi="Arial" w:cs="Arial"/>
          <w:i/>
          <w:color w:val="FF0000"/>
          <w:sz w:val="20"/>
        </w:rPr>
        <w:t xml:space="preserve"> </w:t>
      </w:r>
      <w:r>
        <w:rPr>
          <w:rFonts w:ascii="Arial" w:eastAsia="Arial" w:hAnsi="Arial" w:cs="Arial"/>
          <w:i/>
          <w:color w:val="FF0000"/>
          <w:sz w:val="20"/>
          <w:shd w:val="clear" w:color="auto" w:fill="00FF00"/>
        </w:rPr>
        <w:t>inscrição e a comprovação de que estão domiciliados na localidade da sede</w:t>
      </w:r>
      <w:r>
        <w:rPr>
          <w:rFonts w:ascii="Arial" w:eastAsia="Arial" w:hAnsi="Arial" w:cs="Arial"/>
          <w:i/>
          <w:color w:val="FF0000"/>
          <w:sz w:val="20"/>
        </w:rPr>
        <w:t xml:space="preserve"> </w:t>
      </w:r>
      <w:r>
        <w:rPr>
          <w:rFonts w:ascii="Arial" w:eastAsia="Arial" w:hAnsi="Arial" w:cs="Arial"/>
          <w:i/>
          <w:color w:val="FF0000"/>
          <w:sz w:val="20"/>
          <w:shd w:val="clear" w:color="auto" w:fill="00FF00"/>
        </w:rPr>
        <w:t>da cooperativa, respeitado o disposto nos arts. 4º, inciso XI, 21, inciso I e 42,</w:t>
      </w:r>
      <w:r>
        <w:rPr>
          <w:rFonts w:ascii="Arial" w:eastAsia="Arial" w:hAnsi="Arial" w:cs="Arial"/>
          <w:i/>
          <w:color w:val="FF0000"/>
          <w:sz w:val="20"/>
        </w:rPr>
        <w:t xml:space="preserve"> </w:t>
      </w:r>
      <w:r>
        <w:rPr>
          <w:rFonts w:ascii="Arial" w:eastAsia="Arial" w:hAnsi="Arial" w:cs="Arial"/>
          <w:i/>
          <w:color w:val="FF0000"/>
          <w:sz w:val="20"/>
          <w:shd w:val="clear" w:color="auto" w:fill="00FF00"/>
        </w:rPr>
        <w:t>§§2º a 6º da Lei n. 5.764 de 1971;</w:t>
      </w:r>
      <w:r>
        <w:rPr>
          <w:rFonts w:ascii="Arial" w:eastAsia="Arial" w:hAnsi="Arial" w:cs="Arial"/>
          <w:i/>
          <w:color w:val="FF0000"/>
          <w:sz w:val="20"/>
        </w:rPr>
        <w:t xml:space="preserve"> </w:t>
      </w:r>
    </w:p>
    <w:p w:rsidR="006C145C" w:rsidRDefault="00C62E5A">
      <w:pPr>
        <w:spacing w:after="127" w:line="269" w:lineRule="auto"/>
        <w:ind w:left="2266" w:right="48" w:hanging="721"/>
        <w:jc w:val="both"/>
      </w:pPr>
      <w:r>
        <w:rPr>
          <w:rFonts w:ascii="Arial" w:eastAsia="Arial" w:hAnsi="Arial" w:cs="Arial"/>
          <w:sz w:val="20"/>
          <w:shd w:val="clear" w:color="auto" w:fill="00FF00"/>
        </w:rPr>
        <w:t xml:space="preserve">9.12.2 </w:t>
      </w:r>
      <w:r>
        <w:rPr>
          <w:rFonts w:ascii="Arial" w:eastAsia="Arial" w:hAnsi="Arial" w:cs="Arial"/>
          <w:i/>
          <w:color w:val="FF0000"/>
          <w:sz w:val="20"/>
          <w:shd w:val="clear" w:color="auto" w:fill="00FF00"/>
        </w:rPr>
        <w:t>A declaração de regulari</w:t>
      </w:r>
      <w:r>
        <w:rPr>
          <w:rFonts w:ascii="Arial" w:eastAsia="Arial" w:hAnsi="Arial" w:cs="Arial"/>
          <w:i/>
          <w:color w:val="FF0000"/>
          <w:sz w:val="20"/>
          <w:shd w:val="clear" w:color="auto" w:fill="00FF00"/>
        </w:rPr>
        <w:t>dade de situação do contribuinte individual – DRSCI,</w:t>
      </w:r>
      <w:r>
        <w:rPr>
          <w:rFonts w:ascii="Arial" w:eastAsia="Arial" w:hAnsi="Arial" w:cs="Arial"/>
          <w:i/>
          <w:color w:val="FF0000"/>
          <w:sz w:val="20"/>
        </w:rPr>
        <w:t xml:space="preserve"> </w:t>
      </w:r>
      <w:r>
        <w:rPr>
          <w:rFonts w:ascii="Arial" w:eastAsia="Arial" w:hAnsi="Arial" w:cs="Arial"/>
          <w:i/>
          <w:color w:val="FF0000"/>
          <w:sz w:val="20"/>
          <w:shd w:val="clear" w:color="auto" w:fill="00FF00"/>
        </w:rPr>
        <w:t>para cada um dos cooperados indicados;</w:t>
      </w:r>
      <w:r>
        <w:rPr>
          <w:rFonts w:ascii="Arial" w:eastAsia="Arial" w:hAnsi="Arial" w:cs="Arial"/>
          <w:i/>
          <w:color w:val="FF0000"/>
          <w:sz w:val="20"/>
        </w:rPr>
        <w:t xml:space="preserve"> </w:t>
      </w:r>
    </w:p>
    <w:p w:rsidR="006C145C" w:rsidRDefault="00C62E5A">
      <w:pPr>
        <w:spacing w:after="127" w:line="269" w:lineRule="auto"/>
        <w:ind w:left="2266" w:right="48" w:hanging="721"/>
        <w:jc w:val="both"/>
      </w:pPr>
      <w:r>
        <w:rPr>
          <w:rFonts w:ascii="Arial" w:eastAsia="Arial" w:hAnsi="Arial" w:cs="Arial"/>
          <w:sz w:val="20"/>
          <w:shd w:val="clear" w:color="auto" w:fill="00FF00"/>
        </w:rPr>
        <w:t xml:space="preserve">9.12.3 </w:t>
      </w:r>
      <w:r>
        <w:rPr>
          <w:rFonts w:ascii="Arial" w:eastAsia="Arial" w:hAnsi="Arial" w:cs="Arial"/>
          <w:i/>
          <w:color w:val="FF0000"/>
          <w:sz w:val="20"/>
          <w:shd w:val="clear" w:color="auto" w:fill="00FF00"/>
        </w:rPr>
        <w:t>A comprovação do capital social proporcional ao número de cooperados</w:t>
      </w:r>
      <w:r>
        <w:rPr>
          <w:rFonts w:ascii="Arial" w:eastAsia="Arial" w:hAnsi="Arial" w:cs="Arial"/>
          <w:i/>
          <w:color w:val="FF0000"/>
          <w:sz w:val="20"/>
        </w:rPr>
        <w:t xml:space="preserve"> </w:t>
      </w:r>
      <w:r>
        <w:rPr>
          <w:rFonts w:ascii="Arial" w:eastAsia="Arial" w:hAnsi="Arial" w:cs="Arial"/>
          <w:i/>
          <w:color w:val="FF0000"/>
          <w:sz w:val="20"/>
          <w:shd w:val="clear" w:color="auto" w:fill="00FF00"/>
        </w:rPr>
        <w:t>necessários à prestação do serviço;</w:t>
      </w:r>
      <w:r>
        <w:rPr>
          <w:rFonts w:ascii="Arial" w:eastAsia="Arial" w:hAnsi="Arial" w:cs="Arial"/>
          <w:i/>
          <w:color w:val="FF0000"/>
          <w:sz w:val="20"/>
        </w:rPr>
        <w:t xml:space="preserve">  </w:t>
      </w:r>
    </w:p>
    <w:p w:rsidR="006C145C" w:rsidRDefault="00C62E5A">
      <w:pPr>
        <w:spacing w:after="127" w:line="269" w:lineRule="auto"/>
        <w:ind w:left="1555" w:right="48" w:hanging="10"/>
        <w:jc w:val="both"/>
      </w:pPr>
      <w:r>
        <w:rPr>
          <w:rFonts w:ascii="Arial" w:eastAsia="Arial" w:hAnsi="Arial" w:cs="Arial"/>
          <w:sz w:val="20"/>
          <w:shd w:val="clear" w:color="auto" w:fill="00FF00"/>
        </w:rPr>
        <w:t xml:space="preserve">9.12.4 </w:t>
      </w:r>
      <w:r>
        <w:rPr>
          <w:rFonts w:ascii="Arial" w:eastAsia="Arial" w:hAnsi="Arial" w:cs="Arial"/>
          <w:i/>
          <w:color w:val="FF0000"/>
          <w:sz w:val="20"/>
          <w:shd w:val="clear" w:color="auto" w:fill="00FF00"/>
        </w:rPr>
        <w:t>O registro previsto na Lei n. 5.764/71, art. 107;</w:t>
      </w:r>
      <w:r>
        <w:rPr>
          <w:rFonts w:ascii="Arial" w:eastAsia="Arial" w:hAnsi="Arial" w:cs="Arial"/>
          <w:i/>
          <w:color w:val="FF0000"/>
          <w:sz w:val="20"/>
        </w:rPr>
        <w:t xml:space="preserve"> </w:t>
      </w:r>
    </w:p>
    <w:p w:rsidR="006C145C" w:rsidRDefault="00C62E5A">
      <w:pPr>
        <w:spacing w:after="127" w:line="269" w:lineRule="auto"/>
        <w:ind w:left="2266" w:right="48" w:hanging="721"/>
        <w:jc w:val="both"/>
      </w:pPr>
      <w:r>
        <w:rPr>
          <w:rFonts w:ascii="Arial" w:eastAsia="Arial" w:hAnsi="Arial" w:cs="Arial"/>
          <w:sz w:val="20"/>
          <w:shd w:val="clear" w:color="auto" w:fill="00FF00"/>
        </w:rPr>
        <w:t xml:space="preserve">9.12.5 </w:t>
      </w:r>
      <w:r>
        <w:rPr>
          <w:rFonts w:ascii="Arial" w:eastAsia="Arial" w:hAnsi="Arial" w:cs="Arial"/>
          <w:i/>
          <w:color w:val="FF0000"/>
          <w:sz w:val="20"/>
          <w:shd w:val="clear" w:color="auto" w:fill="00FF00"/>
        </w:rPr>
        <w:t xml:space="preserve"> A comprovação de integração das respectivas quotas-partes por parte dos</w:t>
      </w:r>
      <w:r>
        <w:rPr>
          <w:rFonts w:ascii="Arial" w:eastAsia="Arial" w:hAnsi="Arial" w:cs="Arial"/>
          <w:i/>
          <w:color w:val="FF0000"/>
          <w:sz w:val="20"/>
        </w:rPr>
        <w:t xml:space="preserve"> </w:t>
      </w:r>
      <w:r>
        <w:rPr>
          <w:rFonts w:ascii="Arial" w:eastAsia="Arial" w:hAnsi="Arial" w:cs="Arial"/>
          <w:i/>
          <w:color w:val="FF0000"/>
          <w:sz w:val="20"/>
          <w:shd w:val="clear" w:color="auto" w:fill="00FF00"/>
        </w:rPr>
        <w:t>cooperados que executarão o contrato; e</w:t>
      </w:r>
      <w:r>
        <w:rPr>
          <w:rFonts w:ascii="Arial" w:eastAsia="Arial" w:hAnsi="Arial" w:cs="Arial"/>
          <w:i/>
          <w:color w:val="FF0000"/>
          <w:sz w:val="20"/>
        </w:rPr>
        <w:t xml:space="preserve"> </w:t>
      </w:r>
    </w:p>
    <w:p w:rsidR="006C145C" w:rsidRDefault="00C62E5A">
      <w:pPr>
        <w:spacing w:after="127" w:line="269" w:lineRule="auto"/>
        <w:ind w:left="2266" w:right="48" w:hanging="721"/>
        <w:jc w:val="both"/>
      </w:pPr>
      <w:r>
        <w:rPr>
          <w:rFonts w:ascii="Arial" w:eastAsia="Arial" w:hAnsi="Arial" w:cs="Arial"/>
          <w:sz w:val="20"/>
          <w:shd w:val="clear" w:color="auto" w:fill="00FF00"/>
        </w:rPr>
        <w:lastRenderedPageBreak/>
        <w:t xml:space="preserve">9.12.6 </w:t>
      </w:r>
      <w:r>
        <w:rPr>
          <w:rFonts w:ascii="Arial" w:eastAsia="Arial" w:hAnsi="Arial" w:cs="Arial"/>
          <w:i/>
          <w:color w:val="FF0000"/>
          <w:sz w:val="20"/>
          <w:shd w:val="clear" w:color="auto" w:fill="00FF00"/>
        </w:rPr>
        <w:t xml:space="preserve"> Os seguintes documentos para a comprovação da regularidade jurídica da</w:t>
      </w:r>
      <w:r>
        <w:rPr>
          <w:rFonts w:ascii="Arial" w:eastAsia="Arial" w:hAnsi="Arial" w:cs="Arial"/>
          <w:i/>
          <w:color w:val="FF0000"/>
          <w:sz w:val="20"/>
        </w:rPr>
        <w:t xml:space="preserve"> </w:t>
      </w:r>
      <w:r>
        <w:rPr>
          <w:rFonts w:ascii="Arial" w:eastAsia="Arial" w:hAnsi="Arial" w:cs="Arial"/>
          <w:i/>
          <w:color w:val="FF0000"/>
          <w:sz w:val="20"/>
          <w:shd w:val="clear" w:color="auto" w:fill="00FF00"/>
        </w:rPr>
        <w:t>coope</w:t>
      </w:r>
      <w:r>
        <w:rPr>
          <w:rFonts w:ascii="Arial" w:eastAsia="Arial" w:hAnsi="Arial" w:cs="Arial"/>
          <w:i/>
          <w:color w:val="FF0000"/>
          <w:sz w:val="20"/>
          <w:shd w:val="clear" w:color="auto" w:fill="00FF00"/>
        </w:rPr>
        <w:t>rativa: a) ata de fundação; b) estatuto social com a ata da assembleia</w:t>
      </w:r>
      <w:r>
        <w:rPr>
          <w:rFonts w:ascii="Arial" w:eastAsia="Arial" w:hAnsi="Arial" w:cs="Arial"/>
          <w:i/>
          <w:color w:val="FF0000"/>
          <w:sz w:val="20"/>
        </w:rPr>
        <w:t xml:space="preserve"> </w:t>
      </w:r>
      <w:r>
        <w:rPr>
          <w:rFonts w:ascii="Arial" w:eastAsia="Arial" w:hAnsi="Arial" w:cs="Arial"/>
          <w:i/>
          <w:color w:val="FF0000"/>
          <w:sz w:val="20"/>
          <w:shd w:val="clear" w:color="auto" w:fill="00FF00"/>
        </w:rPr>
        <w:t>que o aprovou; c) regimento dos fundos instituídos pelos cooperados, com a</w:t>
      </w:r>
      <w:r>
        <w:rPr>
          <w:rFonts w:ascii="Arial" w:eastAsia="Arial" w:hAnsi="Arial" w:cs="Arial"/>
          <w:i/>
          <w:color w:val="FF0000"/>
          <w:sz w:val="20"/>
        </w:rPr>
        <w:t xml:space="preserve"> </w:t>
      </w:r>
      <w:r>
        <w:rPr>
          <w:rFonts w:ascii="Arial" w:eastAsia="Arial" w:hAnsi="Arial" w:cs="Arial"/>
          <w:i/>
          <w:color w:val="FF0000"/>
          <w:sz w:val="20"/>
          <w:shd w:val="clear" w:color="auto" w:fill="00FF00"/>
        </w:rPr>
        <w:t>ata da assembleia; d) editais de convocação das três últimas assembleias</w:t>
      </w:r>
      <w:r>
        <w:rPr>
          <w:rFonts w:ascii="Arial" w:eastAsia="Arial" w:hAnsi="Arial" w:cs="Arial"/>
          <w:i/>
          <w:color w:val="FF0000"/>
          <w:sz w:val="20"/>
        </w:rPr>
        <w:t xml:space="preserve"> </w:t>
      </w:r>
      <w:r>
        <w:rPr>
          <w:rFonts w:ascii="Arial" w:eastAsia="Arial" w:hAnsi="Arial" w:cs="Arial"/>
          <w:i/>
          <w:color w:val="FF0000"/>
          <w:sz w:val="20"/>
          <w:shd w:val="clear" w:color="auto" w:fill="00FF00"/>
        </w:rPr>
        <w:t>gerais extraordinárias; e) três registros de presença dos cooperados que</w:t>
      </w:r>
      <w:r>
        <w:rPr>
          <w:rFonts w:ascii="Arial" w:eastAsia="Arial" w:hAnsi="Arial" w:cs="Arial"/>
          <w:i/>
          <w:color w:val="FF0000"/>
          <w:sz w:val="20"/>
        </w:rPr>
        <w:t xml:space="preserve"> </w:t>
      </w:r>
      <w:r>
        <w:rPr>
          <w:rFonts w:ascii="Arial" w:eastAsia="Arial" w:hAnsi="Arial" w:cs="Arial"/>
          <w:i/>
          <w:color w:val="FF0000"/>
          <w:sz w:val="20"/>
          <w:shd w:val="clear" w:color="auto" w:fill="00FF00"/>
        </w:rPr>
        <w:t>executarão o contrato em assembleias gerais ou nas reuniões seccionais; e</w:t>
      </w:r>
      <w:r>
        <w:rPr>
          <w:rFonts w:ascii="Arial" w:eastAsia="Arial" w:hAnsi="Arial" w:cs="Arial"/>
          <w:i/>
          <w:color w:val="FF0000"/>
          <w:sz w:val="20"/>
        </w:rPr>
        <w:t xml:space="preserve"> </w:t>
      </w:r>
      <w:r>
        <w:rPr>
          <w:rFonts w:ascii="Arial" w:eastAsia="Arial" w:hAnsi="Arial" w:cs="Arial"/>
          <w:i/>
          <w:color w:val="FF0000"/>
          <w:sz w:val="20"/>
          <w:shd w:val="clear" w:color="auto" w:fill="00FF00"/>
        </w:rPr>
        <w:t>f) ata da sessão que os cooperados autorizaram a cooperativa a contratar o</w:t>
      </w:r>
      <w:r>
        <w:rPr>
          <w:rFonts w:ascii="Arial" w:eastAsia="Arial" w:hAnsi="Arial" w:cs="Arial"/>
          <w:i/>
          <w:color w:val="FF0000"/>
          <w:sz w:val="20"/>
        </w:rPr>
        <w:t xml:space="preserve"> </w:t>
      </w:r>
      <w:r>
        <w:rPr>
          <w:rFonts w:ascii="Arial" w:eastAsia="Arial" w:hAnsi="Arial" w:cs="Arial"/>
          <w:i/>
          <w:color w:val="FF0000"/>
          <w:sz w:val="20"/>
          <w:shd w:val="clear" w:color="auto" w:fill="00FF00"/>
        </w:rPr>
        <w:t>objeto da licitação;</w:t>
      </w:r>
      <w:r>
        <w:rPr>
          <w:rFonts w:ascii="Arial" w:eastAsia="Arial" w:hAnsi="Arial" w:cs="Arial"/>
          <w:i/>
          <w:color w:val="FF0000"/>
          <w:sz w:val="20"/>
        </w:rPr>
        <w:t xml:space="preserve"> </w:t>
      </w:r>
    </w:p>
    <w:p w:rsidR="006C145C" w:rsidRDefault="00C62E5A">
      <w:pPr>
        <w:spacing w:after="127" w:line="269" w:lineRule="auto"/>
        <w:ind w:left="2266" w:right="48" w:hanging="721"/>
        <w:jc w:val="both"/>
      </w:pPr>
      <w:r>
        <w:rPr>
          <w:rFonts w:ascii="Arial" w:eastAsia="Arial" w:hAnsi="Arial" w:cs="Arial"/>
          <w:sz w:val="20"/>
          <w:shd w:val="clear" w:color="auto" w:fill="00FF00"/>
        </w:rPr>
        <w:t xml:space="preserve">9.12.7 </w:t>
      </w:r>
      <w:r>
        <w:rPr>
          <w:rFonts w:ascii="Arial" w:eastAsia="Arial" w:hAnsi="Arial" w:cs="Arial"/>
          <w:i/>
          <w:color w:val="FF0000"/>
          <w:sz w:val="20"/>
          <w:shd w:val="clear" w:color="auto" w:fill="00FF00"/>
        </w:rPr>
        <w:t>A últ</w:t>
      </w:r>
      <w:r>
        <w:rPr>
          <w:rFonts w:ascii="Arial" w:eastAsia="Arial" w:hAnsi="Arial" w:cs="Arial"/>
          <w:i/>
          <w:color w:val="FF0000"/>
          <w:sz w:val="20"/>
          <w:shd w:val="clear" w:color="auto" w:fill="00FF00"/>
        </w:rPr>
        <w:t>ima auditoria contábil-financeira da cooperativa, conforme dispõe o art.</w:t>
      </w:r>
      <w:r>
        <w:rPr>
          <w:rFonts w:ascii="Arial" w:eastAsia="Arial" w:hAnsi="Arial" w:cs="Arial"/>
          <w:i/>
          <w:color w:val="FF0000"/>
          <w:sz w:val="20"/>
        </w:rPr>
        <w:t xml:space="preserve"> </w:t>
      </w:r>
      <w:r>
        <w:rPr>
          <w:rFonts w:ascii="Arial" w:eastAsia="Arial" w:hAnsi="Arial" w:cs="Arial"/>
          <w:i/>
          <w:color w:val="FF0000"/>
          <w:sz w:val="20"/>
          <w:shd w:val="clear" w:color="auto" w:fill="00FF00"/>
        </w:rPr>
        <w:t>112 da Lei n. 5.764/71 ou uma declaração, sob as penas da lei, de que tal</w:t>
      </w:r>
      <w:r>
        <w:rPr>
          <w:rFonts w:ascii="Arial" w:eastAsia="Arial" w:hAnsi="Arial" w:cs="Arial"/>
          <w:i/>
          <w:color w:val="FF0000"/>
          <w:sz w:val="20"/>
        </w:rPr>
        <w:t xml:space="preserve"> </w:t>
      </w:r>
      <w:r>
        <w:rPr>
          <w:rFonts w:ascii="Arial" w:eastAsia="Arial" w:hAnsi="Arial" w:cs="Arial"/>
          <w:i/>
          <w:color w:val="FF0000"/>
          <w:sz w:val="20"/>
          <w:shd w:val="clear" w:color="auto" w:fill="00FF00"/>
        </w:rPr>
        <w:t>auditoria não foi exigida pelo órgão fiscalizador.</w:t>
      </w:r>
      <w:r>
        <w:rPr>
          <w:rFonts w:ascii="Arial" w:eastAsia="Arial" w:hAnsi="Arial" w:cs="Arial"/>
          <w:i/>
          <w:color w:val="FF0000"/>
          <w:sz w:val="20"/>
        </w:rPr>
        <w:t xml:space="preserve"> </w:t>
      </w:r>
    </w:p>
    <w:p w:rsidR="006C145C" w:rsidRDefault="00C62E5A">
      <w:pPr>
        <w:spacing w:after="152" w:line="270" w:lineRule="auto"/>
        <w:ind w:left="926" w:right="54" w:hanging="360"/>
        <w:jc w:val="both"/>
      </w:pPr>
      <w:r>
        <w:rPr>
          <w:rFonts w:ascii="Arial" w:eastAsia="Arial" w:hAnsi="Arial" w:cs="Arial"/>
          <w:sz w:val="20"/>
        </w:rPr>
        <w:t>9.13 O licitante enquadrado como microempreendedor indivi</w:t>
      </w:r>
      <w:r>
        <w:rPr>
          <w:rFonts w:ascii="Arial" w:eastAsia="Arial" w:hAnsi="Arial" w:cs="Arial"/>
          <w:sz w:val="20"/>
        </w:rPr>
        <w:t>dual que pretenda auferir os benefícios do tratamento diferenciado previstos na Lei Complementar n. 123, de 2006, estará dispensado (a) da prova de inscrição nos cadastros de contribuintes estadual e municipal e (b) da apresentação do balanço patrimonial e</w:t>
      </w:r>
      <w:r>
        <w:rPr>
          <w:rFonts w:ascii="Arial" w:eastAsia="Arial" w:hAnsi="Arial" w:cs="Arial"/>
          <w:sz w:val="20"/>
        </w:rPr>
        <w:t xml:space="preserve"> das demonstrações contábeis do último exercício.</w:t>
      </w:r>
      <w:r>
        <w:rPr>
          <w:rFonts w:ascii="Arial" w:eastAsia="Arial" w:hAnsi="Arial" w:cs="Arial"/>
          <w:b/>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5" w:line="249" w:lineRule="auto"/>
        <w:ind w:left="-5" w:right="57" w:hanging="10"/>
        <w:jc w:val="both"/>
      </w:pPr>
      <w:r>
        <w:rPr>
          <w:rFonts w:ascii="Arial" w:eastAsia="Arial" w:hAnsi="Arial" w:cs="Arial"/>
          <w:b/>
          <w:i/>
          <w:sz w:val="20"/>
        </w:rPr>
        <w:t xml:space="preserve">Nota Explicativa: </w:t>
      </w:r>
      <w:r>
        <w:rPr>
          <w:rFonts w:ascii="Arial" w:eastAsia="Arial" w:hAnsi="Arial" w:cs="Arial"/>
          <w:i/>
          <w:sz w:val="20"/>
        </w:rPr>
        <w:t>A apresentação do Certificado de Condição de Microempreendedor Individual – CCMEI supre as exigências de inscrição nos cadastros fiscais, na medida em que essas informações constam no pró</w:t>
      </w:r>
      <w:r>
        <w:rPr>
          <w:rFonts w:ascii="Arial" w:eastAsia="Arial" w:hAnsi="Arial" w:cs="Arial"/>
          <w:i/>
          <w:sz w:val="20"/>
        </w:rPr>
        <w:t>prio Certificado.</w:t>
      </w:r>
      <w:r>
        <w:rPr>
          <w:rFonts w:ascii="Arial" w:eastAsia="Arial" w:hAnsi="Arial" w:cs="Arial"/>
          <w:i/>
          <w:color w:val="7030A0"/>
          <w:sz w:val="20"/>
        </w:rPr>
        <w:t xml:space="preserve"> </w:t>
      </w:r>
    </w:p>
    <w:p w:rsidR="006C145C" w:rsidRDefault="00C62E5A">
      <w:pPr>
        <w:spacing w:after="129" w:line="270" w:lineRule="auto"/>
        <w:ind w:left="926" w:right="54" w:hanging="360"/>
        <w:jc w:val="both"/>
      </w:pPr>
      <w:r>
        <w:rPr>
          <w:rFonts w:ascii="Arial" w:eastAsia="Arial" w:hAnsi="Arial" w:cs="Arial"/>
          <w:sz w:val="20"/>
        </w:rPr>
        <w:t>9.14 A existência de restrição relativamente à regularidade fiscal e trabalhista não impede que a licitante qualificada como microempresa ou empresa de pequeno porte seja declarada vencedora, uma vez que atenda a todas as demais exigênci</w:t>
      </w:r>
      <w:r>
        <w:rPr>
          <w:rFonts w:ascii="Arial" w:eastAsia="Arial" w:hAnsi="Arial" w:cs="Arial"/>
          <w:sz w:val="20"/>
        </w:rPr>
        <w:t xml:space="preserve">as do edital. </w:t>
      </w:r>
    </w:p>
    <w:p w:rsidR="006C145C" w:rsidRDefault="00C62E5A">
      <w:pPr>
        <w:spacing w:after="129" w:line="270" w:lineRule="auto"/>
        <w:ind w:left="2281" w:right="54" w:hanging="721"/>
        <w:jc w:val="both"/>
      </w:pPr>
      <w:r>
        <w:rPr>
          <w:rFonts w:ascii="Arial" w:eastAsia="Arial" w:hAnsi="Arial" w:cs="Arial"/>
          <w:sz w:val="20"/>
        </w:rPr>
        <w:t xml:space="preserve">9.14.1 A declaração do vencedor acontecerá no momento imediatamente posterior à fase de habilitação. </w:t>
      </w:r>
    </w:p>
    <w:p w:rsidR="006C145C" w:rsidRDefault="00C62E5A">
      <w:pPr>
        <w:spacing w:after="129" w:line="270" w:lineRule="auto"/>
        <w:ind w:left="926" w:right="54" w:hanging="360"/>
        <w:jc w:val="both"/>
      </w:pPr>
      <w:r>
        <w:rPr>
          <w:rFonts w:ascii="Arial" w:eastAsia="Arial" w:hAnsi="Arial" w:cs="Arial"/>
          <w:sz w:val="20"/>
        </w:rPr>
        <w:t>9.15 Caso a proposta mais vantajosa seja ofertada por microempresa, empresa de pequeno porte ou sociedade cooperativa equiparada, e uma vez</w:t>
      </w:r>
      <w:r>
        <w:rPr>
          <w:rFonts w:ascii="Arial" w:eastAsia="Arial" w:hAnsi="Arial" w:cs="Arial"/>
          <w:sz w:val="20"/>
        </w:rPr>
        <w:t xml:space="preserve"> constatada a existência de alguma restrição no que tange à regularidade fiscal e trabalhista, a mesma será convocada para, no prazo de 5 (cinco) dias úteis, após a declaração do vencedor, comprovar a regularização. O prazo poderá ser prorrogado por igual </w:t>
      </w:r>
      <w:r>
        <w:rPr>
          <w:rFonts w:ascii="Arial" w:eastAsia="Arial" w:hAnsi="Arial" w:cs="Arial"/>
          <w:sz w:val="20"/>
        </w:rPr>
        <w:t xml:space="preserve">período, a critério da administração pública, quando requerida pelo licitante, mediante apresentação de justificativa. </w:t>
      </w:r>
    </w:p>
    <w:p w:rsidR="006C145C" w:rsidRDefault="00C62E5A">
      <w:pPr>
        <w:spacing w:after="129" w:line="270" w:lineRule="auto"/>
        <w:ind w:left="926" w:right="54" w:hanging="360"/>
        <w:jc w:val="both"/>
      </w:pPr>
      <w:r>
        <w:rPr>
          <w:rFonts w:ascii="Arial" w:eastAsia="Arial" w:hAnsi="Arial" w:cs="Arial"/>
          <w:sz w:val="20"/>
        </w:rPr>
        <w:t>9.16 A não-</w:t>
      </w:r>
      <w:r>
        <w:rPr>
          <w:rFonts w:ascii="Arial" w:eastAsia="Arial" w:hAnsi="Arial" w:cs="Arial"/>
          <w:sz w:val="20"/>
        </w:rPr>
        <w:t>regularização fiscal e trabalhista no prazo previsto no subitem anterior acarretará a inabilitação do licitante, sem prejuízo das sanções previstas neste Edital, sendo facultada a convocação dos licitantes remanescentes, na ordem de classificação. Se, na o</w:t>
      </w:r>
      <w:r>
        <w:rPr>
          <w:rFonts w:ascii="Arial" w:eastAsia="Arial" w:hAnsi="Arial" w:cs="Arial"/>
          <w:sz w:val="20"/>
        </w:rPr>
        <w:t xml:space="preserve">rdem de classificação, seguir-se outra microempresa, empresa de pequeno porte ou sociedade cooperativa com alguma restrição na documentação fiscal e trabalhista, será concedido o mesmo prazo para regularização.  </w:t>
      </w:r>
    </w:p>
    <w:p w:rsidR="006C145C" w:rsidRDefault="00C62E5A">
      <w:pPr>
        <w:spacing w:after="129" w:line="270" w:lineRule="auto"/>
        <w:ind w:left="927" w:right="54" w:hanging="360"/>
        <w:jc w:val="both"/>
      </w:pPr>
      <w:r>
        <w:rPr>
          <w:rFonts w:ascii="Arial" w:eastAsia="Arial" w:hAnsi="Arial" w:cs="Arial"/>
          <w:sz w:val="20"/>
        </w:rPr>
        <w:t>9.17 Havendo necessidade de analisar minuci</w:t>
      </w:r>
      <w:r>
        <w:rPr>
          <w:rFonts w:ascii="Arial" w:eastAsia="Arial" w:hAnsi="Arial" w:cs="Arial"/>
          <w:sz w:val="20"/>
        </w:rPr>
        <w:t xml:space="preserve">osamente os documentos exigidos, o Pregoeiro suspenderá a sessão, informando no “chat” a nova data e horário para a continuidade da mesma. </w:t>
      </w:r>
    </w:p>
    <w:p w:rsidR="006C145C" w:rsidRDefault="00C62E5A">
      <w:pPr>
        <w:spacing w:after="129" w:line="270" w:lineRule="auto"/>
        <w:ind w:left="927" w:right="54" w:hanging="360"/>
        <w:jc w:val="both"/>
      </w:pPr>
      <w:r>
        <w:rPr>
          <w:rFonts w:ascii="Arial" w:eastAsia="Arial" w:hAnsi="Arial" w:cs="Arial"/>
          <w:sz w:val="20"/>
        </w:rPr>
        <w:t>9.18 Será inabilitado o licitante que não comprovar sua habilitação, seja por não apresentar quaisquer dos documento</w:t>
      </w:r>
      <w:r>
        <w:rPr>
          <w:rFonts w:ascii="Arial" w:eastAsia="Arial" w:hAnsi="Arial" w:cs="Arial"/>
          <w:sz w:val="20"/>
        </w:rPr>
        <w:t xml:space="preserve">s exigidos, ou apresentá-los em desacordo com o estabelecido neste Edital. </w:t>
      </w:r>
    </w:p>
    <w:p w:rsidR="006C145C" w:rsidRDefault="00C62E5A">
      <w:pPr>
        <w:spacing w:after="129" w:line="270" w:lineRule="auto"/>
        <w:ind w:left="927" w:right="54" w:hanging="360"/>
        <w:jc w:val="both"/>
      </w:pPr>
      <w:r>
        <w:rPr>
          <w:rFonts w:ascii="Arial" w:eastAsia="Arial" w:hAnsi="Arial" w:cs="Arial"/>
          <w:sz w:val="20"/>
        </w:rPr>
        <w:t xml:space="preserve">9.19 Nos itens não exclusivos a microempresas e empresas de pequeno porte, em havendo  inabilitação, haverá nova verificação, pelo sistema, da eventual ocorrência do empate ficto, </w:t>
      </w:r>
      <w:r>
        <w:rPr>
          <w:rFonts w:ascii="Arial" w:eastAsia="Arial" w:hAnsi="Arial" w:cs="Arial"/>
          <w:sz w:val="20"/>
        </w:rPr>
        <w:t xml:space="preserve">previsto nos artigos 44 e 45 da LC nº 123, de 2006, seguindo-se a disciplina antes estabelecida para aceitação da proposta subsequente. </w:t>
      </w:r>
    </w:p>
    <w:p w:rsidR="006C145C" w:rsidRDefault="00C62E5A">
      <w:pPr>
        <w:spacing w:after="131" w:line="269" w:lineRule="auto"/>
        <w:ind w:left="927" w:right="54" w:hanging="360"/>
        <w:jc w:val="both"/>
      </w:pPr>
      <w:r>
        <w:rPr>
          <w:rFonts w:ascii="Arial" w:eastAsia="Arial" w:hAnsi="Arial" w:cs="Arial"/>
          <w:color w:val="FF0000"/>
          <w:sz w:val="20"/>
        </w:rPr>
        <w:t>9.20 O licitante provisoriamente vencedor em um item, que estiver concorrendo em outro item, ficará obrigado a comprova</w:t>
      </w:r>
      <w:r>
        <w:rPr>
          <w:rFonts w:ascii="Arial" w:eastAsia="Arial" w:hAnsi="Arial" w:cs="Arial"/>
          <w:color w:val="FF0000"/>
          <w:sz w:val="20"/>
        </w:rPr>
        <w:t xml:space="preserve">r os requisitos de habilitação cumulativamente, isto é, somando as exigências do item em que venceu às do item em que estiver concorrendo, e assim sucessivamente, sob pena de inabilitação, além da aplicação das sanções cabíveis. </w:t>
      </w:r>
    </w:p>
    <w:p w:rsidR="006C145C" w:rsidRDefault="00C62E5A">
      <w:pPr>
        <w:spacing w:after="155" w:line="269" w:lineRule="auto"/>
        <w:ind w:left="2280" w:right="54" w:hanging="720"/>
        <w:jc w:val="both"/>
      </w:pPr>
      <w:r>
        <w:rPr>
          <w:rFonts w:ascii="Arial" w:eastAsia="Arial" w:hAnsi="Arial" w:cs="Arial"/>
          <w:sz w:val="20"/>
        </w:rPr>
        <w:lastRenderedPageBreak/>
        <w:t xml:space="preserve">9.20.1 </w:t>
      </w:r>
      <w:r>
        <w:rPr>
          <w:rFonts w:ascii="Arial" w:eastAsia="Arial" w:hAnsi="Arial" w:cs="Arial"/>
          <w:color w:val="FF0000"/>
          <w:sz w:val="20"/>
        </w:rPr>
        <w:t>Não havendo a compr</w:t>
      </w:r>
      <w:r>
        <w:rPr>
          <w:rFonts w:ascii="Arial" w:eastAsia="Arial" w:hAnsi="Arial" w:cs="Arial"/>
          <w:color w:val="FF0000"/>
          <w:sz w:val="20"/>
        </w:rPr>
        <w:t xml:space="preserve">ovação cumulativa dos requisitos de habilitação, a inabilitação recairá sobre o(s) item(ns) de menor(es) valor(es), cuja retirada(s) seja(m) suficiente(s) para a habilitação do licitante nos remanescentes.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3" w:line="249" w:lineRule="auto"/>
        <w:ind w:left="-5" w:right="57" w:hanging="10"/>
        <w:jc w:val="both"/>
      </w:pPr>
      <w:r>
        <w:rPr>
          <w:rFonts w:ascii="Arial" w:eastAsia="Arial" w:hAnsi="Arial" w:cs="Arial"/>
          <w:b/>
          <w:i/>
          <w:sz w:val="20"/>
        </w:rPr>
        <w:t>Nota explicativa:</w:t>
      </w:r>
      <w:r>
        <w:rPr>
          <w:rFonts w:ascii="Arial" w:eastAsia="Arial" w:hAnsi="Arial" w:cs="Arial"/>
          <w:i/>
          <w:sz w:val="20"/>
        </w:rPr>
        <w:t xml:space="preserve"> </w:t>
      </w:r>
      <w:r>
        <w:rPr>
          <w:rFonts w:ascii="Arial" w:eastAsia="Arial" w:hAnsi="Arial" w:cs="Arial"/>
          <w:i/>
          <w:sz w:val="20"/>
        </w:rPr>
        <w:t xml:space="preserve">O subitem acima só se aplica nas licitações por itens, e desde que o edital exija comprovação de capital mínimo ou patrimônio líquido, para fins de qualificação econômico-financeira, ou comprovação de aptidão, para fins de qualificação técnica.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3" w:line="249" w:lineRule="auto"/>
        <w:ind w:left="-5" w:right="57" w:hanging="10"/>
        <w:jc w:val="both"/>
      </w:pPr>
      <w:r>
        <w:rPr>
          <w:rFonts w:ascii="Arial" w:eastAsia="Arial" w:hAnsi="Arial" w:cs="Arial"/>
          <w:i/>
          <w:sz w:val="20"/>
        </w:rPr>
        <w:t>Na licitaç</w:t>
      </w:r>
      <w:r>
        <w:rPr>
          <w:rFonts w:ascii="Arial" w:eastAsia="Arial" w:hAnsi="Arial" w:cs="Arial"/>
          <w:i/>
          <w:sz w:val="20"/>
        </w:rPr>
        <w:t>ão por itens, as exigências de habilitação (especialmente qualificação econômico-financeira e técnica) devem ser compatíveis e proporcionais ao vulto e à complexidade de cada item. Não se pode exigir do licitante que concorre em apenas um item requisitos d</w:t>
      </w:r>
      <w:r>
        <w:rPr>
          <w:rFonts w:ascii="Arial" w:eastAsia="Arial" w:hAnsi="Arial" w:cs="Arial"/>
          <w:i/>
          <w:sz w:val="20"/>
        </w:rPr>
        <w:t xml:space="preserve">e qualificação econômico-financeira ou técnica correspondentes ao objeto da licitação como um todo.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3" w:line="249" w:lineRule="auto"/>
        <w:ind w:left="-5" w:right="57" w:hanging="10"/>
        <w:jc w:val="both"/>
      </w:pPr>
      <w:r>
        <w:rPr>
          <w:rFonts w:ascii="Arial" w:eastAsia="Arial" w:hAnsi="Arial" w:cs="Arial"/>
          <w:i/>
          <w:sz w:val="20"/>
        </w:rPr>
        <w:t>Todavia, quando o licitante concorre em mais de um item, compromete-se a executar concomitantemente as diversas contratações que poderão advir, de modo que</w:t>
      </w:r>
      <w:r>
        <w:rPr>
          <w:rFonts w:ascii="Arial" w:eastAsia="Arial" w:hAnsi="Arial" w:cs="Arial"/>
          <w:i/>
          <w:sz w:val="20"/>
        </w:rPr>
        <w:t xml:space="preserve">, nessa hipótese, os requisitos de habilitação devem ser cumulativos, mas apenas exigíveis em relação aos itens que o licitante efetivamente venceu, e não apenas concorreu. Tal é a orientação do TCU (Acórdão n° 1.630/2009 – Plenário).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51" w:line="249" w:lineRule="auto"/>
        <w:ind w:left="-5" w:right="57" w:hanging="10"/>
        <w:jc w:val="both"/>
      </w:pPr>
      <w:r>
        <w:rPr>
          <w:rFonts w:ascii="Arial" w:eastAsia="Arial" w:hAnsi="Arial" w:cs="Arial"/>
          <w:i/>
          <w:sz w:val="20"/>
        </w:rPr>
        <w:t>No caso de a habilitação do licitante não atingir as exigências cumulativas para todos os itens (ou grupos) para os quais concorreu, então o licitante deverá ser inabilitado em algum ou alguns deles, e a escolha deve recair sobre aquele ou aqueles que repr</w:t>
      </w:r>
      <w:r>
        <w:rPr>
          <w:rFonts w:ascii="Arial" w:eastAsia="Arial" w:hAnsi="Arial" w:cs="Arial"/>
          <w:i/>
          <w:sz w:val="20"/>
        </w:rPr>
        <w:t xml:space="preserve">esentarem o menor gravame para o licitante, ou seja, os de menor valor, e só deve recair sobre os que forem suficientes para que a habilitação do licitante atinja as exigências cumulativas do item ou itens remanescentes. </w:t>
      </w:r>
    </w:p>
    <w:p w:rsidR="006C145C" w:rsidRDefault="00C62E5A">
      <w:pPr>
        <w:spacing w:after="103"/>
      </w:pPr>
      <w:r>
        <w:rPr>
          <w:rFonts w:ascii="Arial" w:eastAsia="Arial" w:hAnsi="Arial" w:cs="Arial"/>
          <w:sz w:val="20"/>
        </w:rPr>
        <w:t xml:space="preserve"> </w:t>
      </w:r>
    </w:p>
    <w:p w:rsidR="006C145C" w:rsidRDefault="00C62E5A">
      <w:pPr>
        <w:spacing w:after="485" w:line="270" w:lineRule="auto"/>
        <w:ind w:left="927" w:right="54" w:hanging="360"/>
        <w:jc w:val="both"/>
      </w:pPr>
      <w:r>
        <w:rPr>
          <w:rFonts w:ascii="Arial" w:eastAsia="Arial" w:hAnsi="Arial" w:cs="Arial"/>
          <w:sz w:val="20"/>
        </w:rPr>
        <w:t>9.21 Constatado o atendimento às</w:t>
      </w:r>
      <w:r>
        <w:rPr>
          <w:rFonts w:ascii="Arial" w:eastAsia="Arial" w:hAnsi="Arial" w:cs="Arial"/>
          <w:sz w:val="20"/>
        </w:rPr>
        <w:t xml:space="preserve"> exigências de habilitação fixadas no Edital, o licitante será declarado vencedor. </w:t>
      </w:r>
    </w:p>
    <w:p w:rsidR="006C145C" w:rsidRDefault="00C62E5A">
      <w:pPr>
        <w:pStyle w:val="Ttulo4"/>
        <w:ind w:left="7" w:right="37"/>
      </w:pPr>
      <w:r>
        <w:t xml:space="preserve">10 DO ENCAMINHAMENTO DA PROPOSTA VENCEDORA </w:t>
      </w:r>
    </w:p>
    <w:p w:rsidR="006C145C" w:rsidRDefault="00C62E5A">
      <w:pPr>
        <w:spacing w:after="8" w:line="269" w:lineRule="auto"/>
        <w:ind w:left="425" w:right="51"/>
        <w:jc w:val="both"/>
      </w:pPr>
      <w:r>
        <w:rPr>
          <w:rFonts w:ascii="Arial" w:eastAsia="Arial" w:hAnsi="Arial" w:cs="Arial"/>
          <w:i/>
          <w:color w:val="FF0000"/>
          <w:sz w:val="20"/>
          <w:shd w:val="clear" w:color="auto" w:fill="FFFF00"/>
        </w:rPr>
        <w:t>10.1 A proposta final do licitante declarado vencedor deverá ser encaminhada no prazo de</w:t>
      </w:r>
      <w:r>
        <w:rPr>
          <w:rFonts w:ascii="Arial" w:eastAsia="Arial" w:hAnsi="Arial" w:cs="Arial"/>
          <w:i/>
          <w:color w:val="FF0000"/>
          <w:sz w:val="20"/>
        </w:rPr>
        <w:t xml:space="preserve"> </w:t>
      </w:r>
      <w:r>
        <w:rPr>
          <w:rFonts w:ascii="Arial" w:eastAsia="Arial" w:hAnsi="Arial" w:cs="Arial"/>
          <w:i/>
          <w:color w:val="FF0000"/>
          <w:sz w:val="20"/>
          <w:shd w:val="clear" w:color="auto" w:fill="FFFF00"/>
        </w:rPr>
        <w:t>.......(......) horas/dias [mínimo de q</w:t>
      </w:r>
      <w:r>
        <w:rPr>
          <w:rFonts w:ascii="Arial" w:eastAsia="Arial" w:hAnsi="Arial" w:cs="Arial"/>
          <w:i/>
          <w:color w:val="FF0000"/>
          <w:sz w:val="20"/>
          <w:shd w:val="clear" w:color="auto" w:fill="FFFF00"/>
        </w:rPr>
        <w:t>uatro horas], a contar da solicitação do Pregoeiro no sistema</w:t>
      </w:r>
      <w:r>
        <w:rPr>
          <w:rFonts w:ascii="Arial" w:eastAsia="Arial" w:hAnsi="Arial" w:cs="Arial"/>
          <w:i/>
          <w:color w:val="FF0000"/>
          <w:sz w:val="20"/>
        </w:rPr>
        <w:t xml:space="preserve"> </w:t>
      </w:r>
      <w:r>
        <w:rPr>
          <w:rFonts w:ascii="Arial" w:eastAsia="Arial" w:hAnsi="Arial" w:cs="Arial"/>
          <w:i/>
          <w:color w:val="FF0000"/>
          <w:sz w:val="20"/>
          <w:shd w:val="clear" w:color="auto" w:fill="FFFF00"/>
        </w:rPr>
        <w:t>eletrônico e deverá:</w:t>
      </w:r>
      <w:r>
        <w:rPr>
          <w:rFonts w:ascii="Arial" w:eastAsia="Arial" w:hAnsi="Arial" w:cs="Arial"/>
          <w:i/>
          <w:color w:val="FF0000"/>
          <w:sz w:val="20"/>
        </w:rPr>
        <w:t xml:space="preserve"> </w:t>
      </w:r>
    </w:p>
    <w:p w:rsidR="006C145C" w:rsidRDefault="00C62E5A">
      <w:pPr>
        <w:spacing w:after="130" w:line="270" w:lineRule="auto"/>
        <w:ind w:left="1853" w:right="58" w:hanging="720"/>
        <w:jc w:val="both"/>
      </w:pPr>
      <w:r>
        <w:rPr>
          <w:rFonts w:ascii="Arial" w:eastAsia="Arial" w:hAnsi="Arial" w:cs="Arial"/>
          <w:i/>
          <w:color w:val="FF0000"/>
          <w:sz w:val="20"/>
        </w:rPr>
        <w:t>10.1.1 ser redigida em língua portuguesa, datilografada ou digitada, em uma via, sem emendas, rasuras, entrelinhas ou ressalvas, devendo a última folha ser assinada e as de</w:t>
      </w:r>
      <w:r>
        <w:rPr>
          <w:rFonts w:ascii="Arial" w:eastAsia="Arial" w:hAnsi="Arial" w:cs="Arial"/>
          <w:i/>
          <w:color w:val="FF0000"/>
          <w:sz w:val="20"/>
        </w:rPr>
        <w:t xml:space="preserve">mais rubricadas pelo licitante ou seu representante legal. </w:t>
      </w:r>
    </w:p>
    <w:p w:rsidR="006C145C" w:rsidRDefault="00C62E5A">
      <w:pPr>
        <w:spacing w:after="130" w:line="270" w:lineRule="auto"/>
        <w:ind w:left="1143" w:right="58" w:hanging="10"/>
        <w:jc w:val="both"/>
      </w:pPr>
      <w:r>
        <w:rPr>
          <w:rFonts w:ascii="Arial" w:eastAsia="Arial" w:hAnsi="Arial" w:cs="Arial"/>
          <w:i/>
          <w:color w:val="FF0000"/>
          <w:sz w:val="20"/>
        </w:rPr>
        <w:t xml:space="preserve">10.1.2 apresentar a planilha de custos e formação de preços, devidamente ajustada ao lance vencedor, em conformidade com o modelo anexo a este instrumento convocatório. </w:t>
      </w:r>
    </w:p>
    <w:p w:rsidR="006C145C" w:rsidRDefault="00C62E5A">
      <w:pPr>
        <w:spacing w:after="130" w:line="270" w:lineRule="auto"/>
        <w:ind w:left="1143" w:right="58" w:hanging="10"/>
        <w:jc w:val="both"/>
      </w:pPr>
      <w:r>
        <w:rPr>
          <w:rFonts w:ascii="Arial" w:eastAsia="Arial" w:hAnsi="Arial" w:cs="Arial"/>
          <w:i/>
          <w:color w:val="FF0000"/>
          <w:sz w:val="20"/>
        </w:rPr>
        <w:t xml:space="preserve">10.1.3 conter a indicação </w:t>
      </w:r>
      <w:r>
        <w:rPr>
          <w:rFonts w:ascii="Arial" w:eastAsia="Arial" w:hAnsi="Arial" w:cs="Arial"/>
          <w:i/>
          <w:color w:val="FF0000"/>
          <w:sz w:val="20"/>
        </w:rPr>
        <w:t xml:space="preserve">do banco, número da conta e agência do licitante vencedor, para fins de pagamento. </w:t>
      </w:r>
    </w:p>
    <w:p w:rsidR="006C145C" w:rsidRDefault="00C62E5A">
      <w:pPr>
        <w:spacing w:after="130" w:line="270" w:lineRule="auto"/>
        <w:ind w:left="420" w:right="58" w:hanging="10"/>
        <w:jc w:val="both"/>
      </w:pPr>
      <w:r>
        <w:rPr>
          <w:rFonts w:ascii="Arial" w:eastAsia="Arial" w:hAnsi="Arial" w:cs="Arial"/>
          <w:i/>
          <w:color w:val="FF0000"/>
          <w:sz w:val="20"/>
        </w:rPr>
        <w:t xml:space="preserve">10.2    </w:t>
      </w:r>
      <w:r>
        <w:rPr>
          <w:rFonts w:ascii="Arial" w:eastAsia="Arial" w:hAnsi="Arial" w:cs="Arial"/>
          <w:i/>
          <w:color w:val="FF0000"/>
          <w:sz w:val="20"/>
        </w:rPr>
        <w:t xml:space="preserve">A proposta final deverá ser documentada nos autos e será levada em consideração no decorrer da execução do contrato e aplicação de eventual sanção à Contratada, se for o caso. </w:t>
      </w:r>
    </w:p>
    <w:p w:rsidR="006C145C" w:rsidRDefault="00C62E5A">
      <w:pPr>
        <w:spacing w:after="156" w:line="270" w:lineRule="auto"/>
        <w:ind w:left="1143" w:right="58" w:hanging="10"/>
        <w:jc w:val="both"/>
      </w:pPr>
      <w:r>
        <w:rPr>
          <w:rFonts w:ascii="Arial" w:eastAsia="Arial" w:hAnsi="Arial" w:cs="Arial"/>
          <w:i/>
          <w:color w:val="FF0000"/>
          <w:sz w:val="20"/>
        </w:rPr>
        <w:t xml:space="preserve">10.2.1 </w:t>
      </w:r>
      <w:r>
        <w:rPr>
          <w:rFonts w:ascii="Arial" w:eastAsia="Arial" w:hAnsi="Arial" w:cs="Arial"/>
          <w:i/>
          <w:color w:val="FF0000"/>
          <w:sz w:val="20"/>
        </w:rPr>
        <w:tab/>
        <w:t>Todas as especificações do objeto contidas na proposta vinculam a Contr</w:t>
      </w:r>
      <w:r>
        <w:rPr>
          <w:rFonts w:ascii="Arial" w:eastAsia="Arial" w:hAnsi="Arial" w:cs="Arial"/>
          <w:i/>
          <w:color w:val="FF0000"/>
          <w:sz w:val="20"/>
        </w:rPr>
        <w:t xml:space="preserve">atada.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316" w:lineRule="auto"/>
        <w:ind w:left="-5" w:right="57" w:hanging="10"/>
        <w:jc w:val="both"/>
      </w:pPr>
      <w:r>
        <w:rPr>
          <w:rFonts w:ascii="Arial" w:eastAsia="Arial" w:hAnsi="Arial" w:cs="Arial"/>
          <w:b/>
          <w:i/>
          <w:sz w:val="20"/>
        </w:rPr>
        <w:t>Nota explicativa</w:t>
      </w:r>
      <w:r>
        <w:rPr>
          <w:rFonts w:ascii="Arial" w:eastAsia="Arial" w:hAnsi="Arial" w:cs="Arial"/>
          <w:i/>
          <w:sz w:val="20"/>
        </w:rPr>
        <w:t xml:space="preserve">: Compete à área responsável pela elaboração do edital definir os dados que devem constar na proposta final do licitante declarado vencedor, motivo pelo qual estão “em vermelho”. </w:t>
      </w:r>
    </w:p>
    <w:p w:rsidR="006C145C" w:rsidRDefault="00C62E5A">
      <w:pPr>
        <w:spacing w:after="129" w:line="270" w:lineRule="auto"/>
        <w:ind w:left="433" w:right="54" w:hanging="8"/>
        <w:jc w:val="both"/>
      </w:pPr>
      <w:r>
        <w:rPr>
          <w:rFonts w:ascii="Arial" w:eastAsia="Arial" w:hAnsi="Arial" w:cs="Arial"/>
          <w:sz w:val="20"/>
        </w:rPr>
        <w:t xml:space="preserve">10.3 </w:t>
      </w:r>
      <w:r>
        <w:rPr>
          <w:rFonts w:ascii="Arial" w:eastAsia="Arial" w:hAnsi="Arial" w:cs="Arial"/>
          <w:i/>
          <w:sz w:val="20"/>
        </w:rPr>
        <w:t xml:space="preserve">  </w:t>
      </w:r>
      <w:r>
        <w:rPr>
          <w:rFonts w:ascii="Arial" w:eastAsia="Arial" w:hAnsi="Arial" w:cs="Arial"/>
          <w:sz w:val="20"/>
        </w:rPr>
        <w:t>Os preços deverão ser expressos em moeda corr</w:t>
      </w:r>
      <w:r>
        <w:rPr>
          <w:rFonts w:ascii="Arial" w:eastAsia="Arial" w:hAnsi="Arial" w:cs="Arial"/>
          <w:sz w:val="20"/>
        </w:rPr>
        <w:t xml:space="preserve">ente nacional, o valor unitário em algarismos e o valor global em algarismos e por extenso (art. 5º da Lei nº 8.666/93). </w:t>
      </w:r>
    </w:p>
    <w:p w:rsidR="006C145C" w:rsidRDefault="00C62E5A">
      <w:pPr>
        <w:spacing w:after="129" w:line="270" w:lineRule="auto"/>
        <w:ind w:left="1853" w:right="54" w:hanging="720"/>
        <w:jc w:val="both"/>
      </w:pPr>
      <w:r>
        <w:rPr>
          <w:rFonts w:ascii="Arial" w:eastAsia="Arial" w:hAnsi="Arial" w:cs="Arial"/>
          <w:sz w:val="20"/>
        </w:rPr>
        <w:t>10.3.1 Ocorrendo divergência entre os preços unitários e o preço global, prevalecerão os primeiros; no caso de divergência entre os va</w:t>
      </w:r>
      <w:r>
        <w:rPr>
          <w:rFonts w:ascii="Arial" w:eastAsia="Arial" w:hAnsi="Arial" w:cs="Arial"/>
          <w:sz w:val="20"/>
        </w:rPr>
        <w:t xml:space="preserve">lores numéricos e os valores expressos por extenso, prevalecerão estes últimos. </w:t>
      </w:r>
    </w:p>
    <w:p w:rsidR="006C145C" w:rsidRDefault="00C62E5A">
      <w:pPr>
        <w:spacing w:after="129" w:line="270" w:lineRule="auto"/>
        <w:ind w:left="433" w:right="54" w:hanging="8"/>
        <w:jc w:val="both"/>
      </w:pPr>
      <w:r>
        <w:rPr>
          <w:rFonts w:ascii="Arial" w:eastAsia="Arial" w:hAnsi="Arial" w:cs="Arial"/>
          <w:sz w:val="20"/>
        </w:rPr>
        <w:lastRenderedPageBreak/>
        <w:t>10.4   A oferta deverá ser firme e precisa, limitada, rigorosamente, ao objeto deste Edital, sem conter alternativas de preço ou de qualquer outra condição que induza o julgam</w:t>
      </w:r>
      <w:r>
        <w:rPr>
          <w:rFonts w:ascii="Arial" w:eastAsia="Arial" w:hAnsi="Arial" w:cs="Arial"/>
          <w:sz w:val="20"/>
        </w:rPr>
        <w:t xml:space="preserve">ento a mais de um resultado, sob pena de desclassificação. </w:t>
      </w:r>
    </w:p>
    <w:p w:rsidR="006C145C" w:rsidRDefault="00C62E5A">
      <w:pPr>
        <w:spacing w:after="129" w:line="270" w:lineRule="auto"/>
        <w:ind w:left="433" w:right="54" w:hanging="8"/>
        <w:jc w:val="both"/>
      </w:pPr>
      <w:r>
        <w:rPr>
          <w:rFonts w:ascii="Arial" w:eastAsia="Arial" w:hAnsi="Arial" w:cs="Arial"/>
          <w:sz w:val="20"/>
        </w:rPr>
        <w:t>10.5   A proposta deverá obedecer aos termos deste Edital e seus Anexos, não sendo considerada aquela que não corresponda às especificações ali contidas ou que estabeleça vínculo à proposta de out</w:t>
      </w:r>
      <w:r>
        <w:rPr>
          <w:rFonts w:ascii="Arial" w:eastAsia="Arial" w:hAnsi="Arial" w:cs="Arial"/>
          <w:sz w:val="20"/>
        </w:rPr>
        <w:t xml:space="preserve">ro licitante. </w:t>
      </w:r>
    </w:p>
    <w:p w:rsidR="006C145C" w:rsidRDefault="00C62E5A">
      <w:pPr>
        <w:spacing w:after="483" w:line="270" w:lineRule="auto"/>
        <w:ind w:left="433" w:right="54" w:hanging="8"/>
        <w:jc w:val="both"/>
      </w:pPr>
      <w:r>
        <w:rPr>
          <w:rFonts w:ascii="Arial" w:eastAsia="Arial" w:hAnsi="Arial" w:cs="Arial"/>
          <w:sz w:val="20"/>
        </w:rPr>
        <w:t xml:space="preserve">10.6 As propostas que contenham a descrição do objeto, o valor e os documentos complementares estarão disponíveis na internet, após a homologação. </w:t>
      </w:r>
    </w:p>
    <w:p w:rsidR="006C145C" w:rsidRDefault="00C62E5A">
      <w:pPr>
        <w:pStyle w:val="Ttulo4"/>
        <w:ind w:left="7" w:right="37"/>
      </w:pPr>
      <w:r>
        <w:t xml:space="preserve">11 DOS RECURSOS </w:t>
      </w:r>
    </w:p>
    <w:p w:rsidR="006C145C" w:rsidRDefault="00C62E5A">
      <w:pPr>
        <w:spacing w:after="129" w:line="270" w:lineRule="auto"/>
        <w:ind w:left="433" w:right="54" w:hanging="8"/>
        <w:jc w:val="both"/>
      </w:pPr>
      <w:r>
        <w:rPr>
          <w:rFonts w:ascii="Arial" w:eastAsia="Arial" w:hAnsi="Arial" w:cs="Arial"/>
          <w:sz w:val="20"/>
        </w:rPr>
        <w:t xml:space="preserve">11.1 O Pregoeiro </w:t>
      </w:r>
      <w:r>
        <w:rPr>
          <w:rFonts w:ascii="Arial" w:eastAsia="Arial" w:hAnsi="Arial" w:cs="Arial"/>
          <w:sz w:val="20"/>
        </w:rPr>
        <w:t>declarará o vencedor e, depois de decorrida a fase de regularização fiscal e trabalhista de microempresa ou empresa de pequeno porte, se for o caso, concederá o prazo de no mínimo trinta minutos, para que qualquer licitante manifeste a intenção de recorrer</w:t>
      </w:r>
      <w:r>
        <w:rPr>
          <w:rFonts w:ascii="Arial" w:eastAsia="Arial" w:hAnsi="Arial" w:cs="Arial"/>
          <w:sz w:val="20"/>
        </w:rPr>
        <w:t xml:space="preserve">, de forma motivada, isto é, indicando contra qual(is) decisão(ões) pretende recorrer e por quais motivos, em campo próprio do sistema. </w:t>
      </w:r>
    </w:p>
    <w:p w:rsidR="006C145C" w:rsidRDefault="00C62E5A">
      <w:pPr>
        <w:spacing w:after="117" w:line="280" w:lineRule="auto"/>
        <w:ind w:left="420" w:hanging="10"/>
      </w:pPr>
      <w:r>
        <w:rPr>
          <w:rFonts w:ascii="Arial" w:eastAsia="Arial" w:hAnsi="Arial" w:cs="Arial"/>
          <w:sz w:val="20"/>
        </w:rPr>
        <w:t xml:space="preserve">11.2 </w:t>
      </w:r>
      <w:r>
        <w:rPr>
          <w:rFonts w:ascii="Arial" w:eastAsia="Arial" w:hAnsi="Arial" w:cs="Arial"/>
          <w:sz w:val="20"/>
        </w:rPr>
        <w:tab/>
        <w:t>Havendo quem se manifeste, caberá ao Pregoeiro verificar a tempestividade e a existência de motivação da intenção</w:t>
      </w:r>
      <w:r>
        <w:rPr>
          <w:rFonts w:ascii="Arial" w:eastAsia="Arial" w:hAnsi="Arial" w:cs="Arial"/>
          <w:sz w:val="20"/>
        </w:rPr>
        <w:t xml:space="preserve"> de recorrer, para decidir se admite ou não o recurso, fundamentadamente. </w:t>
      </w:r>
    </w:p>
    <w:p w:rsidR="006C145C" w:rsidRDefault="00C62E5A">
      <w:pPr>
        <w:spacing w:after="156" w:line="270" w:lineRule="auto"/>
        <w:ind w:left="1141" w:right="54" w:hanging="8"/>
        <w:jc w:val="both"/>
      </w:pPr>
      <w:r>
        <w:rPr>
          <w:rFonts w:ascii="Arial" w:eastAsia="Arial" w:hAnsi="Arial" w:cs="Arial"/>
          <w:sz w:val="20"/>
        </w:rPr>
        <w:t xml:space="preserve">11.2.1 Nesse momento o Pregoeiro não adentrará no mérito recursal, mas apenas verificará as condições de admissibilidade do recurso.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b/>
          <w:i/>
          <w:sz w:val="20"/>
        </w:rPr>
        <w:t>Nota explicativa</w:t>
      </w:r>
      <w:r>
        <w:rPr>
          <w:rFonts w:ascii="Arial" w:eastAsia="Arial" w:hAnsi="Arial" w:cs="Arial"/>
          <w:i/>
          <w:sz w:val="20"/>
        </w:rPr>
        <w:t>: no juízo de admissibilidade d</w:t>
      </w:r>
      <w:r>
        <w:rPr>
          <w:rFonts w:ascii="Arial" w:eastAsia="Arial" w:hAnsi="Arial" w:cs="Arial"/>
          <w:i/>
          <w:sz w:val="20"/>
        </w:rPr>
        <w:t xml:space="preserve">as intenções de recurso deve ser avaliada tão somente a presença dos pressupostos recursais: sucumbência, tempestividade, legitimidade, interesse e motivação – TCU Ac. 520/2014-Plenário, item 9.5.1. </w:t>
      </w:r>
    </w:p>
    <w:p w:rsidR="006C145C" w:rsidRDefault="00C62E5A">
      <w:pPr>
        <w:spacing w:after="129" w:line="270" w:lineRule="auto"/>
        <w:ind w:left="1141" w:right="54" w:hanging="8"/>
        <w:jc w:val="both"/>
      </w:pPr>
      <w:r>
        <w:rPr>
          <w:rFonts w:ascii="Arial" w:eastAsia="Arial" w:hAnsi="Arial" w:cs="Arial"/>
          <w:sz w:val="20"/>
        </w:rPr>
        <w:t>11.2.2 A falta de manifestação motivada do licitante qua</w:t>
      </w:r>
      <w:r>
        <w:rPr>
          <w:rFonts w:ascii="Arial" w:eastAsia="Arial" w:hAnsi="Arial" w:cs="Arial"/>
          <w:sz w:val="20"/>
        </w:rPr>
        <w:t xml:space="preserve">nto à intenção de recorrer importará a decadência desse direito. </w:t>
      </w:r>
    </w:p>
    <w:p w:rsidR="006C145C" w:rsidRDefault="00C62E5A">
      <w:pPr>
        <w:spacing w:after="129" w:line="270" w:lineRule="auto"/>
        <w:ind w:left="1141" w:right="54" w:hanging="8"/>
        <w:jc w:val="both"/>
      </w:pPr>
      <w:r>
        <w:rPr>
          <w:rFonts w:ascii="Arial" w:eastAsia="Arial" w:hAnsi="Arial" w:cs="Arial"/>
          <w:sz w:val="20"/>
        </w:rPr>
        <w:t>11.2.3 Uma vez admitido o recurso, o recorrente terá, a partir de então, o prazo de três dias para apresentar as razões, pelo sistema eletrônico, ficando os demais licitantes, desde logo, in</w:t>
      </w:r>
      <w:r>
        <w:rPr>
          <w:rFonts w:ascii="Arial" w:eastAsia="Arial" w:hAnsi="Arial" w:cs="Arial"/>
          <w:sz w:val="20"/>
        </w:rPr>
        <w:t>timados para, querendo, apresentarem contrarrazões também pelo sistema eletrônico, em outros três dias, que começarão a contar do término do prazo do recorrente, sendo-lhes assegurada vista imediata dos elementos indispensáveis à defesa de seus interesses.</w:t>
      </w:r>
      <w:r>
        <w:rPr>
          <w:rFonts w:ascii="Arial" w:eastAsia="Arial" w:hAnsi="Arial" w:cs="Arial"/>
          <w:sz w:val="20"/>
        </w:rPr>
        <w:t xml:space="preserve"> </w:t>
      </w:r>
    </w:p>
    <w:p w:rsidR="006C145C" w:rsidRDefault="00C62E5A">
      <w:pPr>
        <w:spacing w:after="129" w:line="270" w:lineRule="auto"/>
        <w:ind w:left="433" w:right="54" w:hanging="8"/>
        <w:jc w:val="both"/>
      </w:pPr>
      <w:r>
        <w:rPr>
          <w:rFonts w:ascii="Arial" w:eastAsia="Arial" w:hAnsi="Arial" w:cs="Arial"/>
          <w:sz w:val="20"/>
        </w:rPr>
        <w:t xml:space="preserve">11.3 </w:t>
      </w:r>
      <w:r>
        <w:rPr>
          <w:rFonts w:ascii="Arial" w:eastAsia="Arial" w:hAnsi="Arial" w:cs="Arial"/>
          <w:sz w:val="20"/>
        </w:rPr>
        <w:tab/>
        <w:t xml:space="preserve">O acolhimento do recurso invalida tão somente os atos insuscetíveis de aproveitamento.  </w:t>
      </w:r>
    </w:p>
    <w:p w:rsidR="006C145C" w:rsidRDefault="00C62E5A">
      <w:pPr>
        <w:spacing w:after="483" w:line="270" w:lineRule="auto"/>
        <w:ind w:left="433" w:right="54" w:hanging="8"/>
        <w:jc w:val="both"/>
      </w:pPr>
      <w:r>
        <w:rPr>
          <w:rFonts w:ascii="Arial" w:eastAsia="Arial" w:hAnsi="Arial" w:cs="Arial"/>
          <w:sz w:val="20"/>
        </w:rPr>
        <w:t xml:space="preserve">11.4 Os autos do processo permanecerão com vista franqueada aos interessados, no endereço constante neste Edital. </w:t>
      </w:r>
    </w:p>
    <w:p w:rsidR="006C145C" w:rsidRDefault="00C62E5A">
      <w:pPr>
        <w:pStyle w:val="Ttulo4"/>
        <w:ind w:left="7" w:right="37"/>
      </w:pPr>
      <w:r>
        <w:t xml:space="preserve">12 DA REABERTURA DA SESSÃO PÚBLICA </w:t>
      </w:r>
    </w:p>
    <w:p w:rsidR="006C145C" w:rsidRDefault="00C62E5A">
      <w:pPr>
        <w:tabs>
          <w:tab w:val="center" w:pos="2651"/>
        </w:tabs>
        <w:spacing w:after="129" w:line="270" w:lineRule="auto"/>
      </w:pPr>
      <w:r>
        <w:rPr>
          <w:rFonts w:ascii="Arial" w:eastAsia="Arial" w:hAnsi="Arial" w:cs="Arial"/>
          <w:sz w:val="20"/>
        </w:rPr>
        <w:t xml:space="preserve">12.1 </w:t>
      </w:r>
      <w:r>
        <w:rPr>
          <w:rFonts w:ascii="Arial" w:eastAsia="Arial" w:hAnsi="Arial" w:cs="Arial"/>
          <w:sz w:val="20"/>
        </w:rPr>
        <w:tab/>
      </w:r>
      <w:r>
        <w:rPr>
          <w:rFonts w:ascii="Arial" w:eastAsia="Arial" w:hAnsi="Arial" w:cs="Arial"/>
          <w:sz w:val="20"/>
        </w:rPr>
        <w:t xml:space="preserve">A sessão pública poderá ser reaberta: </w:t>
      </w:r>
    </w:p>
    <w:p w:rsidR="006C145C" w:rsidRDefault="00C62E5A">
      <w:pPr>
        <w:spacing w:after="129" w:line="270" w:lineRule="auto"/>
        <w:ind w:left="1141" w:right="54" w:hanging="8"/>
        <w:jc w:val="both"/>
      </w:pPr>
      <w:r>
        <w:rPr>
          <w:rFonts w:ascii="Arial" w:eastAsia="Arial" w:hAnsi="Arial" w:cs="Arial"/>
          <w:sz w:val="20"/>
        </w:rPr>
        <w:t xml:space="preserve">12.1.1 </w:t>
      </w:r>
      <w:r>
        <w:rPr>
          <w:rFonts w:ascii="Arial" w:eastAsia="Arial" w:hAnsi="Arial" w:cs="Arial"/>
          <w:sz w:val="20"/>
        </w:rPr>
        <w:t xml:space="preserve">Nas hipóteses de provimento de recurso que leve à anulação de atos anteriores à realização da sessão pública precedente ou em que seja anulada a própria sessão pública, situação em que serão repetidos os atos anulados e os que dele dependam. </w:t>
      </w:r>
    </w:p>
    <w:p w:rsidR="006C145C" w:rsidRDefault="00C62E5A">
      <w:pPr>
        <w:spacing w:after="129" w:line="270" w:lineRule="auto"/>
        <w:ind w:left="1141" w:right="54" w:hanging="8"/>
        <w:jc w:val="both"/>
      </w:pPr>
      <w:r>
        <w:rPr>
          <w:rFonts w:ascii="Arial" w:eastAsia="Arial" w:hAnsi="Arial" w:cs="Arial"/>
          <w:sz w:val="20"/>
        </w:rPr>
        <w:t>12.1.2 Quando</w:t>
      </w:r>
      <w:r>
        <w:rPr>
          <w:rFonts w:ascii="Arial" w:eastAsia="Arial" w:hAnsi="Arial" w:cs="Arial"/>
          <w:sz w:val="20"/>
        </w:rPr>
        <w:t xml:space="preserve"> houver erro na aceitação do preço melhor classificado ou quando o licitante declarado vencedor não assinar o contrato, não retirar o instrumento equivalente ou não comprovar a regularização fiscal e trabalhista, nos termos do art. 43, §1º da LC nº 123/200</w:t>
      </w:r>
      <w:r>
        <w:rPr>
          <w:rFonts w:ascii="Arial" w:eastAsia="Arial" w:hAnsi="Arial" w:cs="Arial"/>
          <w:sz w:val="20"/>
        </w:rPr>
        <w:t xml:space="preserve">6, serão adotados os procedimentos imediatamente posteriores ao encerramento da etapa de lances.  </w:t>
      </w:r>
    </w:p>
    <w:p w:rsidR="006C145C" w:rsidRDefault="00C62E5A">
      <w:pPr>
        <w:spacing w:after="152" w:line="270" w:lineRule="auto"/>
        <w:ind w:left="433" w:right="54" w:hanging="8"/>
        <w:jc w:val="both"/>
      </w:pPr>
      <w:r>
        <w:rPr>
          <w:rFonts w:ascii="Arial" w:eastAsia="Arial" w:hAnsi="Arial" w:cs="Arial"/>
          <w:sz w:val="20"/>
        </w:rPr>
        <w:lastRenderedPageBreak/>
        <w:t xml:space="preserve">12.2 </w:t>
      </w:r>
      <w:r>
        <w:rPr>
          <w:rFonts w:ascii="Arial" w:eastAsia="Arial" w:hAnsi="Arial" w:cs="Arial"/>
          <w:sz w:val="20"/>
        </w:rPr>
        <w:tab/>
        <w:t xml:space="preserve">Todos os licitantes remanescentes deverão ser convocados para acompanhar a sessão reaberta. </w:t>
      </w:r>
    </w:p>
    <w:p w:rsidR="006C145C" w:rsidRDefault="00C62E5A">
      <w:pPr>
        <w:spacing w:after="129" w:line="270" w:lineRule="auto"/>
        <w:ind w:left="1141" w:right="54" w:hanging="8"/>
        <w:jc w:val="both"/>
      </w:pPr>
      <w:r>
        <w:rPr>
          <w:rFonts w:ascii="Arial" w:eastAsia="Arial" w:hAnsi="Arial" w:cs="Arial"/>
          <w:sz w:val="20"/>
        </w:rPr>
        <w:t>12.2.1 A convocação se dará por meio do sistema eletrônico</w:t>
      </w:r>
      <w:r>
        <w:rPr>
          <w:rFonts w:ascii="Arial" w:eastAsia="Arial" w:hAnsi="Arial" w:cs="Arial"/>
          <w:sz w:val="20"/>
        </w:rPr>
        <w:t xml:space="preserve"> (“chat”), e-mail, ou, ainda, fac-símile, de acordo com a fase do procedimento licitatório. </w:t>
      </w:r>
    </w:p>
    <w:p w:rsidR="006C145C" w:rsidRDefault="00C62E5A">
      <w:pPr>
        <w:spacing w:after="485" w:line="270" w:lineRule="auto"/>
        <w:ind w:left="1141" w:right="54" w:hanging="8"/>
        <w:jc w:val="both"/>
      </w:pPr>
      <w:r>
        <w:rPr>
          <w:rFonts w:ascii="Arial" w:eastAsia="Arial" w:hAnsi="Arial" w:cs="Arial"/>
          <w:sz w:val="20"/>
        </w:rPr>
        <w:t>12.2.2 A convocação feita por e-mail ou fac-símile dar-se-á de acordo com os dados contidos no SICAF, sendo responsabilidade do licitante manter seus dados cadastr</w:t>
      </w:r>
      <w:r>
        <w:rPr>
          <w:rFonts w:ascii="Arial" w:eastAsia="Arial" w:hAnsi="Arial" w:cs="Arial"/>
          <w:sz w:val="20"/>
        </w:rPr>
        <w:t xml:space="preserve">ais atualizados. </w:t>
      </w:r>
    </w:p>
    <w:p w:rsidR="006C145C" w:rsidRDefault="00C62E5A">
      <w:pPr>
        <w:pStyle w:val="Ttulo4"/>
        <w:ind w:left="7" w:right="37"/>
      </w:pPr>
      <w:r>
        <w:t xml:space="preserve">13 DA ADJUDICAÇÃO E HOMOLOGAÇÃO </w:t>
      </w:r>
    </w:p>
    <w:p w:rsidR="006C145C" w:rsidRDefault="00C62E5A">
      <w:pPr>
        <w:spacing w:after="129" w:line="270" w:lineRule="auto"/>
        <w:ind w:left="433" w:right="54" w:hanging="8"/>
        <w:jc w:val="both"/>
      </w:pPr>
      <w:r>
        <w:rPr>
          <w:rFonts w:ascii="Arial" w:eastAsia="Arial" w:hAnsi="Arial" w:cs="Arial"/>
          <w:sz w:val="20"/>
        </w:rPr>
        <w:t>13.1 O objeto da licitação será adjudicado ao licitante declarado vencedor, por ato do Pregoeiro, caso não haja interposição de recurso, ou pela autoridade competente, após a regular decisão dos recursos a</w:t>
      </w:r>
      <w:r>
        <w:rPr>
          <w:rFonts w:ascii="Arial" w:eastAsia="Arial" w:hAnsi="Arial" w:cs="Arial"/>
          <w:sz w:val="20"/>
        </w:rPr>
        <w:t xml:space="preserve">presentados. </w:t>
      </w:r>
    </w:p>
    <w:p w:rsidR="006C145C" w:rsidRDefault="00C62E5A">
      <w:pPr>
        <w:spacing w:after="483" w:line="270" w:lineRule="auto"/>
        <w:ind w:left="433" w:right="54" w:hanging="8"/>
        <w:jc w:val="both"/>
      </w:pPr>
      <w:r>
        <w:rPr>
          <w:rFonts w:ascii="Arial" w:eastAsia="Arial" w:hAnsi="Arial" w:cs="Arial"/>
          <w:sz w:val="20"/>
        </w:rPr>
        <w:t xml:space="preserve">13.2 Após a fase recursal, constatada a regularidade dos atos praticados, a autoridade competente homologará o procedimento licitatório.  </w:t>
      </w:r>
    </w:p>
    <w:p w:rsidR="006C145C" w:rsidRDefault="00C62E5A">
      <w:pPr>
        <w:pStyle w:val="Ttulo4"/>
        <w:ind w:left="7" w:right="37"/>
      </w:pPr>
      <w:r>
        <w:t xml:space="preserve">14 DA GARANTIA DE EXECUÇÃO </w:t>
      </w:r>
    </w:p>
    <w:p w:rsidR="006C145C" w:rsidRDefault="00C62E5A">
      <w:pPr>
        <w:spacing w:after="0"/>
      </w:pPr>
      <w:r>
        <w:rPr>
          <w:rFonts w:ascii="Arial" w:eastAsia="Arial" w:hAnsi="Arial" w:cs="Arial"/>
          <w:sz w:val="20"/>
        </w:rPr>
        <w:t xml:space="preserve"> </w:t>
      </w:r>
    </w:p>
    <w:p w:rsidR="006C145C" w:rsidRDefault="00C62E5A">
      <w:pPr>
        <w:spacing w:after="12"/>
      </w:pPr>
      <w:r>
        <w:rPr>
          <w:rFonts w:ascii="Arial" w:eastAsia="Arial" w:hAnsi="Arial" w:cs="Arial"/>
          <w:sz w:val="20"/>
        </w:rPr>
        <w:t xml:space="preserve"> </w:t>
      </w:r>
    </w:p>
    <w:p w:rsidR="006C145C" w:rsidRDefault="00C62E5A">
      <w:pPr>
        <w:pBdr>
          <w:top w:val="single" w:sz="4" w:space="0" w:color="000000"/>
          <w:left w:val="single" w:sz="4" w:space="0" w:color="000000"/>
          <w:right w:val="single" w:sz="4" w:space="0" w:color="000000"/>
        </w:pBdr>
        <w:shd w:val="clear" w:color="auto" w:fill="FFFFCC"/>
        <w:spacing w:after="188" w:line="279" w:lineRule="auto"/>
        <w:ind w:left="-5" w:right="46" w:hanging="10"/>
        <w:jc w:val="both"/>
      </w:pPr>
      <w:r>
        <w:rPr>
          <w:rFonts w:ascii="Arial" w:eastAsia="Arial" w:hAnsi="Arial" w:cs="Arial"/>
          <w:b/>
          <w:i/>
          <w:sz w:val="20"/>
        </w:rPr>
        <w:t>Nota Explicativa</w:t>
      </w:r>
      <w:r>
        <w:rPr>
          <w:rFonts w:ascii="Arial" w:eastAsia="Arial" w:hAnsi="Arial" w:cs="Arial"/>
          <w:b/>
          <w:sz w:val="20"/>
        </w:rPr>
        <w:t xml:space="preserve">: </w:t>
      </w:r>
      <w:r>
        <w:rPr>
          <w:rFonts w:ascii="Arial" w:eastAsia="Arial" w:hAnsi="Arial" w:cs="Arial"/>
          <w:i/>
          <w:sz w:val="20"/>
        </w:rPr>
        <w:t>Em se tratando de licitação que envolva futura contratação de serviços continuados com dedicação exclusiva de mão de obra, é obrigatória a exigência de garantia de execução do contrato, nos termos do art. 8º, inciso VI, do Decreto n.º 9.507/2018, e do item</w:t>
      </w:r>
      <w:r>
        <w:rPr>
          <w:rFonts w:ascii="Arial" w:eastAsia="Arial" w:hAnsi="Arial" w:cs="Arial"/>
          <w:i/>
          <w:sz w:val="20"/>
        </w:rPr>
        <w:t xml:space="preserve"> 3 do Anexo VII-F da Instrução Normativa SEGES/MP n.º 05/2017.  </w:t>
      </w:r>
    </w:p>
    <w:p w:rsidR="006C145C" w:rsidRDefault="00C62E5A">
      <w:pPr>
        <w:spacing w:after="129" w:line="270" w:lineRule="auto"/>
        <w:ind w:left="785" w:right="54" w:hanging="360"/>
        <w:jc w:val="both"/>
      </w:pPr>
      <w:r>
        <w:rPr>
          <w:rFonts w:ascii="Arial" w:eastAsia="Arial" w:hAnsi="Arial" w:cs="Arial"/>
          <w:i/>
          <w:color w:val="FF0000"/>
          <w:sz w:val="20"/>
        </w:rPr>
        <w:t xml:space="preserve">13.1 </w:t>
      </w:r>
      <w:r>
        <w:rPr>
          <w:rFonts w:ascii="Arial" w:eastAsia="Arial" w:hAnsi="Arial" w:cs="Arial"/>
          <w:sz w:val="20"/>
        </w:rPr>
        <w:t>Será exigida a prestação de garantia na presente contratação, conforme regras constantes do Termo de Referência e ainda:</w:t>
      </w:r>
      <w:r>
        <w:rPr>
          <w:rFonts w:ascii="Arial" w:eastAsia="Arial" w:hAnsi="Arial" w:cs="Arial"/>
          <w:i/>
          <w:color w:val="FF0000"/>
          <w:sz w:val="20"/>
        </w:rPr>
        <w:t xml:space="preserve"> </w:t>
      </w:r>
    </w:p>
    <w:p w:rsidR="006C145C" w:rsidRDefault="00C62E5A">
      <w:pPr>
        <w:spacing w:after="129" w:line="270" w:lineRule="auto"/>
        <w:ind w:left="785" w:right="54" w:hanging="360"/>
        <w:jc w:val="both"/>
      </w:pPr>
      <w:r>
        <w:rPr>
          <w:rFonts w:ascii="Arial" w:eastAsia="Arial" w:hAnsi="Arial" w:cs="Arial"/>
          <w:sz w:val="20"/>
        </w:rPr>
        <w:t>13.2 A garantia, em valor correspondente a cinco por cento do va</w:t>
      </w:r>
      <w:r>
        <w:rPr>
          <w:rFonts w:ascii="Arial" w:eastAsia="Arial" w:hAnsi="Arial" w:cs="Arial"/>
          <w:sz w:val="20"/>
        </w:rPr>
        <w:t>lor do contrato, limitada ao equivalente a dois meses do custo da folha de pagamento dos empregados da contratada, que venham a participar da execução dos serviços contratados, somente será liberada ante a comprovação de que a contratada pagou todas as ver</w:t>
      </w:r>
      <w:r>
        <w:rPr>
          <w:rFonts w:ascii="Arial" w:eastAsia="Arial" w:hAnsi="Arial" w:cs="Arial"/>
          <w:sz w:val="20"/>
        </w:rPr>
        <w:t xml:space="preserve">bas rescisórias decorrentes da contratação no prazo de até noventa dias, contados da data de encerramento do contrato, conforme estabelecido no art. 8º, VI do Decreto nº 9.507, de 2018, observada a legislação que rege a matéria. </w:t>
      </w:r>
    </w:p>
    <w:p w:rsidR="006C145C" w:rsidRDefault="00C62E5A">
      <w:pPr>
        <w:spacing w:after="129" w:line="270" w:lineRule="auto"/>
        <w:ind w:left="1141" w:right="54" w:hanging="8"/>
        <w:jc w:val="both"/>
      </w:pPr>
      <w:r>
        <w:rPr>
          <w:rFonts w:ascii="Arial" w:eastAsia="Arial" w:hAnsi="Arial" w:cs="Arial"/>
          <w:sz w:val="20"/>
        </w:rPr>
        <w:t>13.2.1 Também poderá haver</w:t>
      </w:r>
      <w:r>
        <w:rPr>
          <w:rFonts w:ascii="Arial" w:eastAsia="Arial" w:hAnsi="Arial" w:cs="Arial"/>
          <w:sz w:val="20"/>
        </w:rPr>
        <w:t xml:space="preserve"> liberação da garantia se a empresa comprovar que os empregados serão realocados em outra atividade de prestação de serviços, sem que ocorra a interrupção do contrato de trabalho </w:t>
      </w:r>
    </w:p>
    <w:p w:rsidR="006C145C" w:rsidRDefault="00C62E5A">
      <w:pPr>
        <w:spacing w:after="129" w:line="270" w:lineRule="auto"/>
        <w:ind w:left="785" w:right="54" w:hanging="360"/>
        <w:jc w:val="both"/>
      </w:pPr>
      <w:r>
        <w:rPr>
          <w:rFonts w:ascii="Arial" w:eastAsia="Arial" w:hAnsi="Arial" w:cs="Arial"/>
          <w:sz w:val="20"/>
        </w:rPr>
        <w:t>13.3 Por ocasião do encerramento da prestação dos serviços contratados, a Ad</w:t>
      </w:r>
      <w:r>
        <w:rPr>
          <w:rFonts w:ascii="Arial" w:eastAsia="Arial" w:hAnsi="Arial" w:cs="Arial"/>
          <w:sz w:val="20"/>
        </w:rPr>
        <w:t xml:space="preserve">ministração Contratante poderá utilizar o valor da garantia prestada para o pagamento direto aos trabalhadores vinculados ao contrato no caso da não comprovação: (1) do pagamento das respectivas verbas rescisórias ou (2) da realocação dos trabalhadores em </w:t>
      </w:r>
      <w:r>
        <w:rPr>
          <w:rFonts w:ascii="Arial" w:eastAsia="Arial" w:hAnsi="Arial" w:cs="Arial"/>
          <w:sz w:val="20"/>
        </w:rPr>
        <w:t xml:space="preserve">outra atividade de prestação de serviços, nos termos da alínea "j do item 3.1 do Anexo VII-F da IN SEGES/MP n. 5/2017.  </w:t>
      </w:r>
    </w:p>
    <w:p w:rsidR="006C145C" w:rsidRDefault="00C62E5A">
      <w:pPr>
        <w:spacing w:after="163"/>
        <w:ind w:left="427"/>
      </w:pPr>
      <w:r>
        <w:rPr>
          <w:rFonts w:ascii="Arial" w:eastAsia="Arial" w:hAnsi="Arial" w:cs="Arial"/>
          <w:color w:val="FF0000"/>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370" w:right="57" w:hanging="10"/>
        <w:jc w:val="both"/>
      </w:pPr>
      <w:r>
        <w:rPr>
          <w:rFonts w:ascii="Arial" w:eastAsia="Arial" w:hAnsi="Arial" w:cs="Arial"/>
          <w:b/>
          <w:i/>
          <w:sz w:val="20"/>
        </w:rPr>
        <w:t>Nota Explicativa:</w:t>
      </w:r>
      <w:r>
        <w:rPr>
          <w:rFonts w:ascii="Arial" w:eastAsia="Arial" w:hAnsi="Arial" w:cs="Arial"/>
          <w:i/>
          <w:sz w:val="20"/>
        </w:rPr>
        <w:t xml:space="preserve"> As Condições de Garantia de Execução são as estabelecidas no Termo de Referência, contudo, por força de Ação Civil </w:t>
      </w:r>
      <w:r>
        <w:rPr>
          <w:rFonts w:ascii="Arial" w:eastAsia="Arial" w:hAnsi="Arial" w:cs="Arial"/>
          <w:i/>
          <w:sz w:val="20"/>
        </w:rPr>
        <w:t>Pública intentada pelo Ministério Público do Trabalho contra o DNIT - Departamento Nacional de Infraestrutura de Transportes, na qual pleiteou-se que o DNIT observasse, em seus editais de contratações relacionadas a obras públicas e à execução ou fornecime</w:t>
      </w:r>
      <w:r>
        <w:rPr>
          <w:rFonts w:ascii="Arial" w:eastAsia="Arial" w:hAnsi="Arial" w:cs="Arial"/>
          <w:i/>
          <w:sz w:val="20"/>
        </w:rPr>
        <w:t xml:space="preserve">nto de serviços, o contido na Convenção nº 94 da OIT, bem como em atendimento a Instrução Normativa nº 6, de 6 de julho de 2018 e </w:t>
      </w:r>
      <w:r>
        <w:rPr>
          <w:rFonts w:ascii="Arial" w:eastAsia="Arial" w:hAnsi="Arial" w:cs="Arial"/>
          <w:sz w:val="20"/>
        </w:rPr>
        <w:t>Decreto nº 9.507, de 21 de setembro de 2018</w:t>
      </w:r>
      <w:r>
        <w:rPr>
          <w:rFonts w:ascii="Arial" w:eastAsia="Arial" w:hAnsi="Arial" w:cs="Arial"/>
          <w:i/>
          <w:sz w:val="20"/>
        </w:rPr>
        <w:t xml:space="preserve"> e a </w:t>
      </w:r>
      <w:r>
        <w:rPr>
          <w:rFonts w:ascii="Arial" w:eastAsia="Arial" w:hAnsi="Arial" w:cs="Arial"/>
          <w:i/>
          <w:sz w:val="20"/>
        </w:rPr>
        <w:lastRenderedPageBreak/>
        <w:t>IN SEGES/MP n.º 05/2017, as cláusulas acima deverão estar expressamente previs</w:t>
      </w:r>
      <w:r>
        <w:rPr>
          <w:rFonts w:ascii="Arial" w:eastAsia="Arial" w:hAnsi="Arial" w:cs="Arial"/>
          <w:i/>
          <w:sz w:val="20"/>
        </w:rPr>
        <w:t xml:space="preserve">tas no campo Da Garantia de Execução. </w:t>
      </w:r>
    </w:p>
    <w:p w:rsidR="006C145C" w:rsidRDefault="00C62E5A">
      <w:pPr>
        <w:spacing w:after="499"/>
        <w:ind w:left="427"/>
      </w:pPr>
      <w:r>
        <w:rPr>
          <w:rFonts w:ascii="Arial" w:eastAsia="Arial" w:hAnsi="Arial" w:cs="Arial"/>
          <w:color w:val="FF0000"/>
          <w:sz w:val="20"/>
        </w:rPr>
        <w:t xml:space="preserve"> </w:t>
      </w:r>
    </w:p>
    <w:p w:rsidR="006C145C" w:rsidRDefault="00C62E5A">
      <w:pPr>
        <w:pStyle w:val="Ttulo5"/>
        <w:spacing w:after="165" w:line="259" w:lineRule="auto"/>
        <w:ind w:left="-5"/>
        <w:jc w:val="left"/>
      </w:pPr>
      <w:r>
        <w:rPr>
          <w:i/>
          <w:color w:val="FF0000"/>
          <w:shd w:val="clear" w:color="auto" w:fill="00FFFF"/>
        </w:rPr>
        <w:t>14 DA ATA DE REGISTRO DE PREÇOS</w:t>
      </w:r>
      <w:r>
        <w:rPr>
          <w:i/>
          <w:color w:val="FF0000"/>
        </w:rPr>
        <w:t xml:space="preserve">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206"/>
      </w:pPr>
      <w:r>
        <w:rPr>
          <w:rFonts w:ascii="Arial" w:eastAsia="Arial" w:hAnsi="Arial" w:cs="Arial"/>
          <w:b/>
          <w:sz w:val="20"/>
        </w:rPr>
        <w:t>Nota Explicativa:</w:t>
      </w:r>
      <w:r>
        <w:rPr>
          <w:rFonts w:ascii="Arial" w:eastAsia="Arial" w:hAnsi="Arial" w:cs="Arial"/>
          <w:sz w:val="20"/>
        </w:rPr>
        <w:t xml:space="preserve"> Adotar esse item somente se for licitação por registro de preços </w:t>
      </w:r>
    </w:p>
    <w:p w:rsidR="006C145C" w:rsidRDefault="00C62E5A">
      <w:pPr>
        <w:spacing w:after="120" w:line="277" w:lineRule="auto"/>
        <w:ind w:left="780" w:right="51" w:hanging="370"/>
        <w:jc w:val="both"/>
      </w:pPr>
      <w:r>
        <w:rPr>
          <w:rFonts w:ascii="Arial" w:eastAsia="Arial" w:hAnsi="Arial" w:cs="Arial"/>
          <w:i/>
          <w:color w:val="FF0000"/>
          <w:sz w:val="20"/>
          <w:shd w:val="clear" w:color="auto" w:fill="00FFFF"/>
        </w:rPr>
        <w:t xml:space="preserve">14.1 </w:t>
      </w:r>
      <w:r>
        <w:rPr>
          <w:rFonts w:ascii="Arial" w:eastAsia="Arial" w:hAnsi="Arial" w:cs="Arial"/>
          <w:i/>
          <w:color w:val="FF0000"/>
          <w:sz w:val="20"/>
          <w:shd w:val="clear" w:color="auto" w:fill="00FFFF"/>
        </w:rPr>
        <w:t>Homologado o resultado da licitação, terá o adjudicatário o prazo de ......... (........) dias,</w:t>
      </w:r>
      <w:r>
        <w:rPr>
          <w:rFonts w:ascii="Arial" w:eastAsia="Arial" w:hAnsi="Arial" w:cs="Arial"/>
          <w:i/>
          <w:color w:val="FF0000"/>
          <w:sz w:val="20"/>
        </w:rPr>
        <w:t xml:space="preserve"> </w:t>
      </w:r>
      <w:r>
        <w:rPr>
          <w:rFonts w:ascii="Arial" w:eastAsia="Arial" w:hAnsi="Arial" w:cs="Arial"/>
          <w:i/>
          <w:color w:val="FF0000"/>
          <w:sz w:val="20"/>
          <w:shd w:val="clear" w:color="auto" w:fill="00FFFF"/>
        </w:rPr>
        <w:t>contados a partir da data de sua convocação, para assinar a Ata de Registro de Preços, cujo</w:t>
      </w:r>
      <w:r>
        <w:rPr>
          <w:rFonts w:ascii="Arial" w:eastAsia="Arial" w:hAnsi="Arial" w:cs="Arial"/>
          <w:i/>
          <w:color w:val="FF0000"/>
          <w:sz w:val="20"/>
        </w:rPr>
        <w:t xml:space="preserve"> </w:t>
      </w:r>
      <w:r>
        <w:rPr>
          <w:rFonts w:ascii="Arial" w:eastAsia="Arial" w:hAnsi="Arial" w:cs="Arial"/>
          <w:i/>
          <w:color w:val="FF0000"/>
          <w:sz w:val="20"/>
          <w:shd w:val="clear" w:color="auto" w:fill="00FFFF"/>
        </w:rPr>
        <w:t>prazo de validade encontra-</w:t>
      </w:r>
      <w:r>
        <w:rPr>
          <w:rFonts w:ascii="Arial" w:eastAsia="Arial" w:hAnsi="Arial" w:cs="Arial"/>
          <w:i/>
          <w:color w:val="FF0000"/>
          <w:sz w:val="20"/>
          <w:shd w:val="clear" w:color="auto" w:fill="00FFFF"/>
        </w:rPr>
        <w:t>se nela fixado, sob pena de decair do direito à contratação, sem</w:t>
      </w:r>
      <w:r>
        <w:rPr>
          <w:rFonts w:ascii="Arial" w:eastAsia="Arial" w:hAnsi="Arial" w:cs="Arial"/>
          <w:i/>
          <w:color w:val="FF0000"/>
          <w:sz w:val="20"/>
        </w:rPr>
        <w:t xml:space="preserve"> </w:t>
      </w:r>
      <w:r>
        <w:rPr>
          <w:rFonts w:ascii="Arial" w:eastAsia="Arial" w:hAnsi="Arial" w:cs="Arial"/>
          <w:i/>
          <w:color w:val="FF0000"/>
          <w:sz w:val="20"/>
          <w:shd w:val="clear" w:color="auto" w:fill="00FFFF"/>
        </w:rPr>
        <w:t>prejuízo das sanções previstas neste Edital.</w:t>
      </w:r>
      <w:r>
        <w:rPr>
          <w:rFonts w:ascii="Arial" w:eastAsia="Arial" w:hAnsi="Arial" w:cs="Arial"/>
          <w:i/>
          <w:color w:val="FF0000"/>
          <w:sz w:val="20"/>
        </w:rPr>
        <w:t xml:space="preserve">  </w:t>
      </w:r>
    </w:p>
    <w:p w:rsidR="006C145C" w:rsidRDefault="00C62E5A">
      <w:pPr>
        <w:spacing w:after="151" w:line="277" w:lineRule="auto"/>
        <w:ind w:left="780" w:right="51" w:hanging="370"/>
        <w:jc w:val="both"/>
      </w:pPr>
      <w:r>
        <w:rPr>
          <w:rFonts w:ascii="Arial" w:eastAsia="Arial" w:hAnsi="Arial" w:cs="Arial"/>
          <w:i/>
          <w:color w:val="FF0000"/>
          <w:sz w:val="20"/>
          <w:shd w:val="clear" w:color="auto" w:fill="00FFFF"/>
        </w:rPr>
        <w:t>14.2 Alternativamente à convocação para comparecer perante o órgão ou entidade para a</w:t>
      </w:r>
      <w:r>
        <w:rPr>
          <w:rFonts w:ascii="Arial" w:eastAsia="Arial" w:hAnsi="Arial" w:cs="Arial"/>
          <w:i/>
          <w:color w:val="FF0000"/>
          <w:sz w:val="20"/>
        </w:rPr>
        <w:t xml:space="preserve"> </w:t>
      </w:r>
      <w:r>
        <w:rPr>
          <w:rFonts w:ascii="Arial" w:eastAsia="Arial" w:hAnsi="Arial" w:cs="Arial"/>
          <w:i/>
          <w:color w:val="FF0000"/>
          <w:sz w:val="20"/>
          <w:shd w:val="clear" w:color="auto" w:fill="00FFFF"/>
        </w:rPr>
        <w:t>assinatura da Ata de Registro de Preços, a Administração p</w:t>
      </w:r>
      <w:r>
        <w:rPr>
          <w:rFonts w:ascii="Arial" w:eastAsia="Arial" w:hAnsi="Arial" w:cs="Arial"/>
          <w:i/>
          <w:color w:val="FF0000"/>
          <w:sz w:val="20"/>
          <w:shd w:val="clear" w:color="auto" w:fill="00FFFF"/>
        </w:rPr>
        <w:t>oderá encaminhá-la para</w:t>
      </w:r>
      <w:r>
        <w:rPr>
          <w:rFonts w:ascii="Arial" w:eastAsia="Arial" w:hAnsi="Arial" w:cs="Arial"/>
          <w:i/>
          <w:color w:val="FF0000"/>
          <w:sz w:val="20"/>
        </w:rPr>
        <w:t xml:space="preserve"> </w:t>
      </w:r>
      <w:r>
        <w:rPr>
          <w:rFonts w:ascii="Arial" w:eastAsia="Arial" w:hAnsi="Arial" w:cs="Arial"/>
          <w:i/>
          <w:color w:val="FF0000"/>
          <w:sz w:val="20"/>
          <w:shd w:val="clear" w:color="auto" w:fill="00FFFF"/>
        </w:rPr>
        <w:t>assinatura, mediante correspondência postal com aviso de recebimento (AR) ou meio</w:t>
      </w:r>
      <w:r>
        <w:rPr>
          <w:rFonts w:ascii="Arial" w:eastAsia="Arial" w:hAnsi="Arial" w:cs="Arial"/>
          <w:i/>
          <w:color w:val="FF0000"/>
          <w:sz w:val="20"/>
        </w:rPr>
        <w:t xml:space="preserve"> </w:t>
      </w:r>
      <w:r>
        <w:rPr>
          <w:rFonts w:ascii="Arial" w:eastAsia="Arial" w:hAnsi="Arial" w:cs="Arial"/>
          <w:i/>
          <w:color w:val="FF0000"/>
          <w:sz w:val="20"/>
          <w:shd w:val="clear" w:color="auto" w:fill="00FFFF"/>
        </w:rPr>
        <w:t>eletrônico, para que seja assinada e devolvida no prazo de ...... (.....) dias, a contar da data de</w:t>
      </w:r>
      <w:r>
        <w:rPr>
          <w:rFonts w:ascii="Arial" w:eastAsia="Arial" w:hAnsi="Arial" w:cs="Arial"/>
          <w:i/>
          <w:color w:val="FF0000"/>
          <w:sz w:val="20"/>
        </w:rPr>
        <w:t xml:space="preserve"> </w:t>
      </w:r>
      <w:r>
        <w:rPr>
          <w:rFonts w:ascii="Arial" w:eastAsia="Arial" w:hAnsi="Arial" w:cs="Arial"/>
          <w:i/>
          <w:color w:val="FF0000"/>
          <w:sz w:val="20"/>
          <w:shd w:val="clear" w:color="auto" w:fill="00FFFF"/>
        </w:rPr>
        <w:t>seu recebimento.</w:t>
      </w:r>
      <w:r>
        <w:rPr>
          <w:rFonts w:ascii="Arial" w:eastAsia="Arial" w:hAnsi="Arial" w:cs="Arial"/>
          <w:i/>
          <w:color w:val="FF0000"/>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b/>
          <w:i/>
          <w:sz w:val="20"/>
        </w:rPr>
        <w:t>Nota Explicativa</w:t>
      </w:r>
      <w:r>
        <w:rPr>
          <w:rFonts w:ascii="Arial" w:eastAsia="Arial" w:hAnsi="Arial" w:cs="Arial"/>
          <w:i/>
          <w:sz w:val="20"/>
        </w:rPr>
        <w:t>: É importante q</w:t>
      </w:r>
      <w:r>
        <w:rPr>
          <w:rFonts w:ascii="Arial" w:eastAsia="Arial" w:hAnsi="Arial" w:cs="Arial"/>
          <w:i/>
          <w:sz w:val="20"/>
        </w:rPr>
        <w:t xml:space="preserve">ue a Administração se certifique de que a Ata de Registro de Preços, devolvida assinada pelo fornecedor registrado, não sofreu qualquer alteração.  </w:t>
      </w:r>
    </w:p>
    <w:p w:rsidR="006C145C" w:rsidRDefault="00C62E5A">
      <w:pPr>
        <w:spacing w:after="120" w:line="277" w:lineRule="auto"/>
        <w:ind w:left="780" w:right="51" w:hanging="370"/>
        <w:jc w:val="both"/>
      </w:pPr>
      <w:r>
        <w:rPr>
          <w:rFonts w:ascii="Arial" w:eastAsia="Arial" w:hAnsi="Arial" w:cs="Arial"/>
          <w:i/>
          <w:color w:val="FF0000"/>
          <w:sz w:val="20"/>
          <w:shd w:val="clear" w:color="auto" w:fill="00FFFF"/>
        </w:rPr>
        <w:t>14.3 O prazo estabelecido no subitem anterior para assinatura da Ata de Registro de Preços</w:t>
      </w:r>
      <w:r>
        <w:rPr>
          <w:rFonts w:ascii="Arial" w:eastAsia="Arial" w:hAnsi="Arial" w:cs="Arial"/>
          <w:i/>
          <w:color w:val="FF0000"/>
          <w:sz w:val="20"/>
        </w:rPr>
        <w:t xml:space="preserve"> </w:t>
      </w:r>
      <w:r>
        <w:rPr>
          <w:rFonts w:ascii="Arial" w:eastAsia="Arial" w:hAnsi="Arial" w:cs="Arial"/>
          <w:i/>
          <w:color w:val="FF0000"/>
          <w:sz w:val="20"/>
          <w:shd w:val="clear" w:color="auto" w:fill="00FFFF"/>
        </w:rPr>
        <w:t>poderá ser prorr</w:t>
      </w:r>
      <w:r>
        <w:rPr>
          <w:rFonts w:ascii="Arial" w:eastAsia="Arial" w:hAnsi="Arial" w:cs="Arial"/>
          <w:i/>
          <w:color w:val="FF0000"/>
          <w:sz w:val="20"/>
          <w:shd w:val="clear" w:color="auto" w:fill="00FFFF"/>
        </w:rPr>
        <w:t>ogado uma única vez, por igual período, quando solicitado pelo(s) licitante(s)</w:t>
      </w:r>
      <w:r>
        <w:rPr>
          <w:rFonts w:ascii="Arial" w:eastAsia="Arial" w:hAnsi="Arial" w:cs="Arial"/>
          <w:i/>
          <w:color w:val="FF0000"/>
          <w:sz w:val="20"/>
        </w:rPr>
        <w:t xml:space="preserve"> </w:t>
      </w:r>
      <w:r>
        <w:rPr>
          <w:rFonts w:ascii="Arial" w:eastAsia="Arial" w:hAnsi="Arial" w:cs="Arial"/>
          <w:i/>
          <w:color w:val="FF0000"/>
          <w:sz w:val="20"/>
          <w:shd w:val="clear" w:color="auto" w:fill="00FFFF"/>
        </w:rPr>
        <w:t>vencedor(s), durante o seu transcurso, e desde que devidamente aceito.</w:t>
      </w:r>
      <w:r>
        <w:rPr>
          <w:rFonts w:ascii="Arial" w:eastAsia="Arial" w:hAnsi="Arial" w:cs="Arial"/>
          <w:b/>
          <w:i/>
          <w:color w:val="FF0000"/>
          <w:sz w:val="20"/>
        </w:rPr>
        <w:t xml:space="preserve"> </w:t>
      </w:r>
    </w:p>
    <w:p w:rsidR="006C145C" w:rsidRDefault="00C62E5A">
      <w:pPr>
        <w:spacing w:after="120" w:line="277" w:lineRule="auto"/>
        <w:ind w:left="780" w:right="51" w:hanging="370"/>
        <w:jc w:val="both"/>
      </w:pPr>
      <w:r>
        <w:rPr>
          <w:rFonts w:ascii="Arial" w:eastAsia="Arial" w:hAnsi="Arial" w:cs="Arial"/>
          <w:i/>
          <w:color w:val="FF0000"/>
          <w:sz w:val="20"/>
          <w:shd w:val="clear" w:color="auto" w:fill="00FFFF"/>
        </w:rPr>
        <w:t>14.4 Serão formalizadas tantas Atas de Registro de Preços quanto necessárias para o</w:t>
      </w:r>
      <w:r>
        <w:rPr>
          <w:rFonts w:ascii="Arial" w:eastAsia="Arial" w:hAnsi="Arial" w:cs="Arial"/>
          <w:i/>
          <w:color w:val="FF0000"/>
          <w:sz w:val="20"/>
        </w:rPr>
        <w:t xml:space="preserve"> </w:t>
      </w:r>
      <w:r>
        <w:rPr>
          <w:rFonts w:ascii="Arial" w:eastAsia="Arial" w:hAnsi="Arial" w:cs="Arial"/>
          <w:i/>
          <w:color w:val="FF0000"/>
          <w:sz w:val="20"/>
          <w:shd w:val="clear" w:color="auto" w:fill="00FFFF"/>
        </w:rPr>
        <w:t xml:space="preserve">registro de todos os </w:t>
      </w:r>
      <w:r>
        <w:rPr>
          <w:rFonts w:ascii="Arial" w:eastAsia="Arial" w:hAnsi="Arial" w:cs="Arial"/>
          <w:i/>
          <w:color w:val="FF0000"/>
          <w:sz w:val="20"/>
          <w:shd w:val="clear" w:color="auto" w:fill="00FFFF"/>
        </w:rPr>
        <w:t>itens constantes no Termo de Referência, com a indicação do licitante</w:t>
      </w:r>
      <w:r>
        <w:rPr>
          <w:rFonts w:ascii="Arial" w:eastAsia="Arial" w:hAnsi="Arial" w:cs="Arial"/>
          <w:i/>
          <w:color w:val="FF0000"/>
          <w:sz w:val="20"/>
        </w:rPr>
        <w:t xml:space="preserve"> </w:t>
      </w:r>
      <w:r>
        <w:rPr>
          <w:rFonts w:ascii="Arial" w:eastAsia="Arial" w:hAnsi="Arial" w:cs="Arial"/>
          <w:i/>
          <w:color w:val="FF0000"/>
          <w:sz w:val="20"/>
          <w:shd w:val="clear" w:color="auto" w:fill="00FFFF"/>
        </w:rPr>
        <w:t>vencedor, a descrição do(s) item(ns), as respectivas quantidades, preços registrados e demais</w:t>
      </w:r>
      <w:r>
        <w:rPr>
          <w:rFonts w:ascii="Arial" w:eastAsia="Arial" w:hAnsi="Arial" w:cs="Arial"/>
          <w:i/>
          <w:color w:val="FF0000"/>
          <w:sz w:val="20"/>
        </w:rPr>
        <w:t xml:space="preserve"> </w:t>
      </w:r>
      <w:r>
        <w:rPr>
          <w:rFonts w:ascii="Arial" w:eastAsia="Arial" w:hAnsi="Arial" w:cs="Arial"/>
          <w:i/>
          <w:color w:val="FF0000"/>
          <w:sz w:val="20"/>
          <w:shd w:val="clear" w:color="auto" w:fill="00FFFF"/>
        </w:rPr>
        <w:t>condições.</w:t>
      </w:r>
      <w:r>
        <w:rPr>
          <w:rFonts w:ascii="Arial" w:eastAsia="Arial" w:hAnsi="Arial" w:cs="Arial"/>
          <w:b/>
          <w:i/>
          <w:color w:val="FF0000"/>
          <w:sz w:val="20"/>
        </w:rPr>
        <w:t xml:space="preserve"> </w:t>
      </w:r>
    </w:p>
    <w:p w:rsidR="006C145C" w:rsidRDefault="00C62E5A">
      <w:pPr>
        <w:spacing w:after="148" w:line="277" w:lineRule="auto"/>
        <w:ind w:left="1130" w:right="51" w:hanging="720"/>
        <w:jc w:val="both"/>
      </w:pPr>
      <w:r>
        <w:rPr>
          <w:rFonts w:ascii="Arial" w:eastAsia="Arial" w:hAnsi="Arial" w:cs="Arial"/>
          <w:i/>
          <w:color w:val="FF0000"/>
          <w:sz w:val="20"/>
          <w:shd w:val="clear" w:color="auto" w:fill="00FFFF"/>
        </w:rPr>
        <w:t xml:space="preserve">14.4.1 </w:t>
      </w:r>
      <w:r>
        <w:rPr>
          <w:rFonts w:ascii="Arial" w:eastAsia="Arial" w:hAnsi="Arial" w:cs="Arial"/>
          <w:i/>
          <w:color w:val="FF0000"/>
          <w:sz w:val="20"/>
          <w:shd w:val="clear" w:color="auto" w:fill="00FFFF"/>
        </w:rPr>
        <w:t>Será incluído na ata, sob a forma de anexo, o registro dos licitantes que aceitarem cotar</w:t>
      </w:r>
      <w:r>
        <w:rPr>
          <w:rFonts w:ascii="Arial" w:eastAsia="Arial" w:hAnsi="Arial" w:cs="Arial"/>
          <w:i/>
          <w:color w:val="FF0000"/>
          <w:sz w:val="20"/>
        </w:rPr>
        <w:t xml:space="preserve"> </w:t>
      </w:r>
      <w:r>
        <w:rPr>
          <w:rFonts w:ascii="Arial" w:eastAsia="Arial" w:hAnsi="Arial" w:cs="Arial"/>
          <w:i/>
          <w:color w:val="FF0000"/>
          <w:sz w:val="20"/>
          <w:shd w:val="clear" w:color="auto" w:fill="00FFFF"/>
        </w:rPr>
        <w:t>os bens ou serviços com preços iguais aos do licitante vencedor na sequência da</w:t>
      </w:r>
      <w:r>
        <w:rPr>
          <w:rFonts w:ascii="Arial" w:eastAsia="Arial" w:hAnsi="Arial" w:cs="Arial"/>
          <w:i/>
          <w:color w:val="FF0000"/>
          <w:sz w:val="20"/>
        </w:rPr>
        <w:t xml:space="preserve"> </w:t>
      </w:r>
      <w:r>
        <w:rPr>
          <w:rFonts w:ascii="Arial" w:eastAsia="Arial" w:hAnsi="Arial" w:cs="Arial"/>
          <w:i/>
          <w:color w:val="FF0000"/>
          <w:sz w:val="20"/>
          <w:shd w:val="clear" w:color="auto" w:fill="00FFFF"/>
        </w:rPr>
        <w:t>classificação do certame, excluído o percentual referente à margem de preferência,</w:t>
      </w:r>
      <w:r>
        <w:rPr>
          <w:rFonts w:ascii="Arial" w:eastAsia="Arial" w:hAnsi="Arial" w:cs="Arial"/>
          <w:i/>
          <w:color w:val="FF0000"/>
          <w:sz w:val="20"/>
        </w:rPr>
        <w:t xml:space="preserve"> </w:t>
      </w:r>
      <w:r>
        <w:rPr>
          <w:rFonts w:ascii="Arial" w:eastAsia="Arial" w:hAnsi="Arial" w:cs="Arial"/>
          <w:i/>
          <w:color w:val="FF0000"/>
          <w:sz w:val="20"/>
          <w:shd w:val="clear" w:color="auto" w:fill="00FFFF"/>
        </w:rPr>
        <w:t>qua</w:t>
      </w:r>
      <w:r>
        <w:rPr>
          <w:rFonts w:ascii="Arial" w:eastAsia="Arial" w:hAnsi="Arial" w:cs="Arial"/>
          <w:i/>
          <w:color w:val="FF0000"/>
          <w:sz w:val="20"/>
          <w:shd w:val="clear" w:color="auto" w:fill="00FFFF"/>
        </w:rPr>
        <w:t>ndo o objeto não atender aos requisitos previstos no art. 3º da Lei nº 8.666, de 1993;</w:t>
      </w:r>
      <w:r>
        <w:rPr>
          <w:rFonts w:ascii="Arial" w:eastAsia="Arial" w:hAnsi="Arial" w:cs="Arial"/>
          <w:i/>
          <w:color w:val="FF0000"/>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502" w:line="249" w:lineRule="auto"/>
        <w:ind w:left="-5" w:right="57" w:hanging="10"/>
        <w:jc w:val="both"/>
      </w:pPr>
      <w:r>
        <w:rPr>
          <w:rFonts w:ascii="Arial" w:eastAsia="Arial" w:hAnsi="Arial" w:cs="Arial"/>
          <w:b/>
          <w:i/>
          <w:sz w:val="20"/>
        </w:rPr>
        <w:t>Nota Explicativa</w:t>
      </w:r>
      <w:r>
        <w:rPr>
          <w:rFonts w:ascii="Arial" w:eastAsia="Arial" w:hAnsi="Arial" w:cs="Arial"/>
          <w:i/>
          <w:sz w:val="20"/>
        </w:rPr>
        <w:t>: A inserção dos textos referentes à assinatura e cadastro na ata de registro de preços dos licitantes que cotarem preços iguais aos do licitante venced</w:t>
      </w:r>
      <w:r>
        <w:rPr>
          <w:rFonts w:ascii="Arial" w:eastAsia="Arial" w:hAnsi="Arial" w:cs="Arial"/>
          <w:i/>
          <w:sz w:val="20"/>
        </w:rPr>
        <w:t xml:space="preserve">or, dependerá da implementação dessa funcionalidade no Sistema Compras Governamentais.  </w:t>
      </w:r>
    </w:p>
    <w:p w:rsidR="006C145C" w:rsidRDefault="00C62E5A">
      <w:pPr>
        <w:pStyle w:val="Ttulo4"/>
        <w:ind w:left="7" w:right="37"/>
      </w:pPr>
      <w:r>
        <w:t xml:space="preserve">15 DO TERMO DE CONTRATO </w:t>
      </w:r>
    </w:p>
    <w:p w:rsidR="006C145C" w:rsidRDefault="00C62E5A">
      <w:pPr>
        <w:spacing w:after="154" w:line="270" w:lineRule="auto"/>
        <w:ind w:left="433" w:right="54" w:hanging="8"/>
        <w:jc w:val="both"/>
      </w:pPr>
      <w:r>
        <w:rPr>
          <w:rFonts w:ascii="Arial" w:eastAsia="Arial" w:hAnsi="Arial" w:cs="Arial"/>
          <w:sz w:val="20"/>
        </w:rPr>
        <w:t xml:space="preserve">15.1 Após a homologação da licitação, em sendo realizada a contratação, será firmado Termo de Contrato ou emitido instrumento equivalente.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215" w:line="250" w:lineRule="auto"/>
        <w:ind w:left="-5" w:right="56" w:hanging="10"/>
        <w:jc w:val="both"/>
      </w:pPr>
      <w:r>
        <w:rPr>
          <w:rFonts w:ascii="Arial" w:eastAsia="Arial" w:hAnsi="Arial" w:cs="Arial"/>
          <w:b/>
          <w:i/>
          <w:sz w:val="20"/>
        </w:rPr>
        <w:t>No</w:t>
      </w:r>
      <w:r>
        <w:rPr>
          <w:rFonts w:ascii="Arial" w:eastAsia="Arial" w:hAnsi="Arial" w:cs="Arial"/>
          <w:b/>
          <w:i/>
          <w:sz w:val="20"/>
        </w:rPr>
        <w:t>ta</w:t>
      </w:r>
      <w:r>
        <w:rPr>
          <w:rFonts w:ascii="Arial" w:eastAsia="Arial" w:hAnsi="Arial" w:cs="Arial"/>
          <w:i/>
          <w:sz w:val="20"/>
        </w:rPr>
        <w:t xml:space="preserve"> </w:t>
      </w:r>
      <w:r>
        <w:rPr>
          <w:rFonts w:ascii="Arial" w:eastAsia="Arial" w:hAnsi="Arial" w:cs="Arial"/>
          <w:b/>
          <w:i/>
          <w:sz w:val="20"/>
        </w:rPr>
        <w:t>explicativa</w:t>
      </w:r>
      <w:r>
        <w:rPr>
          <w:rFonts w:ascii="Arial" w:eastAsia="Arial" w:hAnsi="Arial" w:cs="Arial"/>
          <w:i/>
          <w:sz w:val="20"/>
        </w:rPr>
        <w:t xml:space="preserve">: De acordo com o art. 62 da Lei nº 8.666, de 1993, aplicável subsidiariamente à modalidade pregão, o termo de contrato é facultativo nas contratações com valor de até R$176.000,00 (cento e setenta e seis mil reais). Assim, não havendo termo </w:t>
      </w:r>
      <w:r>
        <w:rPr>
          <w:rFonts w:ascii="Arial" w:eastAsia="Arial" w:hAnsi="Arial" w:cs="Arial"/>
          <w:i/>
          <w:sz w:val="20"/>
        </w:rPr>
        <w:t>de contrato, este poderá ser substituído por outros instrumentos hábeis, como carta contrato, nota de empenho de despesa ou autorização de compra, nos quais deve constar expressamente a vinculação à proposta e aos termos do edital de licitação. A redação d</w:t>
      </w:r>
      <w:r>
        <w:rPr>
          <w:rFonts w:ascii="Arial" w:eastAsia="Arial" w:hAnsi="Arial" w:cs="Arial"/>
          <w:i/>
          <w:sz w:val="20"/>
        </w:rPr>
        <w:t xml:space="preserve">o presente tópico procura abarcar ambas as hipóteses.  </w:t>
      </w:r>
    </w:p>
    <w:p w:rsidR="006C145C" w:rsidRDefault="00C62E5A">
      <w:pPr>
        <w:spacing w:after="129" w:line="270" w:lineRule="auto"/>
        <w:ind w:left="433" w:right="54" w:hanging="8"/>
        <w:jc w:val="both"/>
      </w:pPr>
      <w:r>
        <w:rPr>
          <w:rFonts w:ascii="Arial" w:eastAsia="Arial" w:hAnsi="Arial" w:cs="Arial"/>
          <w:sz w:val="20"/>
        </w:rPr>
        <w:t xml:space="preserve">15.2 O adjudicatário terá o prazo de .........(........) dias úteis, contados a partir da data de </w:t>
      </w:r>
      <w:r>
        <w:rPr>
          <w:rFonts w:ascii="Arial" w:eastAsia="Arial" w:hAnsi="Arial" w:cs="Arial"/>
          <w:sz w:val="20"/>
        </w:rPr>
        <w:t xml:space="preserve">sua convocação, para assinar o Termo de Contrato ou aceitar instrumento equivalente, conforme o caso (Nota de Empenho/Carta Contrato/Autorização), sob pena de decair do direito à contratação, sem prejuízo das sanções previstas neste Edital.  </w:t>
      </w:r>
    </w:p>
    <w:p w:rsidR="006C145C" w:rsidRDefault="00C62E5A">
      <w:pPr>
        <w:spacing w:after="129" w:line="270" w:lineRule="auto"/>
        <w:ind w:left="1145" w:right="54" w:hanging="720"/>
        <w:jc w:val="both"/>
      </w:pPr>
      <w:r>
        <w:rPr>
          <w:rFonts w:ascii="Arial" w:eastAsia="Arial" w:hAnsi="Arial" w:cs="Arial"/>
          <w:sz w:val="20"/>
        </w:rPr>
        <w:t xml:space="preserve">15.2.1 </w:t>
      </w:r>
      <w:r>
        <w:rPr>
          <w:rFonts w:ascii="Arial" w:eastAsia="Arial" w:hAnsi="Arial" w:cs="Arial"/>
          <w:sz w:val="20"/>
        </w:rPr>
        <w:t xml:space="preserve">Alternativamente à convocação para comparecer perante o órgão ou entidade para a assinatura do Termo de Contrato, a Administração poderá encaminhá-lo para assinatura, </w:t>
      </w:r>
      <w:r>
        <w:rPr>
          <w:rFonts w:ascii="Arial" w:eastAsia="Arial" w:hAnsi="Arial" w:cs="Arial"/>
          <w:sz w:val="20"/>
        </w:rPr>
        <w:lastRenderedPageBreak/>
        <w:t>mediante correspondência postal com aviso de recebimento (AR) ou meio eletrônico, para qu</w:t>
      </w:r>
      <w:r>
        <w:rPr>
          <w:rFonts w:ascii="Arial" w:eastAsia="Arial" w:hAnsi="Arial" w:cs="Arial"/>
          <w:sz w:val="20"/>
        </w:rPr>
        <w:t xml:space="preserve">e seja assinado e devolvido no prazo de ...... (.....) dias, a contar da data de seu recebimento.  </w:t>
      </w:r>
    </w:p>
    <w:p w:rsidR="006C145C" w:rsidRDefault="00C62E5A">
      <w:pPr>
        <w:spacing w:after="154" w:line="270" w:lineRule="auto"/>
        <w:ind w:left="1145" w:right="54" w:hanging="720"/>
        <w:jc w:val="both"/>
      </w:pPr>
      <w:r>
        <w:rPr>
          <w:rFonts w:ascii="Arial" w:eastAsia="Arial" w:hAnsi="Arial" w:cs="Arial"/>
          <w:sz w:val="20"/>
        </w:rPr>
        <w:t>15.2.2 O prazo previsto no subitem anterior poderá ser prorrogado, por igual período, por solicitação justificada do adjudicatário e aceita pela Administraç</w:t>
      </w:r>
      <w:r>
        <w:rPr>
          <w:rFonts w:ascii="Arial" w:eastAsia="Arial" w:hAnsi="Arial" w:cs="Arial"/>
          <w:sz w:val="20"/>
        </w:rPr>
        <w:t xml:space="preserve">ão.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214" w:line="250" w:lineRule="auto"/>
        <w:ind w:left="-5" w:right="56" w:hanging="10"/>
        <w:jc w:val="both"/>
      </w:pPr>
      <w:r>
        <w:rPr>
          <w:rFonts w:ascii="Arial" w:eastAsia="Arial" w:hAnsi="Arial" w:cs="Arial"/>
          <w:b/>
          <w:i/>
          <w:sz w:val="20"/>
        </w:rPr>
        <w:t>Nota Explicativa:</w:t>
      </w:r>
      <w:r>
        <w:rPr>
          <w:rFonts w:ascii="Arial" w:eastAsia="Arial" w:hAnsi="Arial" w:cs="Arial"/>
          <w:i/>
          <w:sz w:val="20"/>
        </w:rPr>
        <w:t xml:space="preserve"> É importante que a Administração certifique-se de que o Termo de Contrato, devolvido assinado pela Contratada, não sofreu qualquer alteração.  </w:t>
      </w:r>
    </w:p>
    <w:p w:rsidR="006C145C" w:rsidRDefault="00C62E5A">
      <w:pPr>
        <w:spacing w:after="129" w:line="270" w:lineRule="auto"/>
        <w:ind w:left="433" w:right="54" w:hanging="8"/>
        <w:jc w:val="both"/>
      </w:pPr>
      <w:r>
        <w:rPr>
          <w:rFonts w:ascii="Arial" w:eastAsia="Arial" w:hAnsi="Arial" w:cs="Arial"/>
          <w:sz w:val="20"/>
        </w:rPr>
        <w:t>15.3 O Aceite da Nota de Empenho ou do instrumento equivalente, emitida à empresa adjudic</w:t>
      </w:r>
      <w:r>
        <w:rPr>
          <w:rFonts w:ascii="Arial" w:eastAsia="Arial" w:hAnsi="Arial" w:cs="Arial"/>
          <w:sz w:val="20"/>
        </w:rPr>
        <w:t xml:space="preserve">ada, implica no reconhecimento de que: </w:t>
      </w:r>
    </w:p>
    <w:p w:rsidR="006C145C" w:rsidRDefault="00C62E5A">
      <w:pPr>
        <w:spacing w:after="129" w:line="270" w:lineRule="auto"/>
        <w:ind w:left="1145" w:right="54" w:hanging="720"/>
        <w:jc w:val="both"/>
      </w:pPr>
      <w:r>
        <w:rPr>
          <w:rFonts w:ascii="Arial" w:eastAsia="Arial" w:hAnsi="Arial" w:cs="Arial"/>
          <w:sz w:val="20"/>
        </w:rPr>
        <w:t xml:space="preserve">15.3.1 referida Nota está substituindo o contrato, aplicando-se à relação de negócios ali estabelecida as disposições da Lei nº 8.666, de 1993; </w:t>
      </w:r>
    </w:p>
    <w:p w:rsidR="006C145C" w:rsidRDefault="00C62E5A">
      <w:pPr>
        <w:spacing w:after="129" w:line="270" w:lineRule="auto"/>
        <w:ind w:left="433" w:right="54" w:hanging="8"/>
        <w:jc w:val="both"/>
      </w:pPr>
      <w:r>
        <w:rPr>
          <w:rFonts w:ascii="Arial" w:eastAsia="Arial" w:hAnsi="Arial" w:cs="Arial"/>
          <w:sz w:val="20"/>
        </w:rPr>
        <w:t>15.3.2 a contratada se vincula à sua proposta e às previsões contidas n</w:t>
      </w:r>
      <w:r>
        <w:rPr>
          <w:rFonts w:ascii="Arial" w:eastAsia="Arial" w:hAnsi="Arial" w:cs="Arial"/>
          <w:sz w:val="20"/>
        </w:rPr>
        <w:t xml:space="preserve">o edital e seus anexos; </w:t>
      </w:r>
    </w:p>
    <w:p w:rsidR="006C145C" w:rsidRDefault="00C62E5A">
      <w:pPr>
        <w:spacing w:after="129" w:line="270" w:lineRule="auto"/>
        <w:ind w:left="1145" w:right="54" w:hanging="720"/>
        <w:jc w:val="both"/>
      </w:pPr>
      <w:r>
        <w:rPr>
          <w:rFonts w:ascii="Arial" w:eastAsia="Arial" w:hAnsi="Arial" w:cs="Arial"/>
          <w:sz w:val="20"/>
        </w:rPr>
        <w:t xml:space="preserve">15.3.3 a contratada reconhece que as hipóteses de rescisão são aquelas previstas nos artigos 77 e 78 da Lei nº 8.666/93 e reconhece os direitos da Administração previstos nos artigos 79 e 80 da mesma Lei. </w:t>
      </w:r>
    </w:p>
    <w:p w:rsidR="006C145C" w:rsidRDefault="00C62E5A">
      <w:pPr>
        <w:spacing w:after="0" w:line="270" w:lineRule="auto"/>
        <w:ind w:left="1145" w:right="54" w:hanging="720"/>
        <w:jc w:val="both"/>
      </w:pPr>
      <w:r>
        <w:rPr>
          <w:rFonts w:ascii="Arial" w:eastAsia="Arial" w:hAnsi="Arial" w:cs="Arial"/>
          <w:sz w:val="20"/>
        </w:rPr>
        <w:t>15.3.4 O descumprimento d</w:t>
      </w:r>
      <w:r>
        <w:rPr>
          <w:rFonts w:ascii="Arial" w:eastAsia="Arial" w:hAnsi="Arial" w:cs="Arial"/>
          <w:sz w:val="20"/>
        </w:rPr>
        <w:t xml:space="preserve">as obrigações trabalhistas ou a não manutenção das condições de habilitação pela CONTRATADA poderá dar ensejo à rescisão contratual, sem prejuízo das demais sanções. </w:t>
      </w:r>
    </w:p>
    <w:p w:rsidR="006C145C" w:rsidRDefault="00C62E5A">
      <w:pPr>
        <w:spacing w:after="96" w:line="270" w:lineRule="auto"/>
        <w:ind w:left="1145" w:right="54" w:hanging="720"/>
        <w:jc w:val="both"/>
      </w:pPr>
      <w:r>
        <w:rPr>
          <w:rFonts w:ascii="Arial" w:eastAsia="Arial" w:hAnsi="Arial" w:cs="Arial"/>
          <w:sz w:val="20"/>
        </w:rPr>
        <w:t xml:space="preserve">15.3.5  O não pagamento dos salários e das verbas trabalhistas, e </w:t>
      </w:r>
      <w:r>
        <w:rPr>
          <w:rFonts w:ascii="Arial" w:eastAsia="Arial" w:hAnsi="Arial" w:cs="Arial"/>
          <w:sz w:val="20"/>
        </w:rPr>
        <w:t xml:space="preserve">o não recolhimento das contribuições sociais, previdenciárias e para com o FGTS em relação ao empregados da contrata que efetivamente participaram da execução do contrato poderá dar ensejo à rescisão do contrato, por ato unilateral e escrito, por parte da </w:t>
      </w:r>
      <w:r>
        <w:rPr>
          <w:rFonts w:ascii="Arial" w:eastAsia="Arial" w:hAnsi="Arial" w:cs="Arial"/>
          <w:sz w:val="20"/>
        </w:rPr>
        <w:t xml:space="preserve">CONTRATANTE  e à aplicação das penalidades cabíveis (art. 8º, inciso IV, do Decreto n.º 9.507, de 2018). </w:t>
      </w:r>
    </w:p>
    <w:p w:rsidR="006C145C" w:rsidRDefault="00C62E5A">
      <w:pPr>
        <w:spacing w:after="168"/>
        <w:ind w:left="1853"/>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215" w:line="250" w:lineRule="auto"/>
        <w:ind w:left="-5" w:right="56" w:hanging="10"/>
        <w:jc w:val="both"/>
      </w:pPr>
      <w:r>
        <w:rPr>
          <w:rFonts w:ascii="Arial" w:eastAsia="Arial" w:hAnsi="Arial" w:cs="Arial"/>
          <w:b/>
          <w:i/>
          <w:sz w:val="20"/>
        </w:rPr>
        <w:t>Nota Explicativa:</w:t>
      </w:r>
      <w:r>
        <w:rPr>
          <w:rFonts w:ascii="Arial" w:eastAsia="Arial" w:hAnsi="Arial" w:cs="Arial"/>
          <w:i/>
          <w:sz w:val="20"/>
        </w:rPr>
        <w:t xml:space="preserve"> Os itens 15.3.4  e 15.3.5 foram inseridos para dar cumprimento ao Decreto nº 9.507, de 21 de setembro de 2018, publicado na Seção </w:t>
      </w:r>
      <w:r>
        <w:rPr>
          <w:rFonts w:ascii="Arial" w:eastAsia="Arial" w:hAnsi="Arial" w:cs="Arial"/>
          <w:i/>
          <w:sz w:val="20"/>
        </w:rPr>
        <w:t>1 do D.O.U. em 24/09/2018 e a Instrução Normativa nº 6 de 06/07/2018 do MPOG.</w:t>
      </w:r>
      <w:r>
        <w:rPr>
          <w:rFonts w:ascii="Arial" w:eastAsia="Arial" w:hAnsi="Arial" w:cs="Arial"/>
          <w:b/>
          <w:i/>
          <w:sz w:val="20"/>
        </w:rPr>
        <w:t xml:space="preserve"> </w:t>
      </w:r>
    </w:p>
    <w:p w:rsidR="006C145C" w:rsidRDefault="00C62E5A">
      <w:pPr>
        <w:spacing w:after="137"/>
        <w:ind w:left="1853"/>
      </w:pPr>
      <w:r>
        <w:rPr>
          <w:rFonts w:ascii="Arial" w:eastAsia="Arial" w:hAnsi="Arial" w:cs="Arial"/>
          <w:sz w:val="20"/>
        </w:rPr>
        <w:t xml:space="preserve"> </w:t>
      </w:r>
    </w:p>
    <w:p w:rsidR="006C145C" w:rsidRDefault="00C62E5A">
      <w:pPr>
        <w:spacing w:after="129" w:line="270" w:lineRule="auto"/>
        <w:ind w:left="433" w:right="54" w:hanging="8"/>
        <w:jc w:val="both"/>
      </w:pPr>
      <w:r>
        <w:rPr>
          <w:rFonts w:ascii="Arial" w:eastAsia="Arial" w:hAnsi="Arial" w:cs="Arial"/>
          <w:sz w:val="20"/>
        </w:rPr>
        <w:t xml:space="preserve">15.4 O prazo de vigência da contratação é de .............................. prorrogável conforme previsão no instrumento contratual.  </w:t>
      </w:r>
    </w:p>
    <w:p w:rsidR="006C145C" w:rsidRDefault="00C62E5A">
      <w:pPr>
        <w:spacing w:after="129" w:line="270" w:lineRule="auto"/>
        <w:ind w:left="433" w:right="54" w:hanging="8"/>
        <w:jc w:val="both"/>
      </w:pPr>
      <w:r>
        <w:rPr>
          <w:rFonts w:ascii="Arial" w:eastAsia="Arial" w:hAnsi="Arial" w:cs="Arial"/>
          <w:sz w:val="20"/>
        </w:rPr>
        <w:t>15.5 Previamente à contratação a Adminis</w:t>
      </w:r>
      <w:r>
        <w:rPr>
          <w:rFonts w:ascii="Arial" w:eastAsia="Arial" w:hAnsi="Arial" w:cs="Arial"/>
          <w:sz w:val="20"/>
        </w:rPr>
        <w:t xml:space="preserve">tração realizará consulta ao SICAF para identificar possível suspensão temporária de participação em licitação, no âmbito do órgão ou entidade, proibição de contratar com o Poder Público, bem como ocorrências impeditivas indiretas, observado o disposto no </w:t>
      </w:r>
      <w:r>
        <w:rPr>
          <w:rFonts w:ascii="Arial" w:eastAsia="Arial" w:hAnsi="Arial" w:cs="Arial"/>
          <w:sz w:val="20"/>
        </w:rPr>
        <w:t xml:space="preserve">art. 29, da Instrução Normativa nº 3, de 26 de abril de 2018, e nos termos do art. 6º, III, da Lei nº 10.522, de 19 de julho de 2002, consulta prévia ao CADIN.  </w:t>
      </w:r>
    </w:p>
    <w:p w:rsidR="006C145C" w:rsidRDefault="00C62E5A">
      <w:pPr>
        <w:spacing w:after="129" w:line="270" w:lineRule="auto"/>
        <w:ind w:left="1145" w:right="54" w:hanging="720"/>
        <w:jc w:val="both"/>
      </w:pPr>
      <w:r>
        <w:rPr>
          <w:rFonts w:ascii="Arial" w:eastAsia="Arial" w:hAnsi="Arial" w:cs="Arial"/>
          <w:sz w:val="20"/>
        </w:rPr>
        <w:t>15.5.1 Nos casos em que houver necessidade de assinatura do instrumento de contrato, e o forne</w:t>
      </w:r>
      <w:r>
        <w:rPr>
          <w:rFonts w:ascii="Arial" w:eastAsia="Arial" w:hAnsi="Arial" w:cs="Arial"/>
          <w:sz w:val="20"/>
        </w:rPr>
        <w:t xml:space="preserve">cedor não estiver inscrito no SICAF, este deverá proceder ao seu cadastramento, sem ônus, antes da contratação. </w:t>
      </w:r>
    </w:p>
    <w:p w:rsidR="006C145C" w:rsidRDefault="00C62E5A">
      <w:pPr>
        <w:spacing w:after="129" w:line="270" w:lineRule="auto"/>
        <w:ind w:left="1145" w:right="54" w:hanging="720"/>
        <w:jc w:val="both"/>
      </w:pPr>
      <w:r>
        <w:rPr>
          <w:rFonts w:ascii="Arial" w:eastAsia="Arial" w:hAnsi="Arial" w:cs="Arial"/>
          <w:sz w:val="20"/>
        </w:rPr>
        <w:t>15.5.2 Na hipótese de irregularidade do registro no SICAF, o contratado deverá regularizar a sua situação perante o cadastro no prazo de até 05</w:t>
      </w:r>
      <w:r>
        <w:rPr>
          <w:rFonts w:ascii="Arial" w:eastAsia="Arial" w:hAnsi="Arial" w:cs="Arial"/>
          <w:sz w:val="20"/>
        </w:rPr>
        <w:t xml:space="preserve"> (cinco) dias úteis, sob pena de aplicação das penalidades previstas no edital e anexos. </w:t>
      </w:r>
    </w:p>
    <w:p w:rsidR="006C145C" w:rsidRDefault="00C62E5A">
      <w:pPr>
        <w:spacing w:after="129" w:line="270" w:lineRule="auto"/>
        <w:ind w:left="433" w:right="54" w:hanging="8"/>
        <w:jc w:val="both"/>
      </w:pPr>
      <w:r>
        <w:rPr>
          <w:rFonts w:ascii="Arial" w:eastAsia="Arial" w:hAnsi="Arial" w:cs="Arial"/>
          <w:sz w:val="20"/>
        </w:rPr>
        <w:t>15.6 Na assinatura do contrato ou da ata de registro de preços, será exigida a comprovação das condições de habilitação consignadas no edital, que deverão ser mantida</w:t>
      </w:r>
      <w:r>
        <w:rPr>
          <w:rFonts w:ascii="Arial" w:eastAsia="Arial" w:hAnsi="Arial" w:cs="Arial"/>
          <w:sz w:val="20"/>
        </w:rPr>
        <w:t xml:space="preserve">s pelo licitante durante a vigência do contrato ou da ata de registro de preços. </w:t>
      </w:r>
    </w:p>
    <w:p w:rsidR="006C145C" w:rsidRDefault="00C62E5A">
      <w:pPr>
        <w:spacing w:after="154" w:line="270" w:lineRule="auto"/>
        <w:ind w:left="433" w:right="54" w:hanging="8"/>
        <w:jc w:val="both"/>
      </w:pPr>
      <w:r>
        <w:rPr>
          <w:rFonts w:ascii="Arial" w:eastAsia="Arial" w:hAnsi="Arial" w:cs="Arial"/>
          <w:sz w:val="20"/>
        </w:rPr>
        <w:lastRenderedPageBreak/>
        <w:t>15.7 Se o adjudicatário, no ato da assinatura do Termo de Contrato, não comprovar que mantém as mesmas condições de habilitação, ou quando, injustificadamente, recusar-se à a</w:t>
      </w:r>
      <w:r>
        <w:rPr>
          <w:rFonts w:ascii="Arial" w:eastAsia="Arial" w:hAnsi="Arial" w:cs="Arial"/>
          <w:sz w:val="20"/>
        </w:rPr>
        <w:t xml:space="preserve">ssinatura, poderá ser convocado outro licitante, desde que respeitada a ordem de classificação, para, após a verificação da aceitabilidade da proposta, negociação e comprovados os requisitos de habilitação, celebrar a contratação, sem prejuízo das sanções </w:t>
      </w:r>
      <w:r>
        <w:rPr>
          <w:rFonts w:ascii="Arial" w:eastAsia="Arial" w:hAnsi="Arial" w:cs="Arial"/>
          <w:sz w:val="20"/>
        </w:rPr>
        <w:t xml:space="preserve">previstas neste Edital e das demais cominações legais.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537" w:line="250" w:lineRule="auto"/>
        <w:ind w:left="-5" w:right="56" w:hanging="10"/>
        <w:jc w:val="both"/>
      </w:pPr>
      <w:r>
        <w:rPr>
          <w:rFonts w:ascii="Arial" w:eastAsia="Arial" w:hAnsi="Arial" w:cs="Arial"/>
          <w:b/>
          <w:i/>
          <w:sz w:val="20"/>
        </w:rPr>
        <w:t>Nota</w:t>
      </w:r>
      <w:r>
        <w:rPr>
          <w:rFonts w:ascii="Arial" w:eastAsia="Arial" w:hAnsi="Arial" w:cs="Arial"/>
          <w:i/>
          <w:sz w:val="20"/>
        </w:rPr>
        <w:t xml:space="preserve"> </w:t>
      </w:r>
      <w:r>
        <w:rPr>
          <w:rFonts w:ascii="Arial" w:eastAsia="Arial" w:hAnsi="Arial" w:cs="Arial"/>
          <w:b/>
          <w:i/>
          <w:sz w:val="20"/>
        </w:rPr>
        <w:t>explicativa</w:t>
      </w:r>
      <w:r>
        <w:rPr>
          <w:rFonts w:ascii="Arial" w:eastAsia="Arial" w:hAnsi="Arial" w:cs="Arial"/>
          <w:i/>
          <w:sz w:val="20"/>
        </w:rPr>
        <w:t xml:space="preserve">: Nesse momento, deve haver a checagem da manutenção de todas as condições de habilitação, não se limitando apenas à consulta ao SICAF. </w:t>
      </w:r>
    </w:p>
    <w:p w:rsidR="006C145C" w:rsidRDefault="00C62E5A">
      <w:pPr>
        <w:pStyle w:val="Ttulo4"/>
        <w:ind w:left="7" w:right="37"/>
      </w:pPr>
      <w:r>
        <w:t xml:space="preserve">16 DO REAJUSTAMENTO EM SENTIDO GERAL </w:t>
      </w:r>
    </w:p>
    <w:p w:rsidR="006C145C" w:rsidRDefault="00C62E5A">
      <w:pPr>
        <w:spacing w:after="363" w:line="270" w:lineRule="auto"/>
        <w:ind w:left="785" w:right="54" w:hanging="360"/>
        <w:jc w:val="both"/>
      </w:pPr>
      <w:r>
        <w:rPr>
          <w:rFonts w:ascii="Arial" w:eastAsia="Arial" w:hAnsi="Arial" w:cs="Arial"/>
          <w:sz w:val="20"/>
        </w:rPr>
        <w:t>16.1 As</w:t>
      </w:r>
      <w:r>
        <w:rPr>
          <w:rFonts w:ascii="Arial" w:eastAsia="Arial" w:hAnsi="Arial" w:cs="Arial"/>
          <w:b/>
          <w:sz w:val="20"/>
        </w:rPr>
        <w:t xml:space="preserve"> </w:t>
      </w:r>
      <w:r>
        <w:rPr>
          <w:rFonts w:ascii="Arial" w:eastAsia="Arial" w:hAnsi="Arial" w:cs="Arial"/>
          <w:sz w:val="20"/>
        </w:rPr>
        <w:t>regras</w:t>
      </w:r>
      <w:r>
        <w:rPr>
          <w:rFonts w:ascii="Arial" w:eastAsia="Arial" w:hAnsi="Arial" w:cs="Arial"/>
          <w:b/>
          <w:sz w:val="20"/>
        </w:rPr>
        <w:t xml:space="preserve"> </w:t>
      </w:r>
      <w:r>
        <w:rPr>
          <w:rFonts w:ascii="Arial" w:eastAsia="Arial" w:hAnsi="Arial" w:cs="Arial"/>
          <w:sz w:val="20"/>
        </w:rPr>
        <w:t xml:space="preserve">acerca do reajustamento em sentido geral do valor contratual são as estabelecidas no Termo de Referência, anexo a este Edital. </w:t>
      </w:r>
    </w:p>
    <w:p w:rsidR="006C145C" w:rsidRDefault="00C62E5A">
      <w:pPr>
        <w:pStyle w:val="Ttulo4"/>
        <w:ind w:left="7" w:right="37"/>
      </w:pPr>
      <w:r>
        <w:t xml:space="preserve">17 DA ACEITAÇÃO DO OBJETO E DA FISCALIZAÇÃO </w:t>
      </w:r>
    </w:p>
    <w:p w:rsidR="006C145C" w:rsidRDefault="00C62E5A">
      <w:pPr>
        <w:spacing w:after="129" w:line="270" w:lineRule="auto"/>
        <w:ind w:left="433" w:right="54" w:hanging="8"/>
        <w:jc w:val="both"/>
      </w:pPr>
      <w:r>
        <w:rPr>
          <w:rFonts w:ascii="Arial" w:eastAsia="Arial" w:hAnsi="Arial" w:cs="Arial"/>
          <w:sz w:val="20"/>
        </w:rPr>
        <w:t xml:space="preserve">17.1 </w:t>
      </w:r>
      <w:r>
        <w:rPr>
          <w:rFonts w:ascii="Arial" w:eastAsia="Arial" w:hAnsi="Arial" w:cs="Arial"/>
          <w:sz w:val="20"/>
        </w:rPr>
        <w:tab/>
        <w:t xml:space="preserve">Os critérios de aceitação do objeto e de fiscalização estão previstos </w:t>
      </w:r>
      <w:r>
        <w:rPr>
          <w:rFonts w:ascii="Arial" w:eastAsia="Arial" w:hAnsi="Arial" w:cs="Arial"/>
          <w:sz w:val="20"/>
        </w:rPr>
        <w:t xml:space="preserve">no Termo de Referência.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483" w:line="249" w:lineRule="auto"/>
        <w:ind w:left="370" w:right="57" w:hanging="10"/>
        <w:jc w:val="both"/>
      </w:pPr>
      <w:r>
        <w:rPr>
          <w:rFonts w:ascii="Arial" w:eastAsia="Arial" w:hAnsi="Arial" w:cs="Arial"/>
          <w:b/>
          <w:i/>
          <w:sz w:val="20"/>
        </w:rPr>
        <w:t>Nota explicativa</w:t>
      </w:r>
      <w:r>
        <w:rPr>
          <w:rFonts w:ascii="Arial" w:eastAsia="Arial" w:hAnsi="Arial" w:cs="Arial"/>
          <w:i/>
          <w:sz w:val="20"/>
        </w:rPr>
        <w:t xml:space="preserve">: Como a fiscalização é por amostragem, a documentação deve ser encaminhada quando solicitada pela Administração.  </w:t>
      </w:r>
    </w:p>
    <w:p w:rsidR="006C145C" w:rsidRDefault="00C62E5A">
      <w:pPr>
        <w:numPr>
          <w:ilvl w:val="0"/>
          <w:numId w:val="10"/>
        </w:numPr>
        <w:spacing w:after="140"/>
        <w:ind w:hanging="360"/>
      </w:pPr>
      <w:r>
        <w:rPr>
          <w:rFonts w:ascii="Arial" w:eastAsia="Arial" w:hAnsi="Arial" w:cs="Arial"/>
          <w:b/>
          <w:sz w:val="20"/>
          <w:shd w:val="clear" w:color="auto" w:fill="FFFF00"/>
        </w:rPr>
        <w:t>DAS OBRIGAÇÕES DA CONTRATANTE</w:t>
      </w:r>
      <w:r>
        <w:rPr>
          <w:rFonts w:ascii="Arial" w:eastAsia="Arial" w:hAnsi="Arial" w:cs="Arial"/>
          <w:b/>
          <w:sz w:val="20"/>
        </w:rPr>
        <w:t xml:space="preserve">  </w:t>
      </w:r>
    </w:p>
    <w:p w:rsidR="006C145C" w:rsidRDefault="00C62E5A">
      <w:pPr>
        <w:numPr>
          <w:ilvl w:val="1"/>
          <w:numId w:val="10"/>
        </w:numPr>
        <w:spacing w:after="130" w:line="269" w:lineRule="auto"/>
        <w:ind w:right="51" w:hanging="991"/>
        <w:jc w:val="both"/>
      </w:pPr>
      <w:r>
        <w:rPr>
          <w:rFonts w:ascii="Arial" w:eastAsia="Arial" w:hAnsi="Arial" w:cs="Arial"/>
          <w:sz w:val="20"/>
          <w:shd w:val="clear" w:color="auto" w:fill="FFFF00"/>
        </w:rPr>
        <w:t>As obrigações da Contratante são as estabelecidas no Termo de Referência, e ainda:</w:t>
      </w:r>
      <w:r>
        <w:rPr>
          <w:rFonts w:ascii="Arial" w:eastAsia="Arial" w:hAnsi="Arial" w:cs="Arial"/>
          <w:b/>
          <w:sz w:val="20"/>
        </w:rPr>
        <w:t xml:space="preserve"> </w:t>
      </w:r>
    </w:p>
    <w:p w:rsidR="006C145C" w:rsidRDefault="00C62E5A">
      <w:pPr>
        <w:numPr>
          <w:ilvl w:val="2"/>
          <w:numId w:val="10"/>
        </w:numPr>
        <w:spacing w:after="130" w:line="269" w:lineRule="auto"/>
        <w:ind w:right="51" w:hanging="720"/>
        <w:jc w:val="both"/>
      </w:pPr>
      <w:r>
        <w:rPr>
          <w:rFonts w:ascii="Arial" w:eastAsia="Arial" w:hAnsi="Arial" w:cs="Arial"/>
          <w:sz w:val="20"/>
          <w:shd w:val="clear" w:color="auto" w:fill="FFFF00"/>
        </w:rPr>
        <w:t>Fiscalizar mensalmente, por amostragem, o cumprimento das obrigações trabalhistas,</w:t>
      </w:r>
      <w:r>
        <w:rPr>
          <w:rFonts w:ascii="Arial" w:eastAsia="Arial" w:hAnsi="Arial" w:cs="Arial"/>
          <w:sz w:val="20"/>
        </w:rPr>
        <w:t xml:space="preserve"> </w:t>
      </w:r>
      <w:r>
        <w:rPr>
          <w:rFonts w:ascii="Arial" w:eastAsia="Arial" w:hAnsi="Arial" w:cs="Arial"/>
          <w:sz w:val="20"/>
          <w:shd w:val="clear" w:color="auto" w:fill="FFFF00"/>
        </w:rPr>
        <w:t>previdenciárias e para com o FGTS, em relação aos empregados que efetivamente</w:t>
      </w:r>
      <w:r>
        <w:rPr>
          <w:rFonts w:ascii="Arial" w:eastAsia="Arial" w:hAnsi="Arial" w:cs="Arial"/>
          <w:sz w:val="20"/>
        </w:rPr>
        <w:t xml:space="preserve"> </w:t>
      </w:r>
      <w:r>
        <w:rPr>
          <w:rFonts w:ascii="Arial" w:eastAsia="Arial" w:hAnsi="Arial" w:cs="Arial"/>
          <w:sz w:val="20"/>
          <w:shd w:val="clear" w:color="auto" w:fill="FFFF00"/>
        </w:rPr>
        <w:t>participarem da execução do contrato, especialmente:</w:t>
      </w:r>
      <w:r>
        <w:rPr>
          <w:rFonts w:ascii="Arial" w:eastAsia="Arial" w:hAnsi="Arial" w:cs="Arial"/>
          <w:sz w:val="20"/>
        </w:rPr>
        <w:t xml:space="preserve">  </w:t>
      </w:r>
    </w:p>
    <w:p w:rsidR="006C145C" w:rsidRDefault="00C62E5A">
      <w:pPr>
        <w:numPr>
          <w:ilvl w:val="3"/>
          <w:numId w:val="10"/>
        </w:numPr>
        <w:spacing w:after="0" w:line="270" w:lineRule="auto"/>
        <w:ind w:right="51" w:hanging="730"/>
        <w:jc w:val="both"/>
      </w:pPr>
      <w:r>
        <w:rPr>
          <w:rFonts w:ascii="Arial" w:eastAsia="Arial" w:hAnsi="Arial" w:cs="Arial"/>
          <w:sz w:val="20"/>
        </w:rPr>
        <w:t xml:space="preserve">Ao pagamento de salários, adicionais, horas extras, repouso semanal remunerado e décimo terceiro salário; </w:t>
      </w:r>
    </w:p>
    <w:p w:rsidR="006C145C" w:rsidRDefault="00C62E5A">
      <w:pPr>
        <w:numPr>
          <w:ilvl w:val="3"/>
          <w:numId w:val="10"/>
        </w:numPr>
        <w:spacing w:after="0" w:line="270" w:lineRule="auto"/>
        <w:ind w:right="51" w:hanging="730"/>
        <w:jc w:val="both"/>
      </w:pPr>
      <w:r>
        <w:rPr>
          <w:rFonts w:ascii="Arial" w:eastAsia="Arial" w:hAnsi="Arial" w:cs="Arial"/>
          <w:sz w:val="20"/>
        </w:rPr>
        <w:t>A concessão de férias remuneradas e o pagamento do respectivo adicional, bem como de auxílio-t</w:t>
      </w:r>
      <w:r>
        <w:rPr>
          <w:rFonts w:ascii="Arial" w:eastAsia="Arial" w:hAnsi="Arial" w:cs="Arial"/>
          <w:sz w:val="20"/>
        </w:rPr>
        <w:t xml:space="preserve">ransporte, auxílio-alimentação e auxíliosaúde, quando for devido; </w:t>
      </w:r>
    </w:p>
    <w:p w:rsidR="006C145C" w:rsidRDefault="00C62E5A">
      <w:pPr>
        <w:numPr>
          <w:ilvl w:val="3"/>
          <w:numId w:val="10"/>
        </w:numPr>
        <w:spacing w:after="0" w:line="270" w:lineRule="auto"/>
        <w:ind w:right="51" w:hanging="730"/>
        <w:jc w:val="both"/>
      </w:pPr>
      <w:r>
        <w:rPr>
          <w:noProof/>
        </w:rPr>
        <mc:AlternateContent>
          <mc:Choice Requires="wpg">
            <w:drawing>
              <wp:anchor distT="0" distB="0" distL="114300" distR="114300" simplePos="0" relativeHeight="251661312" behindDoc="1" locked="0" layoutInCell="1" allowOverlap="1">
                <wp:simplePos x="0" y="0"/>
                <wp:positionH relativeFrom="column">
                  <wp:posOffset>1080770</wp:posOffset>
                </wp:positionH>
                <wp:positionV relativeFrom="paragraph">
                  <wp:posOffset>-734773</wp:posOffset>
                </wp:positionV>
                <wp:extent cx="4681094" cy="1460374"/>
                <wp:effectExtent l="0" t="0" r="0" b="0"/>
                <wp:wrapNone/>
                <wp:docPr id="274099" name="Group 274099"/>
                <wp:cNvGraphicFramePr/>
                <a:graphic xmlns:a="http://schemas.openxmlformats.org/drawingml/2006/main">
                  <a:graphicData uri="http://schemas.microsoft.com/office/word/2010/wordprocessingGroup">
                    <wpg:wgp>
                      <wpg:cNvGrpSpPr/>
                      <wpg:grpSpPr>
                        <a:xfrm>
                          <a:off x="0" y="0"/>
                          <a:ext cx="4681094" cy="1460374"/>
                          <a:chOff x="0" y="0"/>
                          <a:chExt cx="4681094" cy="1460374"/>
                        </a:xfrm>
                      </wpg:grpSpPr>
                      <wps:wsp>
                        <wps:cNvPr id="311079" name="Shape 311079"/>
                        <wps:cNvSpPr/>
                        <wps:spPr>
                          <a:xfrm>
                            <a:off x="0" y="0"/>
                            <a:ext cx="4681094" cy="146304"/>
                          </a:xfrm>
                          <a:custGeom>
                            <a:avLst/>
                            <a:gdLst/>
                            <a:ahLst/>
                            <a:cxnLst/>
                            <a:rect l="0" t="0" r="0" b="0"/>
                            <a:pathLst>
                              <a:path w="4681094" h="146304">
                                <a:moveTo>
                                  <a:pt x="0" y="0"/>
                                </a:moveTo>
                                <a:lnTo>
                                  <a:pt x="4681094" y="0"/>
                                </a:lnTo>
                                <a:lnTo>
                                  <a:pt x="4681094" y="146304"/>
                                </a:lnTo>
                                <a:lnTo>
                                  <a:pt x="0" y="146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1080" name="Shape 311080"/>
                        <wps:cNvSpPr/>
                        <wps:spPr>
                          <a:xfrm>
                            <a:off x="457200" y="146304"/>
                            <a:ext cx="2138807" cy="146304"/>
                          </a:xfrm>
                          <a:custGeom>
                            <a:avLst/>
                            <a:gdLst/>
                            <a:ahLst/>
                            <a:cxnLst/>
                            <a:rect l="0" t="0" r="0" b="0"/>
                            <a:pathLst>
                              <a:path w="2138807" h="146304">
                                <a:moveTo>
                                  <a:pt x="0" y="0"/>
                                </a:moveTo>
                                <a:lnTo>
                                  <a:pt x="2138807" y="0"/>
                                </a:lnTo>
                                <a:lnTo>
                                  <a:pt x="2138807" y="146304"/>
                                </a:lnTo>
                                <a:lnTo>
                                  <a:pt x="0" y="146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1081" name="Shape 311081"/>
                        <wps:cNvSpPr/>
                        <wps:spPr>
                          <a:xfrm>
                            <a:off x="0" y="292608"/>
                            <a:ext cx="4681094" cy="146304"/>
                          </a:xfrm>
                          <a:custGeom>
                            <a:avLst/>
                            <a:gdLst/>
                            <a:ahLst/>
                            <a:cxnLst/>
                            <a:rect l="0" t="0" r="0" b="0"/>
                            <a:pathLst>
                              <a:path w="4681094" h="146304">
                                <a:moveTo>
                                  <a:pt x="0" y="0"/>
                                </a:moveTo>
                                <a:lnTo>
                                  <a:pt x="4681094" y="0"/>
                                </a:lnTo>
                                <a:lnTo>
                                  <a:pt x="4681094" y="146304"/>
                                </a:lnTo>
                                <a:lnTo>
                                  <a:pt x="0" y="146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1082" name="Shape 311082"/>
                        <wps:cNvSpPr/>
                        <wps:spPr>
                          <a:xfrm>
                            <a:off x="457200" y="438912"/>
                            <a:ext cx="4223894" cy="144780"/>
                          </a:xfrm>
                          <a:custGeom>
                            <a:avLst/>
                            <a:gdLst/>
                            <a:ahLst/>
                            <a:cxnLst/>
                            <a:rect l="0" t="0" r="0" b="0"/>
                            <a:pathLst>
                              <a:path w="4223894" h="144780">
                                <a:moveTo>
                                  <a:pt x="0" y="0"/>
                                </a:moveTo>
                                <a:lnTo>
                                  <a:pt x="4223894" y="0"/>
                                </a:lnTo>
                                <a:lnTo>
                                  <a:pt x="4223894" y="144780"/>
                                </a:lnTo>
                                <a:lnTo>
                                  <a:pt x="0" y="14478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1083" name="Shape 311083"/>
                        <wps:cNvSpPr/>
                        <wps:spPr>
                          <a:xfrm>
                            <a:off x="457200" y="583692"/>
                            <a:ext cx="1469390" cy="146304"/>
                          </a:xfrm>
                          <a:custGeom>
                            <a:avLst/>
                            <a:gdLst/>
                            <a:ahLst/>
                            <a:cxnLst/>
                            <a:rect l="0" t="0" r="0" b="0"/>
                            <a:pathLst>
                              <a:path w="1469390" h="146304">
                                <a:moveTo>
                                  <a:pt x="0" y="0"/>
                                </a:moveTo>
                                <a:lnTo>
                                  <a:pt x="1469390" y="0"/>
                                </a:lnTo>
                                <a:lnTo>
                                  <a:pt x="1469390" y="146304"/>
                                </a:lnTo>
                                <a:lnTo>
                                  <a:pt x="0" y="146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1084" name="Shape 311084"/>
                        <wps:cNvSpPr/>
                        <wps:spPr>
                          <a:xfrm>
                            <a:off x="0" y="730073"/>
                            <a:ext cx="4681094" cy="146609"/>
                          </a:xfrm>
                          <a:custGeom>
                            <a:avLst/>
                            <a:gdLst/>
                            <a:ahLst/>
                            <a:cxnLst/>
                            <a:rect l="0" t="0" r="0" b="0"/>
                            <a:pathLst>
                              <a:path w="4681094" h="146609">
                                <a:moveTo>
                                  <a:pt x="0" y="0"/>
                                </a:moveTo>
                                <a:lnTo>
                                  <a:pt x="4681094" y="0"/>
                                </a:lnTo>
                                <a:lnTo>
                                  <a:pt x="4681094" y="146609"/>
                                </a:lnTo>
                                <a:lnTo>
                                  <a:pt x="0" y="146609"/>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1085" name="Shape 311085"/>
                        <wps:cNvSpPr/>
                        <wps:spPr>
                          <a:xfrm>
                            <a:off x="457200" y="876681"/>
                            <a:ext cx="4223894" cy="146304"/>
                          </a:xfrm>
                          <a:custGeom>
                            <a:avLst/>
                            <a:gdLst/>
                            <a:ahLst/>
                            <a:cxnLst/>
                            <a:rect l="0" t="0" r="0" b="0"/>
                            <a:pathLst>
                              <a:path w="4223894" h="146304">
                                <a:moveTo>
                                  <a:pt x="0" y="0"/>
                                </a:moveTo>
                                <a:lnTo>
                                  <a:pt x="4223894" y="0"/>
                                </a:lnTo>
                                <a:lnTo>
                                  <a:pt x="4223894" y="146304"/>
                                </a:lnTo>
                                <a:lnTo>
                                  <a:pt x="0" y="146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1086" name="Shape 311086"/>
                        <wps:cNvSpPr/>
                        <wps:spPr>
                          <a:xfrm>
                            <a:off x="457200" y="1022985"/>
                            <a:ext cx="3042539" cy="146304"/>
                          </a:xfrm>
                          <a:custGeom>
                            <a:avLst/>
                            <a:gdLst/>
                            <a:ahLst/>
                            <a:cxnLst/>
                            <a:rect l="0" t="0" r="0" b="0"/>
                            <a:pathLst>
                              <a:path w="3042539" h="146304">
                                <a:moveTo>
                                  <a:pt x="0" y="0"/>
                                </a:moveTo>
                                <a:lnTo>
                                  <a:pt x="3042539" y="0"/>
                                </a:lnTo>
                                <a:lnTo>
                                  <a:pt x="3042539" y="146304"/>
                                </a:lnTo>
                                <a:lnTo>
                                  <a:pt x="0" y="146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1087" name="Shape 311087"/>
                        <wps:cNvSpPr/>
                        <wps:spPr>
                          <a:xfrm>
                            <a:off x="0" y="1169289"/>
                            <a:ext cx="4681094" cy="146304"/>
                          </a:xfrm>
                          <a:custGeom>
                            <a:avLst/>
                            <a:gdLst/>
                            <a:ahLst/>
                            <a:cxnLst/>
                            <a:rect l="0" t="0" r="0" b="0"/>
                            <a:pathLst>
                              <a:path w="4681094" h="146304">
                                <a:moveTo>
                                  <a:pt x="0" y="0"/>
                                </a:moveTo>
                                <a:lnTo>
                                  <a:pt x="4681094" y="0"/>
                                </a:lnTo>
                                <a:lnTo>
                                  <a:pt x="4681094" y="146304"/>
                                </a:lnTo>
                                <a:lnTo>
                                  <a:pt x="0" y="146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1088" name="Shape 311088"/>
                        <wps:cNvSpPr/>
                        <wps:spPr>
                          <a:xfrm>
                            <a:off x="457200" y="1315593"/>
                            <a:ext cx="3446653" cy="144780"/>
                          </a:xfrm>
                          <a:custGeom>
                            <a:avLst/>
                            <a:gdLst/>
                            <a:ahLst/>
                            <a:cxnLst/>
                            <a:rect l="0" t="0" r="0" b="0"/>
                            <a:pathLst>
                              <a:path w="3446653" h="144780">
                                <a:moveTo>
                                  <a:pt x="0" y="0"/>
                                </a:moveTo>
                                <a:lnTo>
                                  <a:pt x="3446653" y="0"/>
                                </a:lnTo>
                                <a:lnTo>
                                  <a:pt x="3446653" y="144780"/>
                                </a:lnTo>
                                <a:lnTo>
                                  <a:pt x="0" y="14478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74099" style="width:368.59pt;height:114.99pt;position:absolute;z-index:-2147483567;mso-position-horizontal-relative:text;mso-position-horizontal:absolute;margin-left:85.1pt;mso-position-vertical-relative:text;margin-top:-57.8562pt;" coordsize="46810,14603">
                <v:shape id="Shape 311089" style="position:absolute;width:46810;height:1463;left:0;top:0;" coordsize="4681094,146304" path="m0,0l4681094,0l4681094,146304l0,146304l0,0">
                  <v:stroke weight="0pt" endcap="flat" joinstyle="miter" miterlimit="10" on="false" color="#000000" opacity="0"/>
                  <v:fill on="true" color="#ffff00"/>
                </v:shape>
                <v:shape id="Shape 311090" style="position:absolute;width:21388;height:1463;left:4572;top:1463;" coordsize="2138807,146304" path="m0,0l2138807,0l2138807,146304l0,146304l0,0">
                  <v:stroke weight="0pt" endcap="flat" joinstyle="miter" miterlimit="10" on="false" color="#000000" opacity="0"/>
                  <v:fill on="true" color="#ffff00"/>
                </v:shape>
                <v:shape id="Shape 311091" style="position:absolute;width:46810;height:1463;left:0;top:2926;" coordsize="4681094,146304" path="m0,0l4681094,0l4681094,146304l0,146304l0,0">
                  <v:stroke weight="0pt" endcap="flat" joinstyle="miter" miterlimit="10" on="false" color="#000000" opacity="0"/>
                  <v:fill on="true" color="#ffff00"/>
                </v:shape>
                <v:shape id="Shape 311092" style="position:absolute;width:42238;height:1447;left:4572;top:4389;" coordsize="4223894,144780" path="m0,0l4223894,0l4223894,144780l0,144780l0,0">
                  <v:stroke weight="0pt" endcap="flat" joinstyle="miter" miterlimit="10" on="false" color="#000000" opacity="0"/>
                  <v:fill on="true" color="#ffff00"/>
                </v:shape>
                <v:shape id="Shape 311093" style="position:absolute;width:14693;height:1463;left:4572;top:5836;" coordsize="1469390,146304" path="m0,0l1469390,0l1469390,146304l0,146304l0,0">
                  <v:stroke weight="0pt" endcap="flat" joinstyle="miter" miterlimit="10" on="false" color="#000000" opacity="0"/>
                  <v:fill on="true" color="#ffff00"/>
                </v:shape>
                <v:shape id="Shape 311094" style="position:absolute;width:46810;height:1466;left:0;top:7300;" coordsize="4681094,146609" path="m0,0l4681094,0l4681094,146609l0,146609l0,0">
                  <v:stroke weight="0pt" endcap="flat" joinstyle="miter" miterlimit="10" on="false" color="#000000" opacity="0"/>
                  <v:fill on="true" color="#ffff00"/>
                </v:shape>
                <v:shape id="Shape 311095" style="position:absolute;width:42238;height:1463;left:4572;top:8766;" coordsize="4223894,146304" path="m0,0l4223894,0l4223894,146304l0,146304l0,0">
                  <v:stroke weight="0pt" endcap="flat" joinstyle="miter" miterlimit="10" on="false" color="#000000" opacity="0"/>
                  <v:fill on="true" color="#ffff00"/>
                </v:shape>
                <v:shape id="Shape 311096" style="position:absolute;width:30425;height:1463;left:4572;top:10229;" coordsize="3042539,146304" path="m0,0l3042539,0l3042539,146304l0,146304l0,0">
                  <v:stroke weight="0pt" endcap="flat" joinstyle="miter" miterlimit="10" on="false" color="#000000" opacity="0"/>
                  <v:fill on="true" color="#ffff00"/>
                </v:shape>
                <v:shape id="Shape 311097" style="position:absolute;width:46810;height:1463;left:0;top:11692;" coordsize="4681094,146304" path="m0,0l4681094,0l4681094,146304l0,146304l0,0">
                  <v:stroke weight="0pt" endcap="flat" joinstyle="miter" miterlimit="10" on="false" color="#000000" opacity="0"/>
                  <v:fill on="true" color="#ffff00"/>
                </v:shape>
                <v:shape id="Shape 311098" style="position:absolute;width:34466;height:1447;left:4572;top:13155;" coordsize="3446653,144780" path="m0,0l3446653,0l3446653,144780l0,144780l0,0">
                  <v:stroke weight="0pt" endcap="flat" joinstyle="miter" miterlimit="10" on="false" color="#000000" opacity="0"/>
                  <v:fill on="true" color="#ffff00"/>
                </v:shape>
              </v:group>
            </w:pict>
          </mc:Fallback>
        </mc:AlternateContent>
      </w:r>
      <w:r>
        <w:rPr>
          <w:rFonts w:ascii="Arial" w:eastAsia="Arial" w:hAnsi="Arial" w:cs="Arial"/>
          <w:sz w:val="20"/>
        </w:rPr>
        <w:t xml:space="preserve">O recolhimento das contribuições previdenciárias e do FGTS dos empregados que efetivamente participem da execução dos serviços contratados, a fim de verificar qualquer irregularidade;  </w:t>
      </w:r>
    </w:p>
    <w:p w:rsidR="006C145C" w:rsidRDefault="00C62E5A">
      <w:pPr>
        <w:numPr>
          <w:ilvl w:val="3"/>
          <w:numId w:val="10"/>
        </w:numPr>
        <w:spacing w:after="0" w:line="270" w:lineRule="auto"/>
        <w:ind w:right="51" w:hanging="730"/>
        <w:jc w:val="both"/>
      </w:pPr>
      <w:r>
        <w:rPr>
          <w:rFonts w:ascii="Arial" w:eastAsia="Arial" w:hAnsi="Arial" w:cs="Arial"/>
          <w:sz w:val="20"/>
        </w:rPr>
        <w:t xml:space="preserve">O </w:t>
      </w:r>
      <w:r>
        <w:rPr>
          <w:rFonts w:ascii="Arial" w:eastAsia="Arial" w:hAnsi="Arial" w:cs="Arial"/>
          <w:sz w:val="20"/>
        </w:rPr>
        <w:t xml:space="preserve">pagamento de obrigações trabalhistas e previdenciárias dos empregados dispensados até a data da extinção do contrato.  </w:t>
      </w:r>
    </w:p>
    <w:p w:rsidR="006C145C" w:rsidRDefault="00C62E5A">
      <w:pPr>
        <w:spacing w:after="103"/>
        <w:ind w:left="1853"/>
      </w:pPr>
      <w:r>
        <w:rPr>
          <w:rFonts w:ascii="Arial" w:eastAsia="Arial" w:hAnsi="Arial" w:cs="Arial"/>
          <w:color w:val="FF0000"/>
          <w:sz w:val="20"/>
        </w:rPr>
        <w:t xml:space="preserve"> </w:t>
      </w:r>
    </w:p>
    <w:p w:rsidR="006C145C" w:rsidRDefault="00C62E5A">
      <w:pPr>
        <w:numPr>
          <w:ilvl w:val="2"/>
          <w:numId w:val="10"/>
        </w:numPr>
        <w:spacing w:after="130" w:line="269" w:lineRule="auto"/>
        <w:ind w:right="51" w:hanging="720"/>
        <w:jc w:val="both"/>
      </w:pPr>
      <w:r>
        <w:rPr>
          <w:rFonts w:ascii="Arial" w:eastAsia="Arial" w:hAnsi="Arial" w:cs="Arial"/>
          <w:sz w:val="20"/>
          <w:shd w:val="clear" w:color="auto" w:fill="FFFF00"/>
        </w:rPr>
        <w:t>Assegurar que o ambiente de trabalho, inclusive seus equipamentos e instalações,</w:t>
      </w:r>
      <w:r>
        <w:rPr>
          <w:rFonts w:ascii="Arial" w:eastAsia="Arial" w:hAnsi="Arial" w:cs="Arial"/>
          <w:sz w:val="20"/>
        </w:rPr>
        <w:t xml:space="preserve"> </w:t>
      </w:r>
      <w:r>
        <w:rPr>
          <w:rFonts w:ascii="Arial" w:eastAsia="Arial" w:hAnsi="Arial" w:cs="Arial"/>
          <w:sz w:val="20"/>
          <w:shd w:val="clear" w:color="auto" w:fill="FFFF00"/>
        </w:rPr>
        <w:t>apresentem condições adequadas ao cumprimento, pela c</w:t>
      </w:r>
      <w:r>
        <w:rPr>
          <w:rFonts w:ascii="Arial" w:eastAsia="Arial" w:hAnsi="Arial" w:cs="Arial"/>
          <w:sz w:val="20"/>
          <w:shd w:val="clear" w:color="auto" w:fill="FFFF00"/>
        </w:rPr>
        <w:t>ontratada, das normas de</w:t>
      </w:r>
      <w:r>
        <w:rPr>
          <w:rFonts w:ascii="Arial" w:eastAsia="Arial" w:hAnsi="Arial" w:cs="Arial"/>
          <w:sz w:val="20"/>
        </w:rPr>
        <w:t xml:space="preserve"> </w:t>
      </w:r>
      <w:r>
        <w:rPr>
          <w:rFonts w:ascii="Arial" w:eastAsia="Arial" w:hAnsi="Arial" w:cs="Arial"/>
          <w:sz w:val="20"/>
          <w:shd w:val="clear" w:color="auto" w:fill="FFFF00"/>
        </w:rPr>
        <w:t>segurança e saúde no trabalho, quando o serviço for executado em suas dependências,</w:t>
      </w:r>
      <w:r>
        <w:rPr>
          <w:rFonts w:ascii="Arial" w:eastAsia="Arial" w:hAnsi="Arial" w:cs="Arial"/>
          <w:sz w:val="20"/>
        </w:rPr>
        <w:t xml:space="preserve"> </w:t>
      </w:r>
      <w:r>
        <w:rPr>
          <w:rFonts w:ascii="Arial" w:eastAsia="Arial" w:hAnsi="Arial" w:cs="Arial"/>
          <w:sz w:val="20"/>
          <w:shd w:val="clear" w:color="auto" w:fill="FFFF00"/>
        </w:rPr>
        <w:t>ou em local por ela designado.</w:t>
      </w:r>
      <w:r>
        <w:rPr>
          <w:rFonts w:ascii="Arial" w:eastAsia="Arial" w:hAnsi="Arial" w:cs="Arial"/>
          <w:sz w:val="20"/>
        </w:rPr>
        <w:t xml:space="preserve"> </w:t>
      </w:r>
    </w:p>
    <w:p w:rsidR="006C145C" w:rsidRDefault="00C62E5A">
      <w:pPr>
        <w:spacing w:after="0"/>
        <w:ind w:left="785"/>
      </w:pPr>
      <w:r>
        <w:rPr>
          <w:rFonts w:ascii="Arial" w:eastAsia="Arial" w:hAnsi="Arial" w:cs="Arial"/>
          <w:sz w:val="20"/>
        </w:rPr>
        <w:t xml:space="preserve"> </w:t>
      </w:r>
    </w:p>
    <w:tbl>
      <w:tblPr>
        <w:tblStyle w:val="TableGrid"/>
        <w:tblW w:w="9285" w:type="dxa"/>
        <w:tblInd w:w="-100" w:type="dxa"/>
        <w:tblCellMar>
          <w:top w:w="13" w:type="dxa"/>
          <w:left w:w="0" w:type="dxa"/>
          <w:bottom w:w="0" w:type="dxa"/>
          <w:right w:w="0" w:type="dxa"/>
        </w:tblCellMar>
        <w:tblLook w:val="04A0" w:firstRow="1" w:lastRow="0" w:firstColumn="1" w:lastColumn="0" w:noHBand="0" w:noVBand="1"/>
      </w:tblPr>
      <w:tblGrid>
        <w:gridCol w:w="10"/>
        <w:gridCol w:w="4824"/>
        <w:gridCol w:w="4498"/>
        <w:gridCol w:w="59"/>
      </w:tblGrid>
      <w:tr w:rsidR="006C145C">
        <w:trPr>
          <w:trHeight w:val="263"/>
        </w:trPr>
        <w:tc>
          <w:tcPr>
            <w:tcW w:w="100" w:type="dxa"/>
            <w:vMerge w:val="restart"/>
            <w:tcBorders>
              <w:top w:val="single" w:sz="4" w:space="0" w:color="000000"/>
              <w:left w:val="single" w:sz="4" w:space="0" w:color="000000"/>
              <w:bottom w:val="single" w:sz="4" w:space="0" w:color="000000"/>
              <w:right w:val="nil"/>
            </w:tcBorders>
            <w:shd w:val="clear" w:color="auto" w:fill="FFFFCC"/>
          </w:tcPr>
          <w:p w:rsidR="006C145C" w:rsidRDefault="006C145C"/>
        </w:tc>
        <w:tc>
          <w:tcPr>
            <w:tcW w:w="9074" w:type="dxa"/>
            <w:gridSpan w:val="2"/>
            <w:tcBorders>
              <w:top w:val="single" w:sz="4" w:space="0" w:color="000000"/>
              <w:left w:val="nil"/>
              <w:bottom w:val="nil"/>
              <w:right w:val="nil"/>
            </w:tcBorders>
            <w:shd w:val="clear" w:color="auto" w:fill="FFFFCC"/>
          </w:tcPr>
          <w:p w:rsidR="006C145C" w:rsidRDefault="006C145C">
            <w:pPr>
              <w:spacing w:after="0"/>
              <w:ind w:left="-1133" w:right="10207"/>
            </w:pPr>
          </w:p>
          <w:tbl>
            <w:tblPr>
              <w:tblStyle w:val="TableGrid"/>
              <w:tblW w:w="9074" w:type="dxa"/>
              <w:tblInd w:w="0" w:type="dxa"/>
              <w:tblCellMar>
                <w:top w:w="7" w:type="dxa"/>
                <w:left w:w="0" w:type="dxa"/>
                <w:bottom w:w="0" w:type="dxa"/>
                <w:right w:w="13" w:type="dxa"/>
              </w:tblCellMar>
              <w:tblLook w:val="04A0" w:firstRow="1" w:lastRow="0" w:firstColumn="1" w:lastColumn="0" w:noHBand="0" w:noVBand="1"/>
            </w:tblPr>
            <w:tblGrid>
              <w:gridCol w:w="9074"/>
            </w:tblGrid>
            <w:tr w:rsidR="006C145C">
              <w:trPr>
                <w:trHeight w:val="233"/>
              </w:trPr>
              <w:tc>
                <w:tcPr>
                  <w:tcW w:w="9074" w:type="dxa"/>
                  <w:tcBorders>
                    <w:top w:val="nil"/>
                    <w:left w:val="nil"/>
                    <w:bottom w:val="nil"/>
                    <w:right w:val="nil"/>
                  </w:tcBorders>
                  <w:shd w:val="clear" w:color="auto" w:fill="FFFF00"/>
                </w:tcPr>
                <w:p w:rsidR="006C145C" w:rsidRDefault="00C62E5A">
                  <w:pPr>
                    <w:spacing w:after="0"/>
                    <w:jc w:val="both"/>
                  </w:pPr>
                  <w:r>
                    <w:rPr>
                      <w:rFonts w:ascii="Arial" w:eastAsia="Arial" w:hAnsi="Arial" w:cs="Arial"/>
                      <w:i/>
                      <w:sz w:val="20"/>
                    </w:rPr>
                    <w:t>Nota Explicativa: As obrigações da Contratante e Contratada são as estabelecidas no Termo de</w:t>
                  </w:r>
                </w:p>
              </w:tc>
            </w:tr>
          </w:tbl>
          <w:p w:rsidR="006C145C" w:rsidRDefault="006C145C"/>
        </w:tc>
        <w:tc>
          <w:tcPr>
            <w:tcW w:w="112" w:type="dxa"/>
            <w:vMerge w:val="restart"/>
            <w:tcBorders>
              <w:top w:val="single" w:sz="4" w:space="0" w:color="000000"/>
              <w:left w:val="nil"/>
              <w:bottom w:val="single" w:sz="4" w:space="0" w:color="000000"/>
              <w:right w:val="single" w:sz="4" w:space="0" w:color="000000"/>
            </w:tcBorders>
            <w:shd w:val="clear" w:color="auto" w:fill="FFFFCC"/>
          </w:tcPr>
          <w:p w:rsidR="006C145C" w:rsidRDefault="00C62E5A">
            <w:pPr>
              <w:spacing w:after="17"/>
              <w:ind w:left="-11"/>
            </w:pPr>
            <w:r>
              <w:rPr>
                <w:rFonts w:ascii="Arial" w:eastAsia="Arial" w:hAnsi="Arial" w:cs="Arial"/>
                <w:i/>
                <w:sz w:val="20"/>
              </w:rPr>
              <w:t xml:space="preserve"> </w:t>
            </w:r>
          </w:p>
          <w:p w:rsidR="006C145C" w:rsidRDefault="00C62E5A">
            <w:pPr>
              <w:spacing w:after="2" w:line="277" w:lineRule="auto"/>
              <w:ind w:left="-12" w:right="57"/>
              <w:jc w:val="both"/>
            </w:pPr>
            <w:r>
              <w:rPr>
                <w:rFonts w:ascii="Arial" w:eastAsia="Arial" w:hAnsi="Arial" w:cs="Arial"/>
                <w:i/>
                <w:sz w:val="20"/>
              </w:rPr>
              <w:t xml:space="preserve">   </w:t>
            </w:r>
          </w:p>
          <w:p w:rsidR="006C145C" w:rsidRDefault="00C62E5A">
            <w:pPr>
              <w:spacing w:after="0"/>
              <w:ind w:left="-4" w:right="59"/>
              <w:jc w:val="both"/>
            </w:pPr>
            <w:r>
              <w:rPr>
                <w:rFonts w:ascii="Arial" w:eastAsia="Arial" w:hAnsi="Arial" w:cs="Arial"/>
                <w:i/>
                <w:sz w:val="20"/>
              </w:rPr>
              <w:t xml:space="preserve"> </w:t>
            </w:r>
            <w:r>
              <w:rPr>
                <w:rFonts w:ascii="Arial" w:eastAsia="Arial" w:hAnsi="Arial" w:cs="Arial"/>
                <w:sz w:val="20"/>
              </w:rPr>
              <w:t xml:space="preserve"> </w:t>
            </w:r>
          </w:p>
        </w:tc>
      </w:tr>
      <w:tr w:rsidR="006C145C">
        <w:trPr>
          <w:trHeight w:val="264"/>
        </w:trPr>
        <w:tc>
          <w:tcPr>
            <w:tcW w:w="0" w:type="auto"/>
            <w:vMerge/>
            <w:tcBorders>
              <w:top w:val="nil"/>
              <w:left w:val="single" w:sz="4" w:space="0" w:color="000000"/>
              <w:bottom w:val="nil"/>
              <w:right w:val="nil"/>
            </w:tcBorders>
          </w:tcPr>
          <w:p w:rsidR="006C145C" w:rsidRDefault="006C145C"/>
        </w:tc>
        <w:tc>
          <w:tcPr>
            <w:tcW w:w="9074" w:type="dxa"/>
            <w:gridSpan w:val="2"/>
            <w:tcBorders>
              <w:top w:val="nil"/>
              <w:left w:val="nil"/>
              <w:bottom w:val="nil"/>
              <w:right w:val="nil"/>
            </w:tcBorders>
            <w:shd w:val="clear" w:color="auto" w:fill="FFFFCC"/>
          </w:tcPr>
          <w:p w:rsidR="006C145C" w:rsidRDefault="006C145C">
            <w:pPr>
              <w:spacing w:after="0"/>
              <w:ind w:left="-1133" w:right="10207"/>
            </w:pPr>
          </w:p>
          <w:tbl>
            <w:tblPr>
              <w:tblStyle w:val="TableGrid"/>
              <w:tblW w:w="9074" w:type="dxa"/>
              <w:tblInd w:w="0" w:type="dxa"/>
              <w:tblCellMar>
                <w:top w:w="5" w:type="dxa"/>
                <w:left w:w="0" w:type="dxa"/>
                <w:bottom w:w="0" w:type="dxa"/>
                <w:right w:w="3" w:type="dxa"/>
              </w:tblCellMar>
              <w:tblLook w:val="04A0" w:firstRow="1" w:lastRow="0" w:firstColumn="1" w:lastColumn="0" w:noHBand="0" w:noVBand="1"/>
            </w:tblPr>
            <w:tblGrid>
              <w:gridCol w:w="9074"/>
            </w:tblGrid>
            <w:tr w:rsidR="006C145C">
              <w:trPr>
                <w:trHeight w:val="231"/>
              </w:trPr>
              <w:tc>
                <w:tcPr>
                  <w:tcW w:w="9074" w:type="dxa"/>
                  <w:tcBorders>
                    <w:top w:val="nil"/>
                    <w:left w:val="nil"/>
                    <w:bottom w:val="nil"/>
                    <w:right w:val="nil"/>
                  </w:tcBorders>
                  <w:shd w:val="clear" w:color="auto" w:fill="FFFF00"/>
                </w:tcPr>
                <w:p w:rsidR="006C145C" w:rsidRDefault="00C62E5A">
                  <w:pPr>
                    <w:spacing w:after="0"/>
                    <w:jc w:val="both"/>
                  </w:pPr>
                  <w:r>
                    <w:rPr>
                      <w:rFonts w:ascii="Arial" w:eastAsia="Arial" w:hAnsi="Arial" w:cs="Arial"/>
                      <w:i/>
                      <w:sz w:val="20"/>
                    </w:rPr>
                    <w:t>Referência, contudo, por força de Ação Civil Pública intentada pelo Ministério Público do Trabalho</w:t>
                  </w:r>
                </w:p>
              </w:tc>
            </w:tr>
          </w:tbl>
          <w:p w:rsidR="006C145C" w:rsidRDefault="006C145C"/>
        </w:tc>
        <w:tc>
          <w:tcPr>
            <w:tcW w:w="0" w:type="auto"/>
            <w:vMerge/>
            <w:tcBorders>
              <w:top w:val="nil"/>
              <w:left w:val="nil"/>
              <w:bottom w:val="nil"/>
              <w:right w:val="single" w:sz="4" w:space="0" w:color="000000"/>
            </w:tcBorders>
          </w:tcPr>
          <w:p w:rsidR="006C145C" w:rsidRDefault="006C145C"/>
        </w:tc>
      </w:tr>
      <w:tr w:rsidR="006C145C">
        <w:trPr>
          <w:trHeight w:val="264"/>
        </w:trPr>
        <w:tc>
          <w:tcPr>
            <w:tcW w:w="0" w:type="auto"/>
            <w:vMerge/>
            <w:tcBorders>
              <w:top w:val="nil"/>
              <w:left w:val="single" w:sz="4" w:space="0" w:color="000000"/>
              <w:bottom w:val="nil"/>
              <w:right w:val="nil"/>
            </w:tcBorders>
          </w:tcPr>
          <w:p w:rsidR="006C145C" w:rsidRDefault="006C145C"/>
        </w:tc>
        <w:tc>
          <w:tcPr>
            <w:tcW w:w="9074" w:type="dxa"/>
            <w:gridSpan w:val="2"/>
            <w:tcBorders>
              <w:top w:val="nil"/>
              <w:left w:val="nil"/>
              <w:bottom w:val="nil"/>
              <w:right w:val="nil"/>
            </w:tcBorders>
            <w:shd w:val="clear" w:color="auto" w:fill="FFFFCC"/>
          </w:tcPr>
          <w:p w:rsidR="006C145C" w:rsidRDefault="006C145C">
            <w:pPr>
              <w:spacing w:after="0"/>
              <w:ind w:left="-1133" w:right="10207"/>
            </w:pPr>
          </w:p>
          <w:tbl>
            <w:tblPr>
              <w:tblStyle w:val="TableGrid"/>
              <w:tblW w:w="9074" w:type="dxa"/>
              <w:tblInd w:w="0" w:type="dxa"/>
              <w:tblCellMar>
                <w:top w:w="5" w:type="dxa"/>
                <w:left w:w="0" w:type="dxa"/>
                <w:bottom w:w="0" w:type="dxa"/>
                <w:right w:w="3" w:type="dxa"/>
              </w:tblCellMar>
              <w:tblLook w:val="04A0" w:firstRow="1" w:lastRow="0" w:firstColumn="1" w:lastColumn="0" w:noHBand="0" w:noVBand="1"/>
            </w:tblPr>
            <w:tblGrid>
              <w:gridCol w:w="9074"/>
            </w:tblGrid>
            <w:tr w:rsidR="006C145C">
              <w:trPr>
                <w:trHeight w:val="230"/>
              </w:trPr>
              <w:tc>
                <w:tcPr>
                  <w:tcW w:w="9074" w:type="dxa"/>
                  <w:tcBorders>
                    <w:top w:val="nil"/>
                    <w:left w:val="nil"/>
                    <w:bottom w:val="nil"/>
                    <w:right w:val="nil"/>
                  </w:tcBorders>
                  <w:shd w:val="clear" w:color="auto" w:fill="FFFF00"/>
                </w:tcPr>
                <w:p w:rsidR="006C145C" w:rsidRDefault="00C62E5A">
                  <w:pPr>
                    <w:spacing w:after="0"/>
                    <w:jc w:val="both"/>
                  </w:pPr>
                  <w:r>
                    <w:rPr>
                      <w:rFonts w:ascii="Arial" w:eastAsia="Arial" w:hAnsi="Arial" w:cs="Arial"/>
                      <w:i/>
                      <w:sz w:val="20"/>
                    </w:rPr>
                    <w:t>contra o DNIT - Departamento Nacional de Infraestrutura de Transportes, na qual pleiteou-se que o</w:t>
                  </w:r>
                </w:p>
              </w:tc>
            </w:tr>
          </w:tbl>
          <w:p w:rsidR="006C145C" w:rsidRDefault="006C145C"/>
        </w:tc>
        <w:tc>
          <w:tcPr>
            <w:tcW w:w="0" w:type="auto"/>
            <w:vMerge/>
            <w:tcBorders>
              <w:top w:val="nil"/>
              <w:left w:val="nil"/>
              <w:bottom w:val="nil"/>
              <w:right w:val="single" w:sz="4" w:space="0" w:color="000000"/>
            </w:tcBorders>
          </w:tcPr>
          <w:p w:rsidR="006C145C" w:rsidRDefault="006C145C"/>
        </w:tc>
      </w:tr>
      <w:tr w:rsidR="006C145C">
        <w:trPr>
          <w:trHeight w:val="266"/>
        </w:trPr>
        <w:tc>
          <w:tcPr>
            <w:tcW w:w="0" w:type="auto"/>
            <w:vMerge/>
            <w:tcBorders>
              <w:top w:val="nil"/>
              <w:left w:val="single" w:sz="4" w:space="0" w:color="000000"/>
              <w:bottom w:val="nil"/>
              <w:right w:val="nil"/>
            </w:tcBorders>
          </w:tcPr>
          <w:p w:rsidR="006C145C" w:rsidRDefault="006C145C"/>
        </w:tc>
        <w:tc>
          <w:tcPr>
            <w:tcW w:w="9074" w:type="dxa"/>
            <w:gridSpan w:val="2"/>
            <w:tcBorders>
              <w:top w:val="nil"/>
              <w:left w:val="nil"/>
              <w:bottom w:val="nil"/>
              <w:right w:val="nil"/>
            </w:tcBorders>
            <w:shd w:val="clear" w:color="auto" w:fill="FFFFCC"/>
          </w:tcPr>
          <w:p w:rsidR="006C145C" w:rsidRDefault="006C145C">
            <w:pPr>
              <w:spacing w:after="0"/>
              <w:ind w:left="-1133" w:right="10207"/>
            </w:pPr>
          </w:p>
          <w:tbl>
            <w:tblPr>
              <w:tblStyle w:val="TableGrid"/>
              <w:tblW w:w="9074" w:type="dxa"/>
              <w:tblInd w:w="0" w:type="dxa"/>
              <w:tblCellMar>
                <w:top w:w="5" w:type="dxa"/>
                <w:left w:w="0" w:type="dxa"/>
                <w:bottom w:w="0" w:type="dxa"/>
                <w:right w:w="13" w:type="dxa"/>
              </w:tblCellMar>
              <w:tblLook w:val="04A0" w:firstRow="1" w:lastRow="0" w:firstColumn="1" w:lastColumn="0" w:noHBand="0" w:noVBand="1"/>
            </w:tblPr>
            <w:tblGrid>
              <w:gridCol w:w="9074"/>
            </w:tblGrid>
            <w:tr w:rsidR="006C145C">
              <w:trPr>
                <w:trHeight w:val="233"/>
              </w:trPr>
              <w:tc>
                <w:tcPr>
                  <w:tcW w:w="9074" w:type="dxa"/>
                  <w:tcBorders>
                    <w:top w:val="nil"/>
                    <w:left w:val="nil"/>
                    <w:bottom w:val="nil"/>
                    <w:right w:val="nil"/>
                  </w:tcBorders>
                  <w:shd w:val="clear" w:color="auto" w:fill="FFFF00"/>
                </w:tcPr>
                <w:p w:rsidR="006C145C" w:rsidRDefault="00C62E5A">
                  <w:pPr>
                    <w:spacing w:after="0"/>
                    <w:jc w:val="both"/>
                  </w:pPr>
                  <w:r>
                    <w:rPr>
                      <w:rFonts w:ascii="Arial" w:eastAsia="Arial" w:hAnsi="Arial" w:cs="Arial"/>
                      <w:i/>
                      <w:sz w:val="20"/>
                    </w:rPr>
                    <w:t>DNIT observasse, em seus editais de contratações relacionadas a obras públicas e à execução ou</w:t>
                  </w:r>
                </w:p>
              </w:tc>
            </w:tr>
          </w:tbl>
          <w:p w:rsidR="006C145C" w:rsidRDefault="006C145C"/>
        </w:tc>
        <w:tc>
          <w:tcPr>
            <w:tcW w:w="0" w:type="auto"/>
            <w:vMerge/>
            <w:tcBorders>
              <w:top w:val="nil"/>
              <w:left w:val="nil"/>
              <w:bottom w:val="nil"/>
              <w:right w:val="single" w:sz="4" w:space="0" w:color="000000"/>
            </w:tcBorders>
          </w:tcPr>
          <w:p w:rsidR="006C145C" w:rsidRDefault="006C145C"/>
        </w:tc>
      </w:tr>
      <w:tr w:rsidR="006C145C">
        <w:trPr>
          <w:trHeight w:val="264"/>
        </w:trPr>
        <w:tc>
          <w:tcPr>
            <w:tcW w:w="0" w:type="auto"/>
            <w:vMerge/>
            <w:tcBorders>
              <w:top w:val="nil"/>
              <w:left w:val="single" w:sz="4" w:space="0" w:color="000000"/>
              <w:bottom w:val="nil"/>
              <w:right w:val="nil"/>
            </w:tcBorders>
          </w:tcPr>
          <w:p w:rsidR="006C145C" w:rsidRDefault="006C145C"/>
        </w:tc>
        <w:tc>
          <w:tcPr>
            <w:tcW w:w="9074" w:type="dxa"/>
            <w:gridSpan w:val="2"/>
            <w:tcBorders>
              <w:top w:val="nil"/>
              <w:left w:val="nil"/>
              <w:bottom w:val="nil"/>
              <w:right w:val="nil"/>
            </w:tcBorders>
            <w:shd w:val="clear" w:color="auto" w:fill="FFFFCC"/>
          </w:tcPr>
          <w:p w:rsidR="006C145C" w:rsidRDefault="006C145C">
            <w:pPr>
              <w:spacing w:after="0"/>
              <w:ind w:left="-1133" w:right="10207"/>
            </w:pPr>
          </w:p>
          <w:tbl>
            <w:tblPr>
              <w:tblStyle w:val="TableGrid"/>
              <w:tblW w:w="9074" w:type="dxa"/>
              <w:tblInd w:w="0" w:type="dxa"/>
              <w:tblCellMar>
                <w:top w:w="5" w:type="dxa"/>
                <w:left w:w="0" w:type="dxa"/>
                <w:bottom w:w="0" w:type="dxa"/>
                <w:right w:w="3" w:type="dxa"/>
              </w:tblCellMar>
              <w:tblLook w:val="04A0" w:firstRow="1" w:lastRow="0" w:firstColumn="1" w:lastColumn="0" w:noHBand="0" w:noVBand="1"/>
            </w:tblPr>
            <w:tblGrid>
              <w:gridCol w:w="9074"/>
            </w:tblGrid>
            <w:tr w:rsidR="006C145C">
              <w:trPr>
                <w:trHeight w:val="230"/>
              </w:trPr>
              <w:tc>
                <w:tcPr>
                  <w:tcW w:w="9074" w:type="dxa"/>
                  <w:tcBorders>
                    <w:top w:val="nil"/>
                    <w:left w:val="nil"/>
                    <w:bottom w:val="nil"/>
                    <w:right w:val="nil"/>
                  </w:tcBorders>
                  <w:shd w:val="clear" w:color="auto" w:fill="FFFF00"/>
                </w:tcPr>
                <w:p w:rsidR="006C145C" w:rsidRDefault="00C62E5A">
                  <w:pPr>
                    <w:spacing w:after="0"/>
                    <w:jc w:val="both"/>
                  </w:pPr>
                  <w:r>
                    <w:rPr>
                      <w:rFonts w:ascii="Arial" w:eastAsia="Arial" w:hAnsi="Arial" w:cs="Arial"/>
                      <w:i/>
                      <w:sz w:val="20"/>
                    </w:rPr>
                    <w:t>fornecimento de serviços, o contido na Convenção nº 94 da OIT, bem como em atendimento a Instrução</w:t>
                  </w:r>
                </w:p>
              </w:tc>
            </w:tr>
          </w:tbl>
          <w:p w:rsidR="006C145C" w:rsidRDefault="006C145C"/>
        </w:tc>
        <w:tc>
          <w:tcPr>
            <w:tcW w:w="0" w:type="auto"/>
            <w:vMerge/>
            <w:tcBorders>
              <w:top w:val="nil"/>
              <w:left w:val="nil"/>
              <w:bottom w:val="nil"/>
              <w:right w:val="single" w:sz="4" w:space="0" w:color="000000"/>
            </w:tcBorders>
          </w:tcPr>
          <w:p w:rsidR="006C145C" w:rsidRDefault="006C145C"/>
        </w:tc>
      </w:tr>
      <w:tr w:rsidR="006C145C">
        <w:trPr>
          <w:trHeight w:val="264"/>
        </w:trPr>
        <w:tc>
          <w:tcPr>
            <w:tcW w:w="0" w:type="auto"/>
            <w:vMerge/>
            <w:tcBorders>
              <w:top w:val="nil"/>
              <w:left w:val="single" w:sz="4" w:space="0" w:color="000000"/>
              <w:bottom w:val="nil"/>
              <w:right w:val="nil"/>
            </w:tcBorders>
          </w:tcPr>
          <w:p w:rsidR="006C145C" w:rsidRDefault="006C145C"/>
        </w:tc>
        <w:tc>
          <w:tcPr>
            <w:tcW w:w="9074" w:type="dxa"/>
            <w:gridSpan w:val="2"/>
            <w:tcBorders>
              <w:top w:val="nil"/>
              <w:left w:val="nil"/>
              <w:bottom w:val="nil"/>
              <w:right w:val="nil"/>
            </w:tcBorders>
            <w:shd w:val="clear" w:color="auto" w:fill="FFFFCC"/>
          </w:tcPr>
          <w:p w:rsidR="006C145C" w:rsidRDefault="006C145C">
            <w:pPr>
              <w:spacing w:after="0"/>
              <w:ind w:left="-1133" w:right="10207"/>
            </w:pPr>
          </w:p>
          <w:tbl>
            <w:tblPr>
              <w:tblStyle w:val="TableGrid"/>
              <w:tblW w:w="9074" w:type="dxa"/>
              <w:tblInd w:w="0" w:type="dxa"/>
              <w:tblCellMar>
                <w:top w:w="5" w:type="dxa"/>
                <w:left w:w="0" w:type="dxa"/>
                <w:bottom w:w="0" w:type="dxa"/>
                <w:right w:w="8" w:type="dxa"/>
              </w:tblCellMar>
              <w:tblLook w:val="04A0" w:firstRow="1" w:lastRow="0" w:firstColumn="1" w:lastColumn="0" w:noHBand="0" w:noVBand="1"/>
            </w:tblPr>
            <w:tblGrid>
              <w:gridCol w:w="9074"/>
            </w:tblGrid>
            <w:tr w:rsidR="006C145C">
              <w:trPr>
                <w:trHeight w:val="230"/>
              </w:trPr>
              <w:tc>
                <w:tcPr>
                  <w:tcW w:w="9074" w:type="dxa"/>
                  <w:tcBorders>
                    <w:top w:val="nil"/>
                    <w:left w:val="nil"/>
                    <w:bottom w:val="nil"/>
                    <w:right w:val="nil"/>
                  </w:tcBorders>
                  <w:shd w:val="clear" w:color="auto" w:fill="FFFF00"/>
                </w:tcPr>
                <w:p w:rsidR="006C145C" w:rsidRDefault="00C62E5A">
                  <w:pPr>
                    <w:spacing w:after="0"/>
                    <w:jc w:val="both"/>
                  </w:pPr>
                  <w:r>
                    <w:rPr>
                      <w:rFonts w:ascii="Arial" w:eastAsia="Arial" w:hAnsi="Arial" w:cs="Arial"/>
                      <w:i/>
                      <w:sz w:val="20"/>
                    </w:rPr>
                    <w:t>Normativa nº 6, de 6 de julho de 2018, as cláusulas</w:t>
                  </w:r>
                  <w:r>
                    <w:rPr>
                      <w:rFonts w:ascii="Arial" w:eastAsia="Arial" w:hAnsi="Arial" w:cs="Arial"/>
                      <w:sz w:val="20"/>
                    </w:rPr>
                    <w:t xml:space="preserve"> acima deverão estar expressamente previstas no</w:t>
                  </w:r>
                </w:p>
              </w:tc>
            </w:tr>
          </w:tbl>
          <w:p w:rsidR="006C145C" w:rsidRDefault="006C145C"/>
        </w:tc>
        <w:tc>
          <w:tcPr>
            <w:tcW w:w="0" w:type="auto"/>
            <w:vMerge/>
            <w:tcBorders>
              <w:top w:val="nil"/>
              <w:left w:val="nil"/>
              <w:bottom w:val="nil"/>
              <w:right w:val="single" w:sz="4" w:space="0" w:color="000000"/>
            </w:tcBorders>
          </w:tcPr>
          <w:p w:rsidR="006C145C" w:rsidRDefault="006C145C"/>
        </w:tc>
      </w:tr>
      <w:tr w:rsidR="006C145C">
        <w:trPr>
          <w:trHeight w:val="277"/>
        </w:trPr>
        <w:tc>
          <w:tcPr>
            <w:tcW w:w="0" w:type="auto"/>
            <w:vMerge/>
            <w:tcBorders>
              <w:top w:val="nil"/>
              <w:left w:val="single" w:sz="4" w:space="0" w:color="000000"/>
              <w:bottom w:val="single" w:sz="4" w:space="0" w:color="000000"/>
              <w:right w:val="nil"/>
            </w:tcBorders>
          </w:tcPr>
          <w:p w:rsidR="006C145C" w:rsidRDefault="006C145C"/>
        </w:tc>
        <w:tc>
          <w:tcPr>
            <w:tcW w:w="3947" w:type="dxa"/>
            <w:tcBorders>
              <w:top w:val="nil"/>
              <w:left w:val="nil"/>
              <w:bottom w:val="single" w:sz="4" w:space="0" w:color="000000"/>
              <w:right w:val="nil"/>
            </w:tcBorders>
            <w:shd w:val="clear" w:color="auto" w:fill="FFFF00"/>
          </w:tcPr>
          <w:p w:rsidR="006C145C" w:rsidRDefault="00C62E5A">
            <w:pPr>
              <w:spacing w:after="0"/>
              <w:jc w:val="both"/>
            </w:pPr>
            <w:r>
              <w:rPr>
                <w:rFonts w:ascii="Arial" w:eastAsia="Arial" w:hAnsi="Arial" w:cs="Arial"/>
                <w:sz w:val="20"/>
              </w:rPr>
              <w:t>campo OBRIGAÇÕES DA CONTRATANTE.</w:t>
            </w:r>
          </w:p>
        </w:tc>
        <w:tc>
          <w:tcPr>
            <w:tcW w:w="5127" w:type="dxa"/>
            <w:tcBorders>
              <w:top w:val="nil"/>
              <w:left w:val="nil"/>
              <w:bottom w:val="single" w:sz="4" w:space="0" w:color="000000"/>
              <w:right w:val="nil"/>
            </w:tcBorders>
            <w:shd w:val="clear" w:color="auto" w:fill="FFFFCC"/>
          </w:tcPr>
          <w:p w:rsidR="006C145C" w:rsidRDefault="00C62E5A">
            <w:pPr>
              <w:spacing w:after="0"/>
            </w:pPr>
            <w:r>
              <w:rPr>
                <w:rFonts w:ascii="Arial" w:eastAsia="Arial" w:hAnsi="Arial" w:cs="Arial"/>
                <w:sz w:val="20"/>
              </w:rPr>
              <w:t xml:space="preserve"> </w:t>
            </w:r>
          </w:p>
        </w:tc>
        <w:tc>
          <w:tcPr>
            <w:tcW w:w="0" w:type="auto"/>
            <w:vMerge/>
            <w:tcBorders>
              <w:top w:val="nil"/>
              <w:left w:val="nil"/>
              <w:bottom w:val="single" w:sz="4" w:space="0" w:color="000000"/>
              <w:right w:val="single" w:sz="4" w:space="0" w:color="000000"/>
            </w:tcBorders>
          </w:tcPr>
          <w:p w:rsidR="006C145C" w:rsidRDefault="006C145C"/>
        </w:tc>
      </w:tr>
    </w:tbl>
    <w:p w:rsidR="006C145C" w:rsidRDefault="00C62E5A">
      <w:pPr>
        <w:spacing w:after="497"/>
        <w:ind w:left="785"/>
      </w:pPr>
      <w:r>
        <w:rPr>
          <w:rFonts w:ascii="Arial" w:eastAsia="Arial" w:hAnsi="Arial" w:cs="Arial"/>
          <w:b/>
          <w:sz w:val="20"/>
        </w:rPr>
        <w:t xml:space="preserve"> </w:t>
      </w:r>
    </w:p>
    <w:p w:rsidR="006C145C" w:rsidRDefault="00C62E5A">
      <w:pPr>
        <w:numPr>
          <w:ilvl w:val="0"/>
          <w:numId w:val="10"/>
        </w:numPr>
        <w:spacing w:after="140"/>
        <w:ind w:hanging="360"/>
      </w:pPr>
      <w:r>
        <w:rPr>
          <w:rFonts w:ascii="Arial" w:eastAsia="Arial" w:hAnsi="Arial" w:cs="Arial"/>
          <w:b/>
          <w:sz w:val="20"/>
          <w:shd w:val="clear" w:color="auto" w:fill="FFFF00"/>
        </w:rPr>
        <w:t>DAS OBRIGAÇÕES DA CONTRATADA</w:t>
      </w:r>
      <w:r>
        <w:rPr>
          <w:rFonts w:ascii="Arial" w:eastAsia="Arial" w:hAnsi="Arial" w:cs="Arial"/>
          <w:b/>
          <w:sz w:val="20"/>
        </w:rPr>
        <w:t xml:space="preserve"> </w:t>
      </w:r>
    </w:p>
    <w:p w:rsidR="006C145C" w:rsidRDefault="00C62E5A">
      <w:pPr>
        <w:numPr>
          <w:ilvl w:val="1"/>
          <w:numId w:val="10"/>
        </w:numPr>
        <w:spacing w:after="130" w:line="269" w:lineRule="auto"/>
        <w:ind w:right="51" w:hanging="991"/>
        <w:jc w:val="both"/>
      </w:pPr>
      <w:r>
        <w:rPr>
          <w:rFonts w:ascii="Arial" w:eastAsia="Arial" w:hAnsi="Arial" w:cs="Arial"/>
          <w:sz w:val="20"/>
          <w:shd w:val="clear" w:color="auto" w:fill="FFFF00"/>
        </w:rPr>
        <w:t>As obrigações da Contratada são as estabelecidas no Termo de Referência, e ainda:</w:t>
      </w:r>
      <w:r>
        <w:rPr>
          <w:rFonts w:ascii="Arial" w:eastAsia="Arial" w:hAnsi="Arial" w:cs="Arial"/>
          <w:b/>
          <w:sz w:val="20"/>
        </w:rPr>
        <w:t xml:space="preserve"> </w:t>
      </w:r>
    </w:p>
    <w:p w:rsidR="006C145C" w:rsidRDefault="00C62E5A">
      <w:pPr>
        <w:numPr>
          <w:ilvl w:val="2"/>
          <w:numId w:val="10"/>
        </w:numPr>
        <w:spacing w:after="130" w:line="269" w:lineRule="auto"/>
        <w:ind w:right="51" w:hanging="720"/>
        <w:jc w:val="both"/>
      </w:pPr>
      <w:r>
        <w:rPr>
          <w:rFonts w:ascii="Arial" w:eastAsia="Arial" w:hAnsi="Arial" w:cs="Arial"/>
          <w:sz w:val="20"/>
          <w:shd w:val="clear" w:color="auto" w:fill="FFFF00"/>
        </w:rPr>
        <w:t>Responsabilizar-se, durante a execução contratual, pelo cumprimento das obrigações</w:t>
      </w:r>
      <w:r>
        <w:rPr>
          <w:rFonts w:ascii="Arial" w:eastAsia="Arial" w:hAnsi="Arial" w:cs="Arial"/>
          <w:sz w:val="20"/>
        </w:rPr>
        <w:t xml:space="preserve"> </w:t>
      </w:r>
      <w:r>
        <w:rPr>
          <w:rFonts w:ascii="Arial" w:eastAsia="Arial" w:hAnsi="Arial" w:cs="Arial"/>
          <w:sz w:val="20"/>
          <w:shd w:val="clear" w:color="auto" w:fill="FFFF00"/>
        </w:rPr>
        <w:t>previstas em Acordo, Convenção, Dissídio Coletivo de Trabalho ou equivalentes das</w:t>
      </w:r>
      <w:r>
        <w:rPr>
          <w:rFonts w:ascii="Arial" w:eastAsia="Arial" w:hAnsi="Arial" w:cs="Arial"/>
          <w:sz w:val="20"/>
        </w:rPr>
        <w:t xml:space="preserve"> </w:t>
      </w:r>
      <w:r>
        <w:rPr>
          <w:rFonts w:ascii="Arial" w:eastAsia="Arial" w:hAnsi="Arial" w:cs="Arial"/>
          <w:sz w:val="20"/>
          <w:shd w:val="clear" w:color="auto" w:fill="FFFF00"/>
        </w:rPr>
        <w:t>categorias abrangidas pelo contrato, por todas as obrigações trabalhistas, sociais,</w:t>
      </w:r>
      <w:r>
        <w:rPr>
          <w:rFonts w:ascii="Arial" w:eastAsia="Arial" w:hAnsi="Arial" w:cs="Arial"/>
          <w:sz w:val="20"/>
        </w:rPr>
        <w:t xml:space="preserve"> </w:t>
      </w:r>
      <w:r>
        <w:rPr>
          <w:rFonts w:ascii="Arial" w:eastAsia="Arial" w:hAnsi="Arial" w:cs="Arial"/>
          <w:sz w:val="20"/>
          <w:shd w:val="clear" w:color="auto" w:fill="FFFF00"/>
        </w:rPr>
        <w:t>previde</w:t>
      </w:r>
      <w:r>
        <w:rPr>
          <w:rFonts w:ascii="Arial" w:eastAsia="Arial" w:hAnsi="Arial" w:cs="Arial"/>
          <w:sz w:val="20"/>
          <w:shd w:val="clear" w:color="auto" w:fill="FFFF00"/>
        </w:rPr>
        <w:t>nciárias, tributárias e as demais previstas em legislação específica, cuja</w:t>
      </w:r>
      <w:r>
        <w:rPr>
          <w:rFonts w:ascii="Arial" w:eastAsia="Arial" w:hAnsi="Arial" w:cs="Arial"/>
          <w:sz w:val="20"/>
        </w:rPr>
        <w:t xml:space="preserve"> </w:t>
      </w:r>
      <w:r>
        <w:rPr>
          <w:rFonts w:ascii="Arial" w:eastAsia="Arial" w:hAnsi="Arial" w:cs="Arial"/>
          <w:sz w:val="20"/>
          <w:shd w:val="clear" w:color="auto" w:fill="FFFF00"/>
        </w:rPr>
        <w:t>inadimplência não transfere a responsabilidade à CONTRATANTE;</w:t>
      </w:r>
      <w:r>
        <w:rPr>
          <w:rFonts w:ascii="Arial" w:eastAsia="Arial" w:hAnsi="Arial" w:cs="Arial"/>
          <w:sz w:val="20"/>
        </w:rPr>
        <w:t xml:space="preserve">  </w:t>
      </w:r>
    </w:p>
    <w:p w:rsidR="006C145C" w:rsidRDefault="00C62E5A">
      <w:pPr>
        <w:numPr>
          <w:ilvl w:val="3"/>
          <w:numId w:val="10"/>
        </w:numPr>
        <w:spacing w:after="130" w:line="269" w:lineRule="auto"/>
        <w:ind w:right="51" w:hanging="730"/>
        <w:jc w:val="both"/>
      </w:pPr>
      <w:r>
        <w:rPr>
          <w:rFonts w:ascii="Arial" w:eastAsia="Arial" w:hAnsi="Arial" w:cs="Arial"/>
          <w:sz w:val="20"/>
          <w:shd w:val="clear" w:color="auto" w:fill="FFFF00"/>
        </w:rPr>
        <w:t>Não serão incluídas nas planilhas de custos e formação de preços as</w:t>
      </w:r>
      <w:r>
        <w:rPr>
          <w:rFonts w:ascii="Arial" w:eastAsia="Arial" w:hAnsi="Arial" w:cs="Arial"/>
          <w:sz w:val="20"/>
        </w:rPr>
        <w:t xml:space="preserve"> </w:t>
      </w:r>
      <w:r>
        <w:rPr>
          <w:rFonts w:ascii="Arial" w:eastAsia="Arial" w:hAnsi="Arial" w:cs="Arial"/>
          <w:sz w:val="20"/>
          <w:shd w:val="clear" w:color="auto" w:fill="FFFF00"/>
        </w:rPr>
        <w:t>disposições contidas em Acordos, Dissídios ou Con</w:t>
      </w:r>
      <w:r>
        <w:rPr>
          <w:rFonts w:ascii="Arial" w:eastAsia="Arial" w:hAnsi="Arial" w:cs="Arial"/>
          <w:sz w:val="20"/>
          <w:shd w:val="clear" w:color="auto" w:fill="FFFF00"/>
        </w:rPr>
        <w:t>venções Coletivas que</w:t>
      </w:r>
      <w:r>
        <w:rPr>
          <w:rFonts w:ascii="Arial" w:eastAsia="Arial" w:hAnsi="Arial" w:cs="Arial"/>
          <w:sz w:val="20"/>
        </w:rPr>
        <w:t xml:space="preserve"> </w:t>
      </w:r>
      <w:r>
        <w:rPr>
          <w:rFonts w:ascii="Arial" w:eastAsia="Arial" w:hAnsi="Arial" w:cs="Arial"/>
          <w:sz w:val="20"/>
          <w:shd w:val="clear" w:color="auto" w:fill="FFFF00"/>
        </w:rPr>
        <w:t>tratem de pagamento de participação dos trabalhadores nos lucros ou</w:t>
      </w:r>
      <w:r>
        <w:rPr>
          <w:rFonts w:ascii="Arial" w:eastAsia="Arial" w:hAnsi="Arial" w:cs="Arial"/>
          <w:sz w:val="20"/>
        </w:rPr>
        <w:t xml:space="preserve"> </w:t>
      </w:r>
      <w:r>
        <w:rPr>
          <w:rFonts w:ascii="Arial" w:eastAsia="Arial" w:hAnsi="Arial" w:cs="Arial"/>
          <w:sz w:val="20"/>
          <w:shd w:val="clear" w:color="auto" w:fill="FFFF00"/>
        </w:rPr>
        <w:t>resultados da empresa contratada, de matéria não trabalhista, de</w:t>
      </w:r>
      <w:r>
        <w:rPr>
          <w:rFonts w:ascii="Arial" w:eastAsia="Arial" w:hAnsi="Arial" w:cs="Arial"/>
          <w:sz w:val="20"/>
        </w:rPr>
        <w:t xml:space="preserve"> </w:t>
      </w:r>
      <w:r>
        <w:rPr>
          <w:rFonts w:ascii="Arial" w:eastAsia="Arial" w:hAnsi="Arial" w:cs="Arial"/>
          <w:sz w:val="20"/>
          <w:shd w:val="clear" w:color="auto" w:fill="FFFF00"/>
        </w:rPr>
        <w:t>obrigações e direitos que somente se aplicam aos contratos com a</w:t>
      </w:r>
      <w:r>
        <w:rPr>
          <w:rFonts w:ascii="Arial" w:eastAsia="Arial" w:hAnsi="Arial" w:cs="Arial"/>
          <w:sz w:val="20"/>
        </w:rPr>
        <w:t xml:space="preserve"> </w:t>
      </w:r>
      <w:r>
        <w:rPr>
          <w:rFonts w:ascii="Arial" w:eastAsia="Arial" w:hAnsi="Arial" w:cs="Arial"/>
          <w:sz w:val="20"/>
          <w:shd w:val="clear" w:color="auto" w:fill="FFFF00"/>
        </w:rPr>
        <w:t>Administração Pública, ou que estabe</w:t>
      </w:r>
      <w:r>
        <w:rPr>
          <w:rFonts w:ascii="Arial" w:eastAsia="Arial" w:hAnsi="Arial" w:cs="Arial"/>
          <w:sz w:val="20"/>
          <w:shd w:val="clear" w:color="auto" w:fill="FFFF00"/>
        </w:rPr>
        <w:t>leçam direitos não previstos em lei,</w:t>
      </w:r>
      <w:r>
        <w:rPr>
          <w:rFonts w:ascii="Arial" w:eastAsia="Arial" w:hAnsi="Arial" w:cs="Arial"/>
          <w:sz w:val="20"/>
        </w:rPr>
        <w:t xml:space="preserve"> </w:t>
      </w:r>
      <w:r>
        <w:rPr>
          <w:rFonts w:ascii="Arial" w:eastAsia="Arial" w:hAnsi="Arial" w:cs="Arial"/>
          <w:sz w:val="20"/>
          <w:shd w:val="clear" w:color="auto" w:fill="FFFF00"/>
        </w:rPr>
        <w:t>tais como valores ou índices obrigatórios de encargos sociais ou</w:t>
      </w:r>
      <w:r>
        <w:rPr>
          <w:rFonts w:ascii="Arial" w:eastAsia="Arial" w:hAnsi="Arial" w:cs="Arial"/>
          <w:sz w:val="20"/>
        </w:rPr>
        <w:t xml:space="preserve"> </w:t>
      </w:r>
      <w:r>
        <w:rPr>
          <w:rFonts w:ascii="Arial" w:eastAsia="Arial" w:hAnsi="Arial" w:cs="Arial"/>
          <w:sz w:val="20"/>
          <w:shd w:val="clear" w:color="auto" w:fill="FFFF00"/>
        </w:rPr>
        <w:t>previdenciários, bem como de preços para os insumos relacionados ao</w:t>
      </w:r>
      <w:r>
        <w:rPr>
          <w:rFonts w:ascii="Arial" w:eastAsia="Arial" w:hAnsi="Arial" w:cs="Arial"/>
          <w:sz w:val="20"/>
        </w:rPr>
        <w:t xml:space="preserve"> </w:t>
      </w:r>
      <w:r>
        <w:rPr>
          <w:rFonts w:ascii="Arial" w:eastAsia="Arial" w:hAnsi="Arial" w:cs="Arial"/>
          <w:sz w:val="20"/>
          <w:shd w:val="clear" w:color="auto" w:fill="FFFF00"/>
        </w:rPr>
        <w:t>exercício da atividade.</w:t>
      </w:r>
      <w:r>
        <w:rPr>
          <w:rFonts w:ascii="Arial" w:eastAsia="Arial" w:hAnsi="Arial" w:cs="Arial"/>
          <w:sz w:val="20"/>
        </w:rPr>
        <w:t xml:space="preserve">  </w:t>
      </w:r>
    </w:p>
    <w:p w:rsidR="006C145C" w:rsidRDefault="00C62E5A">
      <w:pPr>
        <w:numPr>
          <w:ilvl w:val="2"/>
          <w:numId w:val="10"/>
        </w:numPr>
        <w:spacing w:after="130" w:line="269" w:lineRule="auto"/>
        <w:ind w:right="51" w:hanging="720"/>
        <w:jc w:val="both"/>
      </w:pPr>
      <w:r>
        <w:rPr>
          <w:rFonts w:ascii="Arial" w:eastAsia="Arial" w:hAnsi="Arial" w:cs="Arial"/>
          <w:sz w:val="20"/>
          <w:shd w:val="clear" w:color="auto" w:fill="FFFF00"/>
        </w:rPr>
        <w:t>Responsabilizar-se pelos encargos trabalhistas, previdenciár</w:t>
      </w:r>
      <w:r>
        <w:rPr>
          <w:rFonts w:ascii="Arial" w:eastAsia="Arial" w:hAnsi="Arial" w:cs="Arial"/>
          <w:sz w:val="20"/>
          <w:shd w:val="clear" w:color="auto" w:fill="FFFF00"/>
        </w:rPr>
        <w:t>ios, fiscais e comerciais,</w:t>
      </w:r>
      <w:r>
        <w:rPr>
          <w:rFonts w:ascii="Arial" w:eastAsia="Arial" w:hAnsi="Arial" w:cs="Arial"/>
          <w:sz w:val="20"/>
        </w:rPr>
        <w:t xml:space="preserve"> </w:t>
      </w:r>
      <w:r>
        <w:rPr>
          <w:rFonts w:ascii="Arial" w:eastAsia="Arial" w:hAnsi="Arial" w:cs="Arial"/>
          <w:sz w:val="20"/>
          <w:shd w:val="clear" w:color="auto" w:fill="FFFF00"/>
        </w:rPr>
        <w:t>resultantes da execução do Contrato, conforme dispõe o art. 71, Parágrafos 1° e 2°, da</w:t>
      </w:r>
      <w:r>
        <w:rPr>
          <w:rFonts w:ascii="Arial" w:eastAsia="Arial" w:hAnsi="Arial" w:cs="Arial"/>
          <w:sz w:val="20"/>
        </w:rPr>
        <w:t xml:space="preserve"> </w:t>
      </w:r>
      <w:r>
        <w:rPr>
          <w:rFonts w:ascii="Arial" w:eastAsia="Arial" w:hAnsi="Arial" w:cs="Arial"/>
          <w:sz w:val="20"/>
          <w:shd w:val="clear" w:color="auto" w:fill="FFFF00"/>
        </w:rPr>
        <w:t>Lei n.º 8.666/93.</w:t>
      </w:r>
      <w:r>
        <w:rPr>
          <w:rFonts w:ascii="Arial" w:eastAsia="Arial" w:hAnsi="Arial" w:cs="Arial"/>
          <w:sz w:val="20"/>
        </w:rPr>
        <w:t xml:space="preserve"> </w:t>
      </w:r>
    </w:p>
    <w:p w:rsidR="006C145C" w:rsidRDefault="00C62E5A">
      <w:pPr>
        <w:numPr>
          <w:ilvl w:val="2"/>
          <w:numId w:val="10"/>
        </w:numPr>
        <w:spacing w:after="130" w:line="269" w:lineRule="auto"/>
        <w:ind w:right="51" w:hanging="720"/>
        <w:jc w:val="both"/>
      </w:pPr>
      <w:r>
        <w:rPr>
          <w:rFonts w:ascii="Arial" w:eastAsia="Arial" w:hAnsi="Arial" w:cs="Arial"/>
          <w:sz w:val="20"/>
          <w:shd w:val="clear" w:color="auto" w:fill="FFFF00"/>
        </w:rPr>
        <w:t>Apresentar declaração de que garante aos seus trabalhadores ambiente de trabalho,</w:t>
      </w:r>
      <w:r>
        <w:rPr>
          <w:rFonts w:ascii="Arial" w:eastAsia="Arial" w:hAnsi="Arial" w:cs="Arial"/>
          <w:sz w:val="20"/>
        </w:rPr>
        <w:t xml:space="preserve"> </w:t>
      </w:r>
      <w:r>
        <w:rPr>
          <w:rFonts w:ascii="Arial" w:eastAsia="Arial" w:hAnsi="Arial" w:cs="Arial"/>
          <w:sz w:val="20"/>
          <w:shd w:val="clear" w:color="auto" w:fill="FFFF00"/>
        </w:rPr>
        <w:t xml:space="preserve">inclusive equipamentos e instalações, em </w:t>
      </w:r>
      <w:r>
        <w:rPr>
          <w:rFonts w:ascii="Arial" w:eastAsia="Arial" w:hAnsi="Arial" w:cs="Arial"/>
          <w:sz w:val="20"/>
          <w:shd w:val="clear" w:color="auto" w:fill="FFFF00"/>
        </w:rPr>
        <w:t>condições adequadas ao cumprimento das</w:t>
      </w:r>
      <w:r>
        <w:rPr>
          <w:rFonts w:ascii="Arial" w:eastAsia="Arial" w:hAnsi="Arial" w:cs="Arial"/>
          <w:sz w:val="20"/>
        </w:rPr>
        <w:t xml:space="preserve"> </w:t>
      </w:r>
      <w:r>
        <w:rPr>
          <w:rFonts w:ascii="Arial" w:eastAsia="Arial" w:hAnsi="Arial" w:cs="Arial"/>
          <w:sz w:val="20"/>
          <w:shd w:val="clear" w:color="auto" w:fill="FFFF00"/>
        </w:rPr>
        <w:t>normas de saúde, segurança e bem-estar no trabalho;</w:t>
      </w:r>
      <w:r>
        <w:rPr>
          <w:rFonts w:ascii="Arial" w:eastAsia="Arial" w:hAnsi="Arial" w:cs="Arial"/>
          <w:sz w:val="20"/>
        </w:rPr>
        <w:t xml:space="preserve">  </w:t>
      </w:r>
    </w:p>
    <w:p w:rsidR="006C145C" w:rsidRDefault="00C62E5A">
      <w:pPr>
        <w:numPr>
          <w:ilvl w:val="2"/>
          <w:numId w:val="10"/>
        </w:numPr>
        <w:spacing w:after="130" w:line="269" w:lineRule="auto"/>
        <w:ind w:right="51" w:hanging="720"/>
        <w:jc w:val="both"/>
      </w:pPr>
      <w:r>
        <w:rPr>
          <w:rFonts w:ascii="Arial" w:eastAsia="Arial" w:hAnsi="Arial" w:cs="Arial"/>
          <w:sz w:val="20"/>
          <w:shd w:val="clear" w:color="auto" w:fill="FFFF00"/>
        </w:rPr>
        <w:t>Apresentar declaração de que cumpre a observância dos preceitos da legislação sobre a</w:t>
      </w:r>
      <w:r>
        <w:rPr>
          <w:rFonts w:ascii="Arial" w:eastAsia="Arial" w:hAnsi="Arial" w:cs="Arial"/>
          <w:sz w:val="20"/>
        </w:rPr>
        <w:t xml:space="preserve"> </w:t>
      </w:r>
      <w:r>
        <w:rPr>
          <w:rFonts w:ascii="Arial" w:eastAsia="Arial" w:hAnsi="Arial" w:cs="Arial"/>
          <w:sz w:val="20"/>
          <w:shd w:val="clear" w:color="auto" w:fill="FFFF00"/>
        </w:rPr>
        <w:t>jornada de trabalho, conforme a categoria profissional.</w:t>
      </w:r>
      <w:r>
        <w:rPr>
          <w:rFonts w:ascii="Arial" w:eastAsia="Arial" w:hAnsi="Arial" w:cs="Arial"/>
          <w:sz w:val="20"/>
        </w:rPr>
        <w:t xml:space="preserve"> </w:t>
      </w:r>
    </w:p>
    <w:p w:rsidR="006C145C" w:rsidRDefault="00C62E5A">
      <w:pPr>
        <w:numPr>
          <w:ilvl w:val="2"/>
          <w:numId w:val="10"/>
        </w:numPr>
        <w:spacing w:after="130" w:line="269" w:lineRule="auto"/>
        <w:ind w:right="51" w:hanging="720"/>
        <w:jc w:val="both"/>
      </w:pPr>
      <w:r>
        <w:rPr>
          <w:rFonts w:ascii="Arial" w:eastAsia="Arial" w:hAnsi="Arial" w:cs="Arial"/>
          <w:sz w:val="20"/>
          <w:shd w:val="clear" w:color="auto" w:fill="FFFF00"/>
        </w:rPr>
        <w:t>Apresentar declaraçã</w:t>
      </w:r>
      <w:r>
        <w:rPr>
          <w:rFonts w:ascii="Arial" w:eastAsia="Arial" w:hAnsi="Arial" w:cs="Arial"/>
          <w:sz w:val="20"/>
          <w:shd w:val="clear" w:color="auto" w:fill="FFFF00"/>
        </w:rPr>
        <w:t>o de responsabilidade exclusiva da contratada sobre a quitação dos</w:t>
      </w:r>
      <w:r>
        <w:rPr>
          <w:rFonts w:ascii="Arial" w:eastAsia="Arial" w:hAnsi="Arial" w:cs="Arial"/>
          <w:sz w:val="20"/>
        </w:rPr>
        <w:t xml:space="preserve"> </w:t>
      </w:r>
      <w:r>
        <w:rPr>
          <w:rFonts w:ascii="Arial" w:eastAsia="Arial" w:hAnsi="Arial" w:cs="Arial"/>
          <w:sz w:val="20"/>
          <w:shd w:val="clear" w:color="auto" w:fill="FFFF00"/>
        </w:rPr>
        <w:t>encargos trabalhistas e sociais decorrentes do contrato;</w:t>
      </w:r>
      <w:r>
        <w:rPr>
          <w:rFonts w:ascii="Arial" w:eastAsia="Arial" w:hAnsi="Arial" w:cs="Arial"/>
          <w:sz w:val="20"/>
        </w:rPr>
        <w:t xml:space="preserve"> </w:t>
      </w:r>
    </w:p>
    <w:p w:rsidR="006C145C" w:rsidRDefault="00C62E5A">
      <w:pPr>
        <w:numPr>
          <w:ilvl w:val="2"/>
          <w:numId w:val="10"/>
        </w:numPr>
        <w:spacing w:after="130" w:line="269" w:lineRule="auto"/>
        <w:ind w:right="51" w:hanging="720"/>
        <w:jc w:val="both"/>
      </w:pPr>
      <w:r>
        <w:rPr>
          <w:rFonts w:ascii="Arial" w:eastAsia="Arial" w:hAnsi="Arial" w:cs="Arial"/>
          <w:sz w:val="20"/>
          <w:shd w:val="clear" w:color="auto" w:fill="FFFF00"/>
        </w:rPr>
        <w:t>Manter preposto nos locais de prestação de serviço, aceito pela Administração, para</w:t>
      </w:r>
      <w:r>
        <w:rPr>
          <w:rFonts w:ascii="Arial" w:eastAsia="Arial" w:hAnsi="Arial" w:cs="Arial"/>
          <w:sz w:val="20"/>
        </w:rPr>
        <w:t xml:space="preserve"> </w:t>
      </w:r>
      <w:r>
        <w:rPr>
          <w:rFonts w:ascii="Arial" w:eastAsia="Arial" w:hAnsi="Arial" w:cs="Arial"/>
          <w:sz w:val="20"/>
          <w:shd w:val="clear" w:color="auto" w:fill="FFFF00"/>
        </w:rPr>
        <w:t>representá-la na execução do contrato;</w:t>
      </w:r>
      <w:r>
        <w:rPr>
          <w:rFonts w:ascii="Arial" w:eastAsia="Arial" w:hAnsi="Arial" w:cs="Arial"/>
          <w:sz w:val="20"/>
        </w:rPr>
        <w:t xml:space="preserve"> </w:t>
      </w:r>
    </w:p>
    <w:p w:rsidR="006C145C" w:rsidRDefault="00C62E5A">
      <w:pPr>
        <w:numPr>
          <w:ilvl w:val="2"/>
          <w:numId w:val="10"/>
        </w:numPr>
        <w:spacing w:after="130" w:line="269" w:lineRule="auto"/>
        <w:ind w:right="51" w:hanging="720"/>
        <w:jc w:val="both"/>
      </w:pPr>
      <w:r>
        <w:rPr>
          <w:rFonts w:ascii="Arial" w:eastAsia="Arial" w:hAnsi="Arial" w:cs="Arial"/>
          <w:sz w:val="20"/>
          <w:shd w:val="clear" w:color="auto" w:fill="FFFF00"/>
        </w:rPr>
        <w:t>Fornece</w:t>
      </w:r>
      <w:r>
        <w:rPr>
          <w:rFonts w:ascii="Arial" w:eastAsia="Arial" w:hAnsi="Arial" w:cs="Arial"/>
          <w:sz w:val="20"/>
          <w:shd w:val="clear" w:color="auto" w:fill="FFFF00"/>
        </w:rPr>
        <w:t>r, sempre que solicitados pela Contratante, os comprovantes do cumprimento das</w:t>
      </w:r>
      <w:r>
        <w:rPr>
          <w:rFonts w:ascii="Arial" w:eastAsia="Arial" w:hAnsi="Arial" w:cs="Arial"/>
          <w:sz w:val="20"/>
        </w:rPr>
        <w:t xml:space="preserve"> </w:t>
      </w:r>
      <w:r>
        <w:rPr>
          <w:rFonts w:ascii="Arial" w:eastAsia="Arial" w:hAnsi="Arial" w:cs="Arial"/>
          <w:sz w:val="20"/>
          <w:shd w:val="clear" w:color="auto" w:fill="FFFF00"/>
        </w:rPr>
        <w:t>obrigações trabalhistas, previdenciárias, do Fundo de Garantia do Tempo de Serviço -</w:t>
      </w:r>
      <w:r>
        <w:rPr>
          <w:rFonts w:ascii="Arial" w:eastAsia="Arial" w:hAnsi="Arial" w:cs="Arial"/>
          <w:sz w:val="20"/>
        </w:rPr>
        <w:t xml:space="preserve"> </w:t>
      </w:r>
      <w:r>
        <w:rPr>
          <w:rFonts w:ascii="Arial" w:eastAsia="Arial" w:hAnsi="Arial" w:cs="Arial"/>
          <w:sz w:val="20"/>
          <w:shd w:val="clear" w:color="auto" w:fill="FFFF00"/>
        </w:rPr>
        <w:t>FGTS, em especial ao pagamento dos salários e demais benefícios trabalhistas dos</w:t>
      </w:r>
      <w:r>
        <w:rPr>
          <w:rFonts w:ascii="Arial" w:eastAsia="Arial" w:hAnsi="Arial" w:cs="Arial"/>
          <w:sz w:val="20"/>
        </w:rPr>
        <w:t xml:space="preserve"> </w:t>
      </w:r>
      <w:r>
        <w:rPr>
          <w:rFonts w:ascii="Arial" w:eastAsia="Arial" w:hAnsi="Arial" w:cs="Arial"/>
          <w:sz w:val="20"/>
          <w:shd w:val="clear" w:color="auto" w:fill="FFFF00"/>
        </w:rPr>
        <w:t xml:space="preserve">empregados </w:t>
      </w:r>
      <w:r>
        <w:rPr>
          <w:rFonts w:ascii="Arial" w:eastAsia="Arial" w:hAnsi="Arial" w:cs="Arial"/>
          <w:sz w:val="20"/>
          <w:shd w:val="clear" w:color="auto" w:fill="FFFF00"/>
        </w:rPr>
        <w:t>colocados à disposição da Contratante;</w:t>
      </w:r>
      <w:r>
        <w:rPr>
          <w:rFonts w:ascii="Arial" w:eastAsia="Arial" w:hAnsi="Arial" w:cs="Arial"/>
          <w:sz w:val="20"/>
        </w:rPr>
        <w:t xml:space="preserve"> </w:t>
      </w:r>
    </w:p>
    <w:p w:rsidR="006C145C" w:rsidRDefault="00C62E5A">
      <w:pPr>
        <w:numPr>
          <w:ilvl w:val="3"/>
          <w:numId w:val="10"/>
        </w:numPr>
        <w:spacing w:after="130" w:line="269" w:lineRule="auto"/>
        <w:ind w:right="51" w:hanging="730"/>
        <w:jc w:val="both"/>
      </w:pPr>
      <w:r>
        <w:rPr>
          <w:rFonts w:ascii="Arial" w:eastAsia="Arial" w:hAnsi="Arial" w:cs="Arial"/>
          <w:sz w:val="20"/>
          <w:shd w:val="clear" w:color="auto" w:fill="FFFF00"/>
        </w:rPr>
        <w:t>A ausência da documentação pertinente ou da comprovação do</w:t>
      </w:r>
      <w:r>
        <w:rPr>
          <w:rFonts w:ascii="Arial" w:eastAsia="Arial" w:hAnsi="Arial" w:cs="Arial"/>
          <w:sz w:val="20"/>
        </w:rPr>
        <w:t xml:space="preserve"> </w:t>
      </w:r>
      <w:r>
        <w:rPr>
          <w:rFonts w:ascii="Arial" w:eastAsia="Arial" w:hAnsi="Arial" w:cs="Arial"/>
          <w:sz w:val="20"/>
          <w:shd w:val="clear" w:color="auto" w:fill="FFFF00"/>
        </w:rPr>
        <w:t>cumprimento das obrigações trabalhistas, previdenciárias e relativas ao</w:t>
      </w:r>
      <w:r>
        <w:rPr>
          <w:rFonts w:ascii="Arial" w:eastAsia="Arial" w:hAnsi="Arial" w:cs="Arial"/>
          <w:sz w:val="20"/>
        </w:rPr>
        <w:t xml:space="preserve"> </w:t>
      </w:r>
      <w:r>
        <w:rPr>
          <w:rFonts w:ascii="Arial" w:eastAsia="Arial" w:hAnsi="Arial" w:cs="Arial"/>
          <w:sz w:val="20"/>
          <w:shd w:val="clear" w:color="auto" w:fill="FFFF00"/>
        </w:rPr>
        <w:t>FGTS implicará a retenção do pagamento da fatura mensal, em valor</w:t>
      </w:r>
      <w:r>
        <w:rPr>
          <w:rFonts w:ascii="Arial" w:eastAsia="Arial" w:hAnsi="Arial" w:cs="Arial"/>
          <w:sz w:val="20"/>
        </w:rPr>
        <w:t xml:space="preserve"> </w:t>
      </w:r>
      <w:r>
        <w:rPr>
          <w:rFonts w:ascii="Arial" w:eastAsia="Arial" w:hAnsi="Arial" w:cs="Arial"/>
          <w:sz w:val="20"/>
          <w:shd w:val="clear" w:color="auto" w:fill="FFFF00"/>
        </w:rPr>
        <w:t>proporcional ao ina</w:t>
      </w:r>
      <w:r>
        <w:rPr>
          <w:rFonts w:ascii="Arial" w:eastAsia="Arial" w:hAnsi="Arial" w:cs="Arial"/>
          <w:sz w:val="20"/>
          <w:shd w:val="clear" w:color="auto" w:fill="FFFF00"/>
        </w:rPr>
        <w:t>dimplemento, mediante prévia comunicação, até que a</w:t>
      </w:r>
      <w:r>
        <w:rPr>
          <w:rFonts w:ascii="Arial" w:eastAsia="Arial" w:hAnsi="Arial" w:cs="Arial"/>
          <w:sz w:val="20"/>
        </w:rPr>
        <w:t xml:space="preserve"> </w:t>
      </w:r>
      <w:r>
        <w:rPr>
          <w:rFonts w:ascii="Arial" w:eastAsia="Arial" w:hAnsi="Arial" w:cs="Arial"/>
          <w:sz w:val="20"/>
          <w:shd w:val="clear" w:color="auto" w:fill="FFFF00"/>
        </w:rPr>
        <w:t>situação seja regularizada, sem prejuízo das demais sanções cabíveis.</w:t>
      </w:r>
      <w:r>
        <w:rPr>
          <w:rFonts w:ascii="Arial" w:eastAsia="Arial" w:hAnsi="Arial" w:cs="Arial"/>
          <w:sz w:val="20"/>
        </w:rPr>
        <w:t xml:space="preserve"> </w:t>
      </w:r>
    </w:p>
    <w:p w:rsidR="006C145C" w:rsidRDefault="00C62E5A">
      <w:pPr>
        <w:numPr>
          <w:ilvl w:val="3"/>
          <w:numId w:val="10"/>
        </w:numPr>
        <w:spacing w:after="130" w:line="269" w:lineRule="auto"/>
        <w:ind w:right="51" w:hanging="730"/>
        <w:jc w:val="both"/>
      </w:pPr>
      <w:r>
        <w:rPr>
          <w:rFonts w:ascii="Arial" w:eastAsia="Arial" w:hAnsi="Arial" w:cs="Arial"/>
          <w:sz w:val="20"/>
          <w:shd w:val="clear" w:color="auto" w:fill="FFFF00"/>
        </w:rPr>
        <w:t>Ultrapassado o prazo de 15 (quinze) dias, contados na comunicação</w:t>
      </w:r>
      <w:r>
        <w:rPr>
          <w:rFonts w:ascii="Arial" w:eastAsia="Arial" w:hAnsi="Arial" w:cs="Arial"/>
          <w:sz w:val="20"/>
        </w:rPr>
        <w:t xml:space="preserve"> </w:t>
      </w:r>
      <w:r>
        <w:rPr>
          <w:rFonts w:ascii="Arial" w:eastAsia="Arial" w:hAnsi="Arial" w:cs="Arial"/>
          <w:sz w:val="20"/>
          <w:shd w:val="clear" w:color="auto" w:fill="FFFF00"/>
        </w:rPr>
        <w:t>mencionada no subitem anterior, sem a regularização da falta, a</w:t>
      </w:r>
      <w:r>
        <w:rPr>
          <w:rFonts w:ascii="Arial" w:eastAsia="Arial" w:hAnsi="Arial" w:cs="Arial"/>
          <w:sz w:val="20"/>
        </w:rPr>
        <w:t xml:space="preserve"> </w:t>
      </w:r>
      <w:r>
        <w:rPr>
          <w:rFonts w:ascii="Arial" w:eastAsia="Arial" w:hAnsi="Arial" w:cs="Arial"/>
          <w:sz w:val="20"/>
          <w:shd w:val="clear" w:color="auto" w:fill="FFFF00"/>
        </w:rPr>
        <w:lastRenderedPageBreak/>
        <w:t>Adm</w:t>
      </w:r>
      <w:r>
        <w:rPr>
          <w:rFonts w:ascii="Arial" w:eastAsia="Arial" w:hAnsi="Arial" w:cs="Arial"/>
          <w:sz w:val="20"/>
          <w:shd w:val="clear" w:color="auto" w:fill="FFFF00"/>
        </w:rPr>
        <w:t>inistração poderá efetuar o pagamento das obrigações diretamente aos</w:t>
      </w:r>
      <w:r>
        <w:rPr>
          <w:rFonts w:ascii="Arial" w:eastAsia="Arial" w:hAnsi="Arial" w:cs="Arial"/>
          <w:sz w:val="20"/>
        </w:rPr>
        <w:t xml:space="preserve"> </w:t>
      </w:r>
      <w:r>
        <w:rPr>
          <w:rFonts w:ascii="Arial" w:eastAsia="Arial" w:hAnsi="Arial" w:cs="Arial"/>
          <w:sz w:val="20"/>
          <w:shd w:val="clear" w:color="auto" w:fill="FFFF00"/>
        </w:rPr>
        <w:t>empregados da contratada que tenham participado da execução dos</w:t>
      </w:r>
      <w:r>
        <w:rPr>
          <w:rFonts w:ascii="Arial" w:eastAsia="Arial" w:hAnsi="Arial" w:cs="Arial"/>
          <w:sz w:val="20"/>
        </w:rPr>
        <w:t xml:space="preserve"> </w:t>
      </w:r>
      <w:r>
        <w:rPr>
          <w:rFonts w:ascii="Arial" w:eastAsia="Arial" w:hAnsi="Arial" w:cs="Arial"/>
          <w:sz w:val="20"/>
          <w:shd w:val="clear" w:color="auto" w:fill="FFFF00"/>
        </w:rPr>
        <w:t>serviços objeto do contrato, sem prejuízo das demais sanções cabíveis.</w:t>
      </w:r>
      <w:r>
        <w:rPr>
          <w:rFonts w:ascii="Arial" w:eastAsia="Arial" w:hAnsi="Arial" w:cs="Arial"/>
          <w:sz w:val="20"/>
        </w:rPr>
        <w:t xml:space="preserve"> </w:t>
      </w:r>
    </w:p>
    <w:p w:rsidR="006C145C" w:rsidRDefault="00C62E5A">
      <w:pPr>
        <w:numPr>
          <w:ilvl w:val="3"/>
          <w:numId w:val="10"/>
        </w:numPr>
        <w:spacing w:after="130" w:line="269" w:lineRule="auto"/>
        <w:ind w:right="51" w:hanging="730"/>
        <w:jc w:val="both"/>
      </w:pPr>
      <w:r>
        <w:rPr>
          <w:rFonts w:ascii="Arial" w:eastAsia="Arial" w:hAnsi="Arial" w:cs="Arial"/>
          <w:sz w:val="20"/>
          <w:shd w:val="clear" w:color="auto" w:fill="FFFF00"/>
        </w:rPr>
        <w:t>O sindicato representante da categoria do trabalhador deverá ser</w:t>
      </w:r>
      <w:r>
        <w:rPr>
          <w:rFonts w:ascii="Arial" w:eastAsia="Arial" w:hAnsi="Arial" w:cs="Arial"/>
          <w:sz w:val="20"/>
        </w:rPr>
        <w:t xml:space="preserve"> </w:t>
      </w:r>
      <w:r>
        <w:rPr>
          <w:rFonts w:ascii="Arial" w:eastAsia="Arial" w:hAnsi="Arial" w:cs="Arial"/>
          <w:sz w:val="20"/>
          <w:shd w:val="clear" w:color="auto" w:fill="FFFF00"/>
        </w:rPr>
        <w:t>notificado pela contratante para acompanhar o pagamento das respectivas</w:t>
      </w:r>
      <w:r>
        <w:rPr>
          <w:rFonts w:ascii="Arial" w:eastAsia="Arial" w:hAnsi="Arial" w:cs="Arial"/>
          <w:sz w:val="20"/>
        </w:rPr>
        <w:t xml:space="preserve"> </w:t>
      </w:r>
      <w:r>
        <w:rPr>
          <w:rFonts w:ascii="Arial" w:eastAsia="Arial" w:hAnsi="Arial" w:cs="Arial"/>
          <w:sz w:val="20"/>
          <w:shd w:val="clear" w:color="auto" w:fill="FFFF00"/>
        </w:rPr>
        <w:t>verbas.</w:t>
      </w:r>
      <w:r>
        <w:rPr>
          <w:rFonts w:ascii="Arial" w:eastAsia="Arial" w:hAnsi="Arial" w:cs="Arial"/>
          <w:sz w:val="20"/>
        </w:rPr>
        <w:t xml:space="preserve"> </w:t>
      </w:r>
    </w:p>
    <w:p w:rsidR="006C145C" w:rsidRDefault="00C62E5A">
      <w:pPr>
        <w:numPr>
          <w:ilvl w:val="3"/>
          <w:numId w:val="10"/>
        </w:numPr>
        <w:spacing w:after="0" w:line="269" w:lineRule="auto"/>
        <w:ind w:right="51" w:hanging="730"/>
        <w:jc w:val="both"/>
      </w:pPr>
      <w:r>
        <w:rPr>
          <w:rFonts w:ascii="Arial" w:eastAsia="Arial" w:hAnsi="Arial" w:cs="Arial"/>
          <w:sz w:val="20"/>
          <w:shd w:val="clear" w:color="auto" w:fill="FFFF00"/>
        </w:rPr>
        <w:t>Tais pagamentos não configuram vínculo empregatício ou implicam a</w:t>
      </w:r>
      <w:r>
        <w:rPr>
          <w:rFonts w:ascii="Arial" w:eastAsia="Arial" w:hAnsi="Arial" w:cs="Arial"/>
          <w:sz w:val="20"/>
        </w:rPr>
        <w:t xml:space="preserve"> </w:t>
      </w:r>
      <w:r>
        <w:rPr>
          <w:rFonts w:ascii="Arial" w:eastAsia="Arial" w:hAnsi="Arial" w:cs="Arial"/>
          <w:sz w:val="20"/>
          <w:shd w:val="clear" w:color="auto" w:fill="FFFF00"/>
        </w:rPr>
        <w:t>assunção de responsabilidade por quaisquer o</w:t>
      </w:r>
      <w:r>
        <w:rPr>
          <w:rFonts w:ascii="Arial" w:eastAsia="Arial" w:hAnsi="Arial" w:cs="Arial"/>
          <w:sz w:val="20"/>
          <w:shd w:val="clear" w:color="auto" w:fill="FFFF00"/>
        </w:rPr>
        <w:t>brigações dele decorrentes</w:t>
      </w:r>
      <w:r>
        <w:rPr>
          <w:rFonts w:ascii="Arial" w:eastAsia="Arial" w:hAnsi="Arial" w:cs="Arial"/>
          <w:sz w:val="20"/>
        </w:rPr>
        <w:t xml:space="preserve"> </w:t>
      </w:r>
      <w:r>
        <w:rPr>
          <w:rFonts w:ascii="Arial" w:eastAsia="Arial" w:hAnsi="Arial" w:cs="Arial"/>
          <w:sz w:val="20"/>
          <w:shd w:val="clear" w:color="auto" w:fill="FFFF00"/>
        </w:rPr>
        <w:t>entre a contratante e os empregados da contratada.</w:t>
      </w:r>
      <w:r>
        <w:rPr>
          <w:rFonts w:ascii="Arial" w:eastAsia="Arial" w:hAnsi="Arial" w:cs="Arial"/>
          <w:sz w:val="20"/>
        </w:rPr>
        <w:t xml:space="preserve">  </w:t>
      </w:r>
    </w:p>
    <w:tbl>
      <w:tblPr>
        <w:tblStyle w:val="TableGrid"/>
        <w:tblW w:w="8937" w:type="dxa"/>
        <w:tblInd w:w="-176" w:type="dxa"/>
        <w:tblCellMar>
          <w:top w:w="7" w:type="dxa"/>
          <w:left w:w="0" w:type="dxa"/>
          <w:bottom w:w="0" w:type="dxa"/>
          <w:right w:w="0" w:type="dxa"/>
        </w:tblCellMar>
        <w:tblLook w:val="04A0" w:firstRow="1" w:lastRow="0" w:firstColumn="1" w:lastColumn="0" w:noHBand="0" w:noVBand="1"/>
      </w:tblPr>
      <w:tblGrid>
        <w:gridCol w:w="10"/>
        <w:gridCol w:w="4416"/>
        <w:gridCol w:w="5031"/>
        <w:gridCol w:w="10"/>
      </w:tblGrid>
      <w:tr w:rsidR="006C145C">
        <w:trPr>
          <w:trHeight w:val="244"/>
        </w:trPr>
        <w:tc>
          <w:tcPr>
            <w:tcW w:w="112" w:type="dxa"/>
            <w:vMerge w:val="restart"/>
            <w:tcBorders>
              <w:top w:val="single" w:sz="4" w:space="0" w:color="1F497D"/>
              <w:left w:val="single" w:sz="4" w:space="0" w:color="1F497D"/>
              <w:bottom w:val="single" w:sz="4" w:space="0" w:color="1F497D"/>
              <w:right w:val="nil"/>
            </w:tcBorders>
            <w:shd w:val="clear" w:color="auto" w:fill="FFFFCC"/>
          </w:tcPr>
          <w:p w:rsidR="006C145C" w:rsidRDefault="006C145C"/>
        </w:tc>
        <w:tc>
          <w:tcPr>
            <w:tcW w:w="8713" w:type="dxa"/>
            <w:gridSpan w:val="2"/>
            <w:tcBorders>
              <w:top w:val="single" w:sz="4" w:space="0" w:color="1F497D"/>
              <w:left w:val="nil"/>
              <w:bottom w:val="nil"/>
              <w:right w:val="nil"/>
            </w:tcBorders>
            <w:shd w:val="clear" w:color="auto" w:fill="FFFFCC"/>
          </w:tcPr>
          <w:p w:rsidR="006C145C" w:rsidRDefault="006C145C">
            <w:pPr>
              <w:spacing w:after="0"/>
              <w:ind w:left="-2062" w:right="10775"/>
            </w:pPr>
          </w:p>
          <w:tbl>
            <w:tblPr>
              <w:tblStyle w:val="TableGrid"/>
              <w:tblW w:w="8713" w:type="dxa"/>
              <w:tblInd w:w="0" w:type="dxa"/>
              <w:tblCellMar>
                <w:top w:w="5" w:type="dxa"/>
                <w:left w:w="0" w:type="dxa"/>
                <w:bottom w:w="0" w:type="dxa"/>
                <w:right w:w="8" w:type="dxa"/>
              </w:tblCellMar>
              <w:tblLook w:val="04A0" w:firstRow="1" w:lastRow="0" w:firstColumn="1" w:lastColumn="0" w:noHBand="0" w:noVBand="1"/>
            </w:tblPr>
            <w:tblGrid>
              <w:gridCol w:w="8713"/>
            </w:tblGrid>
            <w:tr w:rsidR="006C145C">
              <w:trPr>
                <w:trHeight w:val="230"/>
              </w:trPr>
              <w:tc>
                <w:tcPr>
                  <w:tcW w:w="8713" w:type="dxa"/>
                  <w:tcBorders>
                    <w:top w:val="nil"/>
                    <w:left w:val="nil"/>
                    <w:bottom w:val="nil"/>
                    <w:right w:val="nil"/>
                  </w:tcBorders>
                  <w:shd w:val="clear" w:color="auto" w:fill="FFFF00"/>
                </w:tcPr>
                <w:p w:rsidR="006C145C" w:rsidRDefault="00C62E5A">
                  <w:pPr>
                    <w:spacing w:after="0"/>
                    <w:jc w:val="both"/>
                  </w:pPr>
                  <w:r>
                    <w:rPr>
                      <w:rFonts w:ascii="Arial" w:eastAsia="Arial" w:hAnsi="Arial" w:cs="Arial"/>
                      <w:b/>
                      <w:color w:val="4F81BD"/>
                      <w:sz w:val="20"/>
                    </w:rPr>
                    <w:t>Nota explicativa</w:t>
                  </w:r>
                  <w:r>
                    <w:rPr>
                      <w:rFonts w:ascii="Arial" w:eastAsia="Arial" w:hAnsi="Arial" w:cs="Arial"/>
                      <w:color w:val="4F81BD"/>
                      <w:sz w:val="20"/>
                    </w:rPr>
                    <w:t>: Como a fiscalização é por amostragem, a documentação deve ser encaminhada</w:t>
                  </w:r>
                </w:p>
              </w:tc>
            </w:tr>
          </w:tbl>
          <w:p w:rsidR="006C145C" w:rsidRDefault="006C145C"/>
        </w:tc>
        <w:tc>
          <w:tcPr>
            <w:tcW w:w="112" w:type="dxa"/>
            <w:vMerge w:val="restart"/>
            <w:tcBorders>
              <w:top w:val="single" w:sz="4" w:space="0" w:color="1F497D"/>
              <w:left w:val="nil"/>
              <w:bottom w:val="single" w:sz="4" w:space="0" w:color="1F497D"/>
              <w:right w:val="single" w:sz="4" w:space="0" w:color="1F497D"/>
            </w:tcBorders>
            <w:shd w:val="clear" w:color="auto" w:fill="FFFFCC"/>
          </w:tcPr>
          <w:p w:rsidR="006C145C" w:rsidRDefault="00C62E5A">
            <w:pPr>
              <w:spacing w:after="0"/>
              <w:ind w:left="-6"/>
            </w:pPr>
            <w:r>
              <w:rPr>
                <w:rFonts w:ascii="Arial" w:eastAsia="Arial" w:hAnsi="Arial" w:cs="Arial"/>
                <w:color w:val="4F81BD"/>
                <w:sz w:val="20"/>
              </w:rPr>
              <w:t xml:space="preserve"> </w:t>
            </w:r>
          </w:p>
        </w:tc>
      </w:tr>
      <w:tr w:rsidR="006C145C">
        <w:trPr>
          <w:trHeight w:val="244"/>
        </w:trPr>
        <w:tc>
          <w:tcPr>
            <w:tcW w:w="0" w:type="auto"/>
            <w:vMerge/>
            <w:tcBorders>
              <w:top w:val="nil"/>
              <w:left w:val="single" w:sz="4" w:space="0" w:color="1F497D"/>
              <w:bottom w:val="single" w:sz="4" w:space="0" w:color="1F497D"/>
              <w:right w:val="nil"/>
            </w:tcBorders>
          </w:tcPr>
          <w:p w:rsidR="006C145C" w:rsidRDefault="006C145C"/>
        </w:tc>
        <w:tc>
          <w:tcPr>
            <w:tcW w:w="3370" w:type="dxa"/>
            <w:tcBorders>
              <w:top w:val="nil"/>
              <w:left w:val="nil"/>
              <w:bottom w:val="single" w:sz="4" w:space="0" w:color="1F497D"/>
              <w:right w:val="nil"/>
            </w:tcBorders>
            <w:shd w:val="clear" w:color="auto" w:fill="FFFF00"/>
          </w:tcPr>
          <w:p w:rsidR="006C145C" w:rsidRDefault="00C62E5A">
            <w:pPr>
              <w:spacing w:after="0"/>
              <w:jc w:val="both"/>
            </w:pPr>
            <w:r>
              <w:rPr>
                <w:rFonts w:ascii="Arial" w:eastAsia="Arial" w:hAnsi="Arial" w:cs="Arial"/>
                <w:color w:val="4F81BD"/>
                <w:sz w:val="20"/>
              </w:rPr>
              <w:t>quando solicitada pela Administração.</w:t>
            </w:r>
          </w:p>
        </w:tc>
        <w:tc>
          <w:tcPr>
            <w:tcW w:w="5343" w:type="dxa"/>
            <w:tcBorders>
              <w:top w:val="nil"/>
              <w:left w:val="nil"/>
              <w:bottom w:val="single" w:sz="4" w:space="0" w:color="1F497D"/>
              <w:right w:val="nil"/>
            </w:tcBorders>
            <w:shd w:val="clear" w:color="auto" w:fill="FFFFCC"/>
          </w:tcPr>
          <w:p w:rsidR="006C145C" w:rsidRDefault="00C62E5A">
            <w:pPr>
              <w:spacing w:after="0"/>
              <w:ind w:left="-3"/>
            </w:pPr>
            <w:r>
              <w:rPr>
                <w:rFonts w:ascii="Arial" w:eastAsia="Arial" w:hAnsi="Arial" w:cs="Arial"/>
                <w:color w:val="4F81BD"/>
                <w:sz w:val="20"/>
              </w:rPr>
              <w:t xml:space="preserve">  </w:t>
            </w:r>
          </w:p>
        </w:tc>
        <w:tc>
          <w:tcPr>
            <w:tcW w:w="0" w:type="auto"/>
            <w:vMerge/>
            <w:tcBorders>
              <w:top w:val="nil"/>
              <w:left w:val="nil"/>
              <w:bottom w:val="single" w:sz="4" w:space="0" w:color="1F497D"/>
              <w:right w:val="single" w:sz="4" w:space="0" w:color="1F497D"/>
            </w:tcBorders>
          </w:tcPr>
          <w:p w:rsidR="006C145C" w:rsidRDefault="006C145C"/>
        </w:tc>
      </w:tr>
    </w:tbl>
    <w:p w:rsidR="006C145C" w:rsidRDefault="00C62E5A">
      <w:pPr>
        <w:numPr>
          <w:ilvl w:val="2"/>
          <w:numId w:val="10"/>
        </w:numPr>
        <w:spacing w:after="130" w:line="269" w:lineRule="auto"/>
        <w:ind w:right="51" w:hanging="720"/>
        <w:jc w:val="both"/>
      </w:pPr>
      <w:r>
        <w:rPr>
          <w:rFonts w:ascii="Arial" w:eastAsia="Arial" w:hAnsi="Arial" w:cs="Arial"/>
          <w:sz w:val="20"/>
          <w:shd w:val="clear" w:color="auto" w:fill="FFFF00"/>
        </w:rPr>
        <w:t>Observar as cláusulas assecuratórias de direitos trabalhistas disposto na Instrução</w:t>
      </w:r>
      <w:r>
        <w:rPr>
          <w:rFonts w:ascii="Arial" w:eastAsia="Arial" w:hAnsi="Arial" w:cs="Arial"/>
          <w:sz w:val="20"/>
        </w:rPr>
        <w:t xml:space="preserve"> </w:t>
      </w:r>
      <w:r>
        <w:rPr>
          <w:rFonts w:ascii="Arial" w:eastAsia="Arial" w:hAnsi="Arial" w:cs="Arial"/>
          <w:sz w:val="20"/>
          <w:shd w:val="clear" w:color="auto" w:fill="FFFF00"/>
        </w:rPr>
        <w:t>Normativa nº 6, de 6 de julho de 2018, do Ministério do Planejamento Orçamento e Gestão.</w:t>
      </w:r>
      <w:r>
        <w:rPr>
          <w:rFonts w:ascii="Arial" w:eastAsia="Arial" w:hAnsi="Arial" w:cs="Arial"/>
          <w:sz w:val="20"/>
        </w:rPr>
        <w:t xml:space="preserve"> </w:t>
      </w:r>
    </w:p>
    <w:p w:rsidR="006C145C" w:rsidRDefault="00C62E5A">
      <w:pPr>
        <w:spacing w:after="0"/>
        <w:ind w:left="295"/>
      </w:pPr>
      <w:r>
        <w:rPr>
          <w:rFonts w:ascii="Arial" w:eastAsia="Arial" w:hAnsi="Arial" w:cs="Arial"/>
          <w:i/>
          <w:color w:val="FF0000"/>
          <w:sz w:val="20"/>
        </w:rPr>
        <w:t xml:space="preserve"> </w:t>
      </w:r>
    </w:p>
    <w:tbl>
      <w:tblPr>
        <w:tblStyle w:val="TableGrid"/>
        <w:tblW w:w="9297" w:type="dxa"/>
        <w:tblInd w:w="-536" w:type="dxa"/>
        <w:tblCellMar>
          <w:top w:w="4" w:type="dxa"/>
          <w:left w:w="0" w:type="dxa"/>
          <w:bottom w:w="0" w:type="dxa"/>
          <w:right w:w="0" w:type="dxa"/>
        </w:tblCellMar>
        <w:tblLook w:val="04A0" w:firstRow="1" w:lastRow="0" w:firstColumn="1" w:lastColumn="0" w:noHBand="0" w:noVBand="1"/>
      </w:tblPr>
      <w:tblGrid>
        <w:gridCol w:w="10"/>
        <w:gridCol w:w="7719"/>
        <w:gridCol w:w="2041"/>
        <w:gridCol w:w="57"/>
      </w:tblGrid>
      <w:tr w:rsidR="006C145C">
        <w:trPr>
          <w:trHeight w:val="1393"/>
        </w:trPr>
        <w:tc>
          <w:tcPr>
            <w:tcW w:w="112" w:type="dxa"/>
            <w:vMerge w:val="restart"/>
            <w:tcBorders>
              <w:top w:val="single" w:sz="4" w:space="0" w:color="1F497D"/>
              <w:left w:val="single" w:sz="4" w:space="0" w:color="1F497D"/>
              <w:bottom w:val="single" w:sz="4" w:space="0" w:color="1F497D"/>
              <w:right w:val="nil"/>
            </w:tcBorders>
            <w:shd w:val="clear" w:color="auto" w:fill="FFFFCC"/>
          </w:tcPr>
          <w:p w:rsidR="006C145C" w:rsidRDefault="006C145C"/>
        </w:tc>
        <w:tc>
          <w:tcPr>
            <w:tcW w:w="9073" w:type="dxa"/>
            <w:gridSpan w:val="2"/>
            <w:tcBorders>
              <w:top w:val="single" w:sz="4" w:space="0" w:color="1F497D"/>
              <w:left w:val="nil"/>
              <w:bottom w:val="nil"/>
              <w:right w:val="nil"/>
            </w:tcBorders>
            <w:shd w:val="clear" w:color="auto" w:fill="FFFFCC"/>
          </w:tcPr>
          <w:p w:rsidR="006C145C" w:rsidRDefault="006C145C">
            <w:pPr>
              <w:spacing w:after="0"/>
              <w:ind w:left="-1702" w:right="10775"/>
            </w:pPr>
          </w:p>
          <w:tbl>
            <w:tblPr>
              <w:tblStyle w:val="TableGrid"/>
              <w:tblW w:w="9073" w:type="dxa"/>
              <w:tblInd w:w="0" w:type="dxa"/>
              <w:tblCellMar>
                <w:top w:w="5" w:type="dxa"/>
                <w:left w:w="0" w:type="dxa"/>
                <w:bottom w:w="0" w:type="dxa"/>
                <w:right w:w="3" w:type="dxa"/>
              </w:tblCellMar>
              <w:tblLook w:val="04A0" w:firstRow="1" w:lastRow="0" w:firstColumn="1" w:lastColumn="0" w:noHBand="0" w:noVBand="1"/>
            </w:tblPr>
            <w:tblGrid>
              <w:gridCol w:w="9073"/>
            </w:tblGrid>
            <w:tr w:rsidR="006C145C">
              <w:trPr>
                <w:trHeight w:val="1380"/>
              </w:trPr>
              <w:tc>
                <w:tcPr>
                  <w:tcW w:w="9073" w:type="dxa"/>
                  <w:tcBorders>
                    <w:top w:val="nil"/>
                    <w:left w:val="nil"/>
                    <w:bottom w:val="nil"/>
                    <w:right w:val="nil"/>
                  </w:tcBorders>
                  <w:shd w:val="clear" w:color="auto" w:fill="FFFF00"/>
                </w:tcPr>
                <w:p w:rsidR="006C145C" w:rsidRDefault="00C62E5A">
                  <w:pPr>
                    <w:spacing w:after="0"/>
                    <w:jc w:val="both"/>
                  </w:pPr>
                  <w:r>
                    <w:rPr>
                      <w:rFonts w:ascii="Arial" w:eastAsia="Arial" w:hAnsi="Arial" w:cs="Arial"/>
                      <w:b/>
                      <w:i/>
                      <w:sz w:val="20"/>
                    </w:rPr>
                    <w:t>Nota Explicativa:</w:t>
                  </w:r>
                  <w:r>
                    <w:rPr>
                      <w:rFonts w:ascii="Arial" w:eastAsia="Arial" w:hAnsi="Arial" w:cs="Arial"/>
                      <w:i/>
                      <w:sz w:val="20"/>
                    </w:rPr>
                    <w:t xml:space="preserve"> </w:t>
                  </w:r>
                  <w:r>
                    <w:rPr>
                      <w:rFonts w:ascii="Arial" w:eastAsia="Arial" w:hAnsi="Arial" w:cs="Arial"/>
                      <w:i/>
                      <w:sz w:val="20"/>
                    </w:rPr>
                    <w:t xml:space="preserve">As obrigações da Contratada são as estabelecidas no Termo de Referência, contudo, por força de Ação Civil Pública intentada pelo Ministério Público do Trabalho contra o DNIT Departamento Nacional de Infraestrutura de Transportes, na qual pleiteou-se que o </w:t>
                  </w:r>
                  <w:r>
                    <w:rPr>
                      <w:rFonts w:ascii="Arial" w:eastAsia="Arial" w:hAnsi="Arial" w:cs="Arial"/>
                      <w:i/>
                      <w:sz w:val="20"/>
                    </w:rPr>
                    <w:t>DNIT observasse, em seus editais de contratações relacionadas a obras públicas e à execução ou fornecimento de serviços, o contido na Convenção nº 94 da OIT, bem como em atendimento a Instrução Normativa nº 6, de 6 de julho de 2018 e Decreto nº 9.507, de 2</w:t>
                  </w:r>
                  <w:r>
                    <w:rPr>
                      <w:rFonts w:ascii="Arial" w:eastAsia="Arial" w:hAnsi="Arial" w:cs="Arial"/>
                      <w:i/>
                      <w:sz w:val="20"/>
                    </w:rPr>
                    <w:t>1 de setembro de 2018, as cláusulas acima deverão</w:t>
                  </w:r>
                </w:p>
              </w:tc>
            </w:tr>
          </w:tbl>
          <w:p w:rsidR="006C145C" w:rsidRDefault="006C145C"/>
        </w:tc>
        <w:tc>
          <w:tcPr>
            <w:tcW w:w="112" w:type="dxa"/>
            <w:vMerge w:val="restart"/>
            <w:tcBorders>
              <w:top w:val="single" w:sz="4" w:space="0" w:color="1F497D"/>
              <w:left w:val="nil"/>
              <w:bottom w:val="single" w:sz="4" w:space="0" w:color="1F497D"/>
              <w:right w:val="single" w:sz="4" w:space="0" w:color="1F497D"/>
            </w:tcBorders>
            <w:shd w:val="clear" w:color="auto" w:fill="FFFFCC"/>
          </w:tcPr>
          <w:p w:rsidR="006C145C" w:rsidRDefault="00C62E5A">
            <w:pPr>
              <w:spacing w:after="0"/>
              <w:ind w:left="-9"/>
            </w:pPr>
            <w:r>
              <w:rPr>
                <w:rFonts w:ascii="Arial" w:eastAsia="Arial" w:hAnsi="Arial" w:cs="Arial"/>
                <w:i/>
                <w:sz w:val="20"/>
              </w:rPr>
              <w:t xml:space="preserve"> </w:t>
            </w:r>
          </w:p>
          <w:p w:rsidR="006C145C" w:rsidRDefault="00C62E5A">
            <w:pPr>
              <w:spacing w:after="0" w:line="241" w:lineRule="auto"/>
              <w:ind w:left="-2" w:right="56"/>
              <w:jc w:val="both"/>
            </w:pPr>
            <w:r>
              <w:rPr>
                <w:rFonts w:ascii="Arial" w:eastAsia="Arial" w:hAnsi="Arial" w:cs="Arial"/>
                <w:i/>
                <w:sz w:val="20"/>
              </w:rPr>
              <w:t xml:space="preserve">  </w:t>
            </w:r>
          </w:p>
          <w:p w:rsidR="006C145C" w:rsidRDefault="00C62E5A">
            <w:pPr>
              <w:spacing w:after="0"/>
              <w:ind w:left="-11"/>
            </w:pPr>
            <w:r>
              <w:rPr>
                <w:rFonts w:ascii="Arial" w:eastAsia="Arial" w:hAnsi="Arial" w:cs="Arial"/>
                <w:i/>
                <w:sz w:val="20"/>
              </w:rPr>
              <w:t xml:space="preserve"> </w:t>
            </w:r>
          </w:p>
          <w:p w:rsidR="006C145C" w:rsidRDefault="00C62E5A">
            <w:pPr>
              <w:spacing w:after="0"/>
              <w:ind w:left="-12"/>
            </w:pPr>
            <w:r>
              <w:rPr>
                <w:rFonts w:ascii="Arial" w:eastAsia="Arial" w:hAnsi="Arial" w:cs="Arial"/>
                <w:i/>
                <w:sz w:val="20"/>
              </w:rPr>
              <w:t xml:space="preserve"> </w:t>
            </w:r>
          </w:p>
          <w:p w:rsidR="006C145C" w:rsidRDefault="00C62E5A">
            <w:pPr>
              <w:spacing w:after="0"/>
              <w:ind w:left="-4"/>
            </w:pPr>
            <w:r>
              <w:rPr>
                <w:rFonts w:ascii="Arial" w:eastAsia="Arial" w:hAnsi="Arial" w:cs="Arial"/>
                <w:i/>
                <w:sz w:val="20"/>
              </w:rPr>
              <w:t xml:space="preserve"> </w:t>
            </w:r>
          </w:p>
        </w:tc>
      </w:tr>
      <w:tr w:rsidR="006C145C">
        <w:trPr>
          <w:trHeight w:val="234"/>
        </w:trPr>
        <w:tc>
          <w:tcPr>
            <w:tcW w:w="0" w:type="auto"/>
            <w:vMerge/>
            <w:tcBorders>
              <w:top w:val="nil"/>
              <w:left w:val="single" w:sz="4" w:space="0" w:color="1F497D"/>
              <w:bottom w:val="single" w:sz="4" w:space="0" w:color="1F497D"/>
              <w:right w:val="nil"/>
            </w:tcBorders>
          </w:tcPr>
          <w:p w:rsidR="006C145C" w:rsidRDefault="006C145C"/>
        </w:tc>
        <w:tc>
          <w:tcPr>
            <w:tcW w:w="6882" w:type="dxa"/>
            <w:tcBorders>
              <w:top w:val="nil"/>
              <w:left w:val="nil"/>
              <w:bottom w:val="single" w:sz="4" w:space="0" w:color="1F497D"/>
              <w:right w:val="nil"/>
            </w:tcBorders>
            <w:shd w:val="clear" w:color="auto" w:fill="FFFF00"/>
          </w:tcPr>
          <w:p w:rsidR="006C145C" w:rsidRDefault="00C62E5A">
            <w:pPr>
              <w:spacing w:after="0"/>
              <w:jc w:val="both"/>
            </w:pPr>
            <w:r>
              <w:rPr>
                <w:rFonts w:ascii="Arial" w:eastAsia="Arial" w:hAnsi="Arial" w:cs="Arial"/>
                <w:i/>
                <w:sz w:val="20"/>
              </w:rPr>
              <w:t>estar expressamente previstas no campo OBRIGAÇÕES DA CONTRATADA.</w:t>
            </w:r>
          </w:p>
        </w:tc>
        <w:tc>
          <w:tcPr>
            <w:tcW w:w="2192" w:type="dxa"/>
            <w:tcBorders>
              <w:top w:val="nil"/>
              <w:left w:val="nil"/>
              <w:bottom w:val="single" w:sz="4" w:space="0" w:color="1F497D"/>
              <w:right w:val="nil"/>
            </w:tcBorders>
            <w:shd w:val="clear" w:color="auto" w:fill="FFFFCC"/>
          </w:tcPr>
          <w:p w:rsidR="006C145C" w:rsidRDefault="00C62E5A">
            <w:pPr>
              <w:spacing w:after="0"/>
            </w:pPr>
            <w:r>
              <w:rPr>
                <w:rFonts w:ascii="Arial" w:eastAsia="Arial" w:hAnsi="Arial" w:cs="Arial"/>
                <w:i/>
                <w:sz w:val="20"/>
              </w:rPr>
              <w:t xml:space="preserve"> </w:t>
            </w:r>
          </w:p>
        </w:tc>
        <w:tc>
          <w:tcPr>
            <w:tcW w:w="0" w:type="auto"/>
            <w:vMerge/>
            <w:tcBorders>
              <w:top w:val="nil"/>
              <w:left w:val="nil"/>
              <w:bottom w:val="single" w:sz="4" w:space="0" w:color="1F497D"/>
              <w:right w:val="single" w:sz="4" w:space="0" w:color="1F497D"/>
            </w:tcBorders>
          </w:tcPr>
          <w:p w:rsidR="006C145C" w:rsidRDefault="006C145C"/>
        </w:tc>
      </w:tr>
    </w:tbl>
    <w:p w:rsidR="006C145C" w:rsidRDefault="00C62E5A">
      <w:pPr>
        <w:spacing w:after="495"/>
        <w:ind w:left="2422"/>
      </w:pPr>
      <w:r>
        <w:rPr>
          <w:rFonts w:ascii="Arial" w:eastAsia="Arial" w:hAnsi="Arial" w:cs="Arial"/>
          <w:sz w:val="20"/>
        </w:rPr>
        <w:t xml:space="preserve"> </w:t>
      </w:r>
    </w:p>
    <w:p w:rsidR="006C145C" w:rsidRDefault="00C62E5A">
      <w:pPr>
        <w:pStyle w:val="Ttulo4"/>
        <w:ind w:left="7" w:right="37"/>
      </w:pPr>
      <w:r>
        <w:t xml:space="preserve">20 DO PAGAMENTO </w:t>
      </w:r>
    </w:p>
    <w:p w:rsidR="006C145C" w:rsidRDefault="00C62E5A">
      <w:pPr>
        <w:spacing w:after="130" w:line="269" w:lineRule="auto"/>
        <w:ind w:left="785" w:right="51" w:hanging="360"/>
        <w:jc w:val="both"/>
      </w:pPr>
      <w:r>
        <w:rPr>
          <w:rFonts w:ascii="Arial" w:eastAsia="Arial" w:hAnsi="Arial" w:cs="Arial"/>
          <w:sz w:val="20"/>
          <w:shd w:val="clear" w:color="auto" w:fill="FFFF00"/>
        </w:rPr>
        <w:t>20.1 Além das regras acerca do pagamento estabelecidas no Termo de Referência, anexo</w:t>
      </w:r>
      <w:r>
        <w:rPr>
          <w:rFonts w:ascii="Arial" w:eastAsia="Arial" w:hAnsi="Arial" w:cs="Arial"/>
          <w:sz w:val="20"/>
        </w:rPr>
        <w:t xml:space="preserve"> </w:t>
      </w:r>
      <w:r>
        <w:rPr>
          <w:rFonts w:ascii="Arial" w:eastAsia="Arial" w:hAnsi="Arial" w:cs="Arial"/>
          <w:sz w:val="20"/>
          <w:shd w:val="clear" w:color="auto" w:fill="FFFF00"/>
        </w:rPr>
        <w:t>a este Edital:</w:t>
      </w:r>
      <w:r>
        <w:rPr>
          <w:rFonts w:ascii="Arial" w:eastAsia="Arial" w:hAnsi="Arial" w:cs="Arial"/>
          <w:sz w:val="20"/>
        </w:rPr>
        <w:t xml:space="preserve"> </w:t>
      </w:r>
    </w:p>
    <w:p w:rsidR="006C145C" w:rsidRDefault="00C62E5A">
      <w:pPr>
        <w:spacing w:after="6" w:line="269" w:lineRule="auto"/>
        <w:ind w:left="1155" w:right="51" w:hanging="730"/>
        <w:jc w:val="both"/>
      </w:pPr>
      <w:r>
        <w:rPr>
          <w:rFonts w:ascii="Arial" w:eastAsia="Arial" w:hAnsi="Arial" w:cs="Arial"/>
          <w:sz w:val="20"/>
          <w:shd w:val="clear" w:color="auto" w:fill="FFFF00"/>
        </w:rPr>
        <w:t>20.1.1 A Nota Fiscal/Fatura deverá estar devidamente acompanhada das respectivas</w:t>
      </w:r>
      <w:r>
        <w:rPr>
          <w:rFonts w:ascii="Arial" w:eastAsia="Arial" w:hAnsi="Arial" w:cs="Arial"/>
          <w:sz w:val="20"/>
        </w:rPr>
        <w:t xml:space="preserve"> </w:t>
      </w:r>
      <w:r>
        <w:rPr>
          <w:rFonts w:ascii="Arial" w:eastAsia="Arial" w:hAnsi="Arial" w:cs="Arial"/>
          <w:sz w:val="20"/>
          <w:shd w:val="clear" w:color="auto" w:fill="FFFF00"/>
        </w:rPr>
        <w:t>comprovações de regularidade para com os encargos previdenciários, trabalhistas e</w:t>
      </w:r>
      <w:r>
        <w:rPr>
          <w:rFonts w:ascii="Arial" w:eastAsia="Arial" w:hAnsi="Arial" w:cs="Arial"/>
          <w:sz w:val="20"/>
        </w:rPr>
        <w:t xml:space="preserve"> </w:t>
      </w:r>
      <w:r>
        <w:rPr>
          <w:rFonts w:ascii="Arial" w:eastAsia="Arial" w:hAnsi="Arial" w:cs="Arial"/>
          <w:sz w:val="20"/>
          <w:shd w:val="clear" w:color="auto" w:fill="FFFF00"/>
        </w:rPr>
        <w:t>fiscais;</w:t>
      </w:r>
      <w:r>
        <w:rPr>
          <w:rFonts w:ascii="Arial" w:eastAsia="Arial" w:hAnsi="Arial" w:cs="Arial"/>
          <w:sz w:val="20"/>
        </w:rPr>
        <w:t xml:space="preserve"> </w:t>
      </w:r>
    </w:p>
    <w:p w:rsidR="006C145C" w:rsidRDefault="00C62E5A">
      <w:pPr>
        <w:spacing w:after="7" w:line="269" w:lineRule="auto"/>
        <w:ind w:left="1155" w:right="51" w:hanging="730"/>
        <w:jc w:val="both"/>
      </w:pPr>
      <w:r>
        <w:rPr>
          <w:rFonts w:ascii="Arial" w:eastAsia="Arial" w:hAnsi="Arial" w:cs="Arial"/>
          <w:sz w:val="20"/>
          <w:shd w:val="clear" w:color="auto" w:fill="FFFF00"/>
        </w:rPr>
        <w:t xml:space="preserve">20.1.2 </w:t>
      </w:r>
      <w:r>
        <w:rPr>
          <w:rFonts w:ascii="Arial" w:eastAsia="Arial" w:hAnsi="Arial" w:cs="Arial"/>
          <w:sz w:val="20"/>
          <w:shd w:val="clear" w:color="auto" w:fill="FFFF00"/>
        </w:rPr>
        <w:t>O pagamento mensal fica condicionado a comprovação do pagamento das obrigações</w:t>
      </w:r>
      <w:r>
        <w:rPr>
          <w:rFonts w:ascii="Arial" w:eastAsia="Arial" w:hAnsi="Arial" w:cs="Arial"/>
          <w:sz w:val="20"/>
        </w:rPr>
        <w:t xml:space="preserve"> </w:t>
      </w:r>
      <w:r>
        <w:rPr>
          <w:rFonts w:ascii="Arial" w:eastAsia="Arial" w:hAnsi="Arial" w:cs="Arial"/>
          <w:sz w:val="20"/>
          <w:shd w:val="clear" w:color="auto" w:fill="FFFF00"/>
        </w:rPr>
        <w:t>trabalhistas, previdenciárias e para com o Fundo de Garantia do Tempo de Serviço –</w:t>
      </w:r>
      <w:r>
        <w:rPr>
          <w:rFonts w:ascii="Arial" w:eastAsia="Arial" w:hAnsi="Arial" w:cs="Arial"/>
          <w:sz w:val="20"/>
        </w:rPr>
        <w:t xml:space="preserve"> </w:t>
      </w:r>
      <w:r>
        <w:rPr>
          <w:rFonts w:ascii="Arial" w:eastAsia="Arial" w:hAnsi="Arial" w:cs="Arial"/>
          <w:sz w:val="20"/>
          <w:shd w:val="clear" w:color="auto" w:fill="FFFF00"/>
        </w:rPr>
        <w:t>FGTS pela contratada relativas aos empregados que tenham participado da execução dos</w:t>
      </w:r>
      <w:r>
        <w:rPr>
          <w:rFonts w:ascii="Arial" w:eastAsia="Arial" w:hAnsi="Arial" w:cs="Arial"/>
          <w:sz w:val="20"/>
        </w:rPr>
        <w:t xml:space="preserve"> </w:t>
      </w:r>
      <w:r>
        <w:rPr>
          <w:rFonts w:ascii="Arial" w:eastAsia="Arial" w:hAnsi="Arial" w:cs="Arial"/>
          <w:sz w:val="20"/>
          <w:shd w:val="clear" w:color="auto" w:fill="FFFF00"/>
        </w:rPr>
        <w:t xml:space="preserve">serviços </w:t>
      </w:r>
      <w:r>
        <w:rPr>
          <w:rFonts w:ascii="Arial" w:eastAsia="Arial" w:hAnsi="Arial" w:cs="Arial"/>
          <w:sz w:val="20"/>
          <w:shd w:val="clear" w:color="auto" w:fill="FFFF00"/>
        </w:rPr>
        <w:t>contratados;</w:t>
      </w:r>
      <w:r>
        <w:rPr>
          <w:rFonts w:ascii="Arial" w:eastAsia="Arial" w:hAnsi="Arial" w:cs="Arial"/>
          <w:sz w:val="20"/>
        </w:rPr>
        <w:t xml:space="preserve"> </w:t>
      </w:r>
    </w:p>
    <w:p w:rsidR="006C145C" w:rsidRDefault="00C62E5A">
      <w:pPr>
        <w:spacing w:after="14"/>
        <w:ind w:left="1505"/>
      </w:pPr>
      <w:r>
        <w:rPr>
          <w:rFonts w:ascii="Arial" w:eastAsia="Arial" w:hAnsi="Arial" w:cs="Arial"/>
          <w:sz w:val="20"/>
        </w:rPr>
        <w:t xml:space="preserve"> </w:t>
      </w:r>
    </w:p>
    <w:p w:rsidR="006C145C" w:rsidRDefault="00C62E5A">
      <w:pPr>
        <w:spacing w:after="8" w:line="269" w:lineRule="auto"/>
        <w:ind w:left="1190" w:right="51" w:hanging="338"/>
        <w:jc w:val="both"/>
      </w:pPr>
      <w:r>
        <w:rPr>
          <w:rFonts w:ascii="Arial" w:eastAsia="Arial" w:hAnsi="Arial" w:cs="Arial"/>
          <w:i/>
          <w:color w:val="FF0000"/>
          <w:sz w:val="20"/>
          <w:shd w:val="clear" w:color="auto" w:fill="FFFF00"/>
        </w:rPr>
        <w:t>10.1.3 Os valores destinados ao pagamento das férias, décimo terceiro salário, ausências</w:t>
      </w:r>
      <w:r>
        <w:rPr>
          <w:rFonts w:ascii="Arial" w:eastAsia="Arial" w:hAnsi="Arial" w:cs="Arial"/>
          <w:i/>
          <w:color w:val="FF0000"/>
          <w:sz w:val="20"/>
        </w:rPr>
        <w:t xml:space="preserve"> </w:t>
      </w:r>
      <w:r>
        <w:rPr>
          <w:rFonts w:ascii="Arial" w:eastAsia="Arial" w:hAnsi="Arial" w:cs="Arial"/>
          <w:i/>
          <w:color w:val="FF0000"/>
          <w:sz w:val="20"/>
          <w:shd w:val="clear" w:color="auto" w:fill="FFFF00"/>
        </w:rPr>
        <w:t>legais e verbas rescisórias dos empregados da contratada que participarem da execução</w:t>
      </w:r>
      <w:r>
        <w:rPr>
          <w:rFonts w:ascii="Arial" w:eastAsia="Arial" w:hAnsi="Arial" w:cs="Arial"/>
          <w:i/>
          <w:color w:val="FF0000"/>
          <w:sz w:val="20"/>
        </w:rPr>
        <w:t xml:space="preserve"> </w:t>
      </w:r>
      <w:r>
        <w:rPr>
          <w:rFonts w:ascii="Arial" w:eastAsia="Arial" w:hAnsi="Arial" w:cs="Arial"/>
          <w:i/>
          <w:color w:val="FF0000"/>
          <w:sz w:val="20"/>
          <w:shd w:val="clear" w:color="auto" w:fill="FFFF00"/>
        </w:rPr>
        <w:t>dos serviços contratados serão efetuados pela contratante à contr</w:t>
      </w:r>
      <w:r>
        <w:rPr>
          <w:rFonts w:ascii="Arial" w:eastAsia="Arial" w:hAnsi="Arial" w:cs="Arial"/>
          <w:i/>
          <w:color w:val="FF0000"/>
          <w:sz w:val="20"/>
          <w:shd w:val="clear" w:color="auto" w:fill="FFFF00"/>
        </w:rPr>
        <w:t>atada somente na</w:t>
      </w:r>
      <w:r>
        <w:rPr>
          <w:rFonts w:ascii="Arial" w:eastAsia="Arial" w:hAnsi="Arial" w:cs="Arial"/>
          <w:i/>
          <w:color w:val="FF0000"/>
          <w:sz w:val="20"/>
        </w:rPr>
        <w:t xml:space="preserve"> </w:t>
      </w:r>
      <w:r>
        <w:rPr>
          <w:rFonts w:ascii="Arial" w:eastAsia="Arial" w:hAnsi="Arial" w:cs="Arial"/>
          <w:i/>
          <w:color w:val="FF0000"/>
          <w:sz w:val="20"/>
          <w:shd w:val="clear" w:color="auto" w:fill="FFFF00"/>
        </w:rPr>
        <w:t>ocorrência do fato gerador;</w:t>
      </w:r>
      <w:r>
        <w:rPr>
          <w:rFonts w:ascii="Arial" w:eastAsia="Arial" w:hAnsi="Arial" w:cs="Arial"/>
          <w:i/>
          <w:color w:val="FF0000"/>
          <w:sz w:val="20"/>
        </w:rPr>
        <w:t xml:space="preserve"> </w:t>
      </w:r>
    </w:p>
    <w:p w:rsidR="006C145C" w:rsidRDefault="00C62E5A">
      <w:pPr>
        <w:spacing w:after="17"/>
        <w:ind w:left="1505"/>
      </w:pPr>
      <w:r>
        <w:rPr>
          <w:rFonts w:ascii="Arial" w:eastAsia="Arial" w:hAnsi="Arial" w:cs="Arial"/>
          <w:i/>
          <w:color w:val="FF0000"/>
          <w:sz w:val="20"/>
        </w:rPr>
        <w:t xml:space="preserve"> </w:t>
      </w:r>
    </w:p>
    <w:p w:rsidR="006C145C" w:rsidRDefault="00C62E5A">
      <w:pPr>
        <w:spacing w:after="8" w:line="269" w:lineRule="auto"/>
        <w:ind w:left="1505" w:right="51"/>
        <w:jc w:val="both"/>
      </w:pPr>
      <w:r>
        <w:rPr>
          <w:rFonts w:ascii="Arial" w:eastAsia="Arial" w:hAnsi="Arial" w:cs="Arial"/>
          <w:i/>
          <w:color w:val="FF0000"/>
          <w:sz w:val="20"/>
          <w:shd w:val="clear" w:color="auto" w:fill="FFFF00"/>
        </w:rPr>
        <w:t>Ou</w:t>
      </w:r>
      <w:r>
        <w:rPr>
          <w:rFonts w:ascii="Arial" w:eastAsia="Arial" w:hAnsi="Arial" w:cs="Arial"/>
          <w:i/>
          <w:color w:val="FF0000"/>
          <w:sz w:val="20"/>
        </w:rPr>
        <w:t xml:space="preserve">  </w:t>
      </w:r>
    </w:p>
    <w:p w:rsidR="006C145C" w:rsidRDefault="00C62E5A">
      <w:pPr>
        <w:spacing w:after="19"/>
        <w:ind w:left="1505"/>
      </w:pPr>
      <w:r>
        <w:rPr>
          <w:rFonts w:ascii="Arial" w:eastAsia="Arial" w:hAnsi="Arial" w:cs="Arial"/>
          <w:i/>
          <w:color w:val="FF0000"/>
          <w:sz w:val="20"/>
        </w:rPr>
        <w:t xml:space="preserve"> </w:t>
      </w:r>
    </w:p>
    <w:p w:rsidR="006C145C" w:rsidRDefault="00C62E5A">
      <w:pPr>
        <w:spacing w:after="8" w:line="269" w:lineRule="auto"/>
        <w:ind w:left="1155" w:right="51" w:hanging="730"/>
        <w:jc w:val="both"/>
      </w:pPr>
      <w:r>
        <w:rPr>
          <w:rFonts w:ascii="Arial" w:eastAsia="Arial" w:hAnsi="Arial" w:cs="Arial"/>
          <w:i/>
          <w:color w:val="FF0000"/>
          <w:sz w:val="20"/>
          <w:shd w:val="clear" w:color="auto" w:fill="FFFF00"/>
        </w:rPr>
        <w:t>20.1.3 Os valores destinados ao pagamento das férias, décimo terceiro salário e verbas</w:t>
      </w:r>
      <w:r>
        <w:rPr>
          <w:rFonts w:ascii="Arial" w:eastAsia="Arial" w:hAnsi="Arial" w:cs="Arial"/>
          <w:i/>
          <w:color w:val="FF0000"/>
          <w:sz w:val="20"/>
        </w:rPr>
        <w:t xml:space="preserve"> </w:t>
      </w:r>
      <w:r>
        <w:rPr>
          <w:rFonts w:ascii="Arial" w:eastAsia="Arial" w:hAnsi="Arial" w:cs="Arial"/>
          <w:i/>
          <w:color w:val="FF0000"/>
          <w:sz w:val="20"/>
          <w:shd w:val="clear" w:color="auto" w:fill="FFFF00"/>
        </w:rPr>
        <w:t>rescisórias dos empregados da contratada que participarem da execução dos serviços</w:t>
      </w:r>
      <w:r>
        <w:rPr>
          <w:rFonts w:ascii="Arial" w:eastAsia="Arial" w:hAnsi="Arial" w:cs="Arial"/>
          <w:i/>
          <w:color w:val="FF0000"/>
          <w:sz w:val="20"/>
        </w:rPr>
        <w:t xml:space="preserve"> </w:t>
      </w:r>
      <w:r>
        <w:rPr>
          <w:rFonts w:ascii="Arial" w:eastAsia="Arial" w:hAnsi="Arial" w:cs="Arial"/>
          <w:i/>
          <w:color w:val="FF0000"/>
          <w:sz w:val="20"/>
          <w:shd w:val="clear" w:color="auto" w:fill="FFFF00"/>
        </w:rPr>
        <w:t>contratados serão depositados p</w:t>
      </w:r>
      <w:r>
        <w:rPr>
          <w:rFonts w:ascii="Arial" w:eastAsia="Arial" w:hAnsi="Arial" w:cs="Arial"/>
          <w:i/>
          <w:color w:val="FF0000"/>
          <w:sz w:val="20"/>
          <w:shd w:val="clear" w:color="auto" w:fill="FFFF00"/>
        </w:rPr>
        <w:t>ela contratante em conta vinculada específica, aberta em</w:t>
      </w:r>
      <w:r>
        <w:rPr>
          <w:rFonts w:ascii="Arial" w:eastAsia="Arial" w:hAnsi="Arial" w:cs="Arial"/>
          <w:i/>
          <w:color w:val="FF0000"/>
          <w:sz w:val="20"/>
        </w:rPr>
        <w:t xml:space="preserve"> </w:t>
      </w:r>
      <w:r>
        <w:rPr>
          <w:rFonts w:ascii="Arial" w:eastAsia="Arial" w:hAnsi="Arial" w:cs="Arial"/>
          <w:i/>
          <w:color w:val="FF0000"/>
          <w:sz w:val="20"/>
          <w:shd w:val="clear" w:color="auto" w:fill="FFFF00"/>
        </w:rPr>
        <w:t>nome da contratada e com movimentação autorizada pela contratante.</w:t>
      </w:r>
      <w:r>
        <w:rPr>
          <w:rFonts w:ascii="Arial" w:eastAsia="Arial" w:hAnsi="Arial" w:cs="Arial"/>
          <w:i/>
          <w:color w:val="FF0000"/>
          <w:sz w:val="20"/>
        </w:rPr>
        <w:t xml:space="preserve"> </w:t>
      </w:r>
    </w:p>
    <w:p w:rsidR="006C145C" w:rsidRDefault="00C62E5A">
      <w:pPr>
        <w:spacing w:after="7" w:line="269" w:lineRule="auto"/>
        <w:ind w:left="1155" w:right="51" w:hanging="730"/>
        <w:jc w:val="both"/>
      </w:pPr>
      <w:r>
        <w:rPr>
          <w:rFonts w:ascii="Arial" w:eastAsia="Arial" w:hAnsi="Arial" w:cs="Arial"/>
          <w:sz w:val="20"/>
          <w:shd w:val="clear" w:color="auto" w:fill="FFFF00"/>
        </w:rPr>
        <w:t>20.1.4 Caso se constate o descumprimento de obrigações trabalhistas ou da manutenção das</w:t>
      </w:r>
      <w:r>
        <w:rPr>
          <w:rFonts w:ascii="Arial" w:eastAsia="Arial" w:hAnsi="Arial" w:cs="Arial"/>
          <w:sz w:val="20"/>
        </w:rPr>
        <w:t xml:space="preserve"> </w:t>
      </w:r>
      <w:r>
        <w:rPr>
          <w:rFonts w:ascii="Arial" w:eastAsia="Arial" w:hAnsi="Arial" w:cs="Arial"/>
          <w:sz w:val="20"/>
          <w:shd w:val="clear" w:color="auto" w:fill="FFFF00"/>
        </w:rPr>
        <w:t>condições exigidas para habilitação poderá</w:t>
      </w:r>
      <w:r>
        <w:rPr>
          <w:rFonts w:ascii="Arial" w:eastAsia="Arial" w:hAnsi="Arial" w:cs="Arial"/>
          <w:sz w:val="20"/>
          <w:shd w:val="clear" w:color="auto" w:fill="FFFF00"/>
        </w:rPr>
        <w:t xml:space="preserve"> ser concedido um prazo para que a Contratada</w:t>
      </w:r>
      <w:r>
        <w:rPr>
          <w:rFonts w:ascii="Arial" w:eastAsia="Arial" w:hAnsi="Arial" w:cs="Arial"/>
          <w:sz w:val="20"/>
        </w:rPr>
        <w:t xml:space="preserve"> </w:t>
      </w:r>
      <w:r>
        <w:rPr>
          <w:rFonts w:ascii="Arial" w:eastAsia="Arial" w:hAnsi="Arial" w:cs="Arial"/>
          <w:sz w:val="20"/>
          <w:shd w:val="clear" w:color="auto" w:fill="FFFF00"/>
        </w:rPr>
        <w:lastRenderedPageBreak/>
        <w:t>regularize suas obrigações, quando não se identificar má-fé ou a incapacidade de corrigir</w:t>
      </w:r>
      <w:r>
        <w:rPr>
          <w:rFonts w:ascii="Arial" w:eastAsia="Arial" w:hAnsi="Arial" w:cs="Arial"/>
          <w:sz w:val="20"/>
        </w:rPr>
        <w:t xml:space="preserve"> </w:t>
      </w:r>
      <w:r>
        <w:rPr>
          <w:rFonts w:ascii="Arial" w:eastAsia="Arial" w:hAnsi="Arial" w:cs="Arial"/>
          <w:sz w:val="20"/>
          <w:shd w:val="clear" w:color="auto" w:fill="FFFF00"/>
        </w:rPr>
        <w:t>a situação.</w:t>
      </w:r>
      <w:r>
        <w:rPr>
          <w:rFonts w:ascii="Arial" w:eastAsia="Arial" w:hAnsi="Arial" w:cs="Arial"/>
          <w:sz w:val="20"/>
        </w:rPr>
        <w:t xml:space="preserve">  </w:t>
      </w:r>
    </w:p>
    <w:p w:rsidR="006C145C" w:rsidRDefault="00C62E5A">
      <w:pPr>
        <w:spacing w:after="9" w:line="269" w:lineRule="auto"/>
        <w:ind w:left="2432" w:right="51" w:hanging="730"/>
        <w:jc w:val="both"/>
      </w:pPr>
      <w:r>
        <w:rPr>
          <w:rFonts w:ascii="Arial" w:eastAsia="Arial" w:hAnsi="Arial" w:cs="Arial"/>
          <w:sz w:val="20"/>
          <w:shd w:val="clear" w:color="auto" w:fill="FFFF00"/>
        </w:rPr>
        <w:t>20.1.4.1 Não sendo regularizada a situação da Contratada no prazo concedido,</w:t>
      </w:r>
      <w:r>
        <w:rPr>
          <w:rFonts w:ascii="Arial" w:eastAsia="Arial" w:hAnsi="Arial" w:cs="Arial"/>
          <w:sz w:val="20"/>
        </w:rPr>
        <w:t xml:space="preserve"> </w:t>
      </w:r>
      <w:r>
        <w:rPr>
          <w:rFonts w:ascii="Arial" w:eastAsia="Arial" w:hAnsi="Arial" w:cs="Arial"/>
          <w:sz w:val="20"/>
          <w:shd w:val="clear" w:color="auto" w:fill="FFFF00"/>
        </w:rPr>
        <w:t>ou nos casos em que identific</w:t>
      </w:r>
      <w:r>
        <w:rPr>
          <w:rFonts w:ascii="Arial" w:eastAsia="Arial" w:hAnsi="Arial" w:cs="Arial"/>
          <w:sz w:val="20"/>
          <w:shd w:val="clear" w:color="auto" w:fill="FFFF00"/>
        </w:rPr>
        <w:t>ada má-fé, se não for possível a realização</w:t>
      </w:r>
      <w:r>
        <w:rPr>
          <w:rFonts w:ascii="Arial" w:eastAsia="Arial" w:hAnsi="Arial" w:cs="Arial"/>
          <w:sz w:val="20"/>
        </w:rPr>
        <w:t xml:space="preserve"> </w:t>
      </w:r>
      <w:r>
        <w:rPr>
          <w:rFonts w:ascii="Arial" w:eastAsia="Arial" w:hAnsi="Arial" w:cs="Arial"/>
          <w:sz w:val="20"/>
          <w:shd w:val="clear" w:color="auto" w:fill="FFFF00"/>
        </w:rPr>
        <w:t>desses pagamentos pela própria Administração, os valores retidos</w:t>
      </w:r>
      <w:r>
        <w:rPr>
          <w:rFonts w:ascii="Arial" w:eastAsia="Arial" w:hAnsi="Arial" w:cs="Arial"/>
          <w:sz w:val="20"/>
        </w:rPr>
        <w:t xml:space="preserve"> </w:t>
      </w:r>
      <w:r>
        <w:rPr>
          <w:rFonts w:ascii="Arial" w:eastAsia="Arial" w:hAnsi="Arial" w:cs="Arial"/>
          <w:sz w:val="20"/>
          <w:shd w:val="clear" w:color="auto" w:fill="FFFF00"/>
        </w:rPr>
        <w:t>cautelarmente serão depositados junto à Justiça do Trabalho, com o</w:t>
      </w:r>
      <w:r>
        <w:rPr>
          <w:rFonts w:ascii="Arial" w:eastAsia="Arial" w:hAnsi="Arial" w:cs="Arial"/>
          <w:sz w:val="20"/>
        </w:rPr>
        <w:t xml:space="preserve"> </w:t>
      </w:r>
      <w:r>
        <w:rPr>
          <w:rFonts w:ascii="Arial" w:eastAsia="Arial" w:hAnsi="Arial" w:cs="Arial"/>
          <w:sz w:val="20"/>
          <w:shd w:val="clear" w:color="auto" w:fill="FFFF00"/>
        </w:rPr>
        <w:t>objetivo de serem utilizados exclusivamente no pagamento de salários e</w:t>
      </w:r>
      <w:r>
        <w:rPr>
          <w:rFonts w:ascii="Arial" w:eastAsia="Arial" w:hAnsi="Arial" w:cs="Arial"/>
          <w:sz w:val="20"/>
        </w:rPr>
        <w:t xml:space="preserve"> </w:t>
      </w:r>
      <w:r>
        <w:rPr>
          <w:rFonts w:ascii="Arial" w:eastAsia="Arial" w:hAnsi="Arial" w:cs="Arial"/>
          <w:sz w:val="20"/>
          <w:shd w:val="clear" w:color="auto" w:fill="FFFF00"/>
        </w:rPr>
        <w:t>das demai</w:t>
      </w:r>
      <w:r>
        <w:rPr>
          <w:rFonts w:ascii="Arial" w:eastAsia="Arial" w:hAnsi="Arial" w:cs="Arial"/>
          <w:sz w:val="20"/>
          <w:shd w:val="clear" w:color="auto" w:fill="FFFF00"/>
        </w:rPr>
        <w:t>s verbas trabalhistas, bem como das contribuições sociais e</w:t>
      </w:r>
      <w:r>
        <w:rPr>
          <w:rFonts w:ascii="Arial" w:eastAsia="Arial" w:hAnsi="Arial" w:cs="Arial"/>
          <w:sz w:val="20"/>
        </w:rPr>
        <w:t xml:space="preserve"> </w:t>
      </w:r>
      <w:r>
        <w:rPr>
          <w:rFonts w:ascii="Arial" w:eastAsia="Arial" w:hAnsi="Arial" w:cs="Arial"/>
          <w:sz w:val="20"/>
          <w:shd w:val="clear" w:color="auto" w:fill="FFFF00"/>
        </w:rPr>
        <w:t>FGTS decorrentes.</w:t>
      </w:r>
      <w:r>
        <w:rPr>
          <w:rFonts w:ascii="Arial" w:eastAsia="Arial" w:hAnsi="Arial" w:cs="Arial"/>
          <w:sz w:val="20"/>
        </w:rPr>
        <w:t xml:space="preserve">  </w:t>
      </w:r>
    </w:p>
    <w:p w:rsidR="006C145C" w:rsidRDefault="00C62E5A">
      <w:pPr>
        <w:spacing w:after="43"/>
        <w:ind w:left="1896"/>
      </w:pPr>
      <w:r>
        <w:rPr>
          <w:rFonts w:ascii="Arial" w:eastAsia="Arial" w:hAnsi="Arial" w:cs="Arial"/>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b/>
          <w:i/>
          <w:sz w:val="20"/>
        </w:rPr>
        <w:t>Nota Explicativa:</w:t>
      </w:r>
      <w:r>
        <w:rPr>
          <w:rFonts w:ascii="Arial" w:eastAsia="Arial" w:hAnsi="Arial" w:cs="Arial"/>
          <w:i/>
          <w:sz w:val="20"/>
        </w:rPr>
        <w:t xml:space="preserve"> </w:t>
      </w:r>
      <w:r>
        <w:rPr>
          <w:rFonts w:ascii="Arial" w:eastAsia="Arial" w:hAnsi="Arial" w:cs="Arial"/>
          <w:i/>
          <w:sz w:val="20"/>
        </w:rPr>
        <w:t>As especificações referentes ao pagamento são as estabelecidas no Termo de Referência, contudo, por força de Ação Civil Pública intentada pelo Ministério Público do Trabalho contra o DNIT - Departamento Nacional de Infraestrutura de Transportes, na qual pl</w:t>
      </w:r>
      <w:r>
        <w:rPr>
          <w:rFonts w:ascii="Arial" w:eastAsia="Arial" w:hAnsi="Arial" w:cs="Arial"/>
          <w:i/>
          <w:sz w:val="20"/>
        </w:rPr>
        <w:t>eiteou-se que o DNIT observasse, em seus editais de contratações relacionadas a obras públicas e à execução ou fornecimento de serviços, o contido na Convenção nº 94 da OIT, bem como em atendimento a Instrução Normativa nº 6, de 6 de julho de 2018, as cláu</w:t>
      </w:r>
      <w:r>
        <w:rPr>
          <w:rFonts w:ascii="Arial" w:eastAsia="Arial" w:hAnsi="Arial" w:cs="Arial"/>
          <w:i/>
          <w:sz w:val="20"/>
        </w:rPr>
        <w:t xml:space="preserve">sulas  acima deverão estar expressamente previstas nos campos que tratam do pagamento.  </w:t>
      </w:r>
    </w:p>
    <w:p w:rsidR="006C145C" w:rsidRDefault="00C62E5A">
      <w:pPr>
        <w:spacing w:after="515"/>
      </w:pPr>
      <w:r>
        <w:rPr>
          <w:rFonts w:ascii="Arial" w:eastAsia="Arial" w:hAnsi="Arial" w:cs="Arial"/>
          <w:sz w:val="20"/>
        </w:rPr>
        <w:t xml:space="preserve"> </w:t>
      </w:r>
    </w:p>
    <w:p w:rsidR="006C145C" w:rsidRDefault="00C62E5A">
      <w:pPr>
        <w:pStyle w:val="Ttulo5"/>
        <w:spacing w:after="136" w:line="259" w:lineRule="auto"/>
        <w:ind w:left="-5"/>
        <w:jc w:val="left"/>
      </w:pPr>
      <w:r>
        <w:rPr>
          <w:i/>
          <w:color w:val="FF0000"/>
        </w:rPr>
        <w:t xml:space="preserve">21 DA CONTA-DEPÓSITO VINCULADA― BLOQUEADA PARA MOVIMENTAÇÃO </w:t>
      </w:r>
    </w:p>
    <w:p w:rsidR="006C145C" w:rsidRDefault="00C62E5A">
      <w:pPr>
        <w:spacing w:after="130" w:line="270" w:lineRule="auto"/>
        <w:ind w:left="420" w:right="58" w:hanging="10"/>
        <w:jc w:val="both"/>
      </w:pPr>
      <w:r>
        <w:rPr>
          <w:rFonts w:ascii="Arial" w:eastAsia="Arial" w:hAnsi="Arial" w:cs="Arial"/>
          <w:i/>
          <w:color w:val="FF0000"/>
          <w:sz w:val="20"/>
        </w:rPr>
        <w:t>21.1 Para atendimento ao disposto no art. 18 da IN SEGES/MP N. 5/2017, as regras acerca da Conta-Depósit</w:t>
      </w:r>
      <w:r>
        <w:rPr>
          <w:rFonts w:ascii="Arial" w:eastAsia="Arial" w:hAnsi="Arial" w:cs="Arial"/>
          <w:i/>
          <w:color w:val="FF0000"/>
          <w:sz w:val="20"/>
        </w:rPr>
        <w:t xml:space="preserve">o Vinculada – bloqueada para movimentação a que se refere o Anexo XII da IN SEGES/MP n. 5/2017 são as estabelecidas no Termo de Referência, anexo a este Edital. </w:t>
      </w:r>
    </w:p>
    <w:p w:rsidR="006C145C" w:rsidRDefault="00C62E5A">
      <w:pPr>
        <w:pStyle w:val="Ttulo4"/>
        <w:spacing w:after="492" w:line="265" w:lineRule="auto"/>
        <w:ind w:left="420"/>
        <w:jc w:val="left"/>
      </w:pPr>
      <w:r>
        <w:rPr>
          <w:i/>
          <w:color w:val="FF0000"/>
          <w:u w:val="single" w:color="FF0000"/>
        </w:rPr>
        <w:t>OU</w:t>
      </w:r>
      <w:r>
        <w:rPr>
          <w:i/>
          <w:color w:val="FF0000"/>
        </w:rPr>
        <w:t xml:space="preserve">  </w:t>
      </w:r>
    </w:p>
    <w:p w:rsidR="006C145C" w:rsidRDefault="00C62E5A">
      <w:pPr>
        <w:pStyle w:val="Ttulo5"/>
        <w:spacing w:after="136" w:line="259" w:lineRule="auto"/>
        <w:ind w:left="-5"/>
        <w:jc w:val="left"/>
      </w:pPr>
      <w:r>
        <w:rPr>
          <w:i/>
          <w:color w:val="FF0000"/>
        </w:rPr>
        <w:t xml:space="preserve">21 </w:t>
      </w:r>
      <w:r>
        <w:rPr>
          <w:b w:val="0"/>
          <w:i/>
          <w:color w:val="FF0000"/>
        </w:rPr>
        <w:t xml:space="preserve"> </w:t>
      </w:r>
      <w:r>
        <w:rPr>
          <w:i/>
          <w:color w:val="FF0000"/>
        </w:rPr>
        <w:t xml:space="preserve">DO PAGAMENTO PELO FATO GERADOR </w:t>
      </w:r>
    </w:p>
    <w:p w:rsidR="006C145C" w:rsidRDefault="00C62E5A">
      <w:pPr>
        <w:spacing w:after="0" w:line="270" w:lineRule="auto"/>
        <w:ind w:left="439" w:right="58" w:hanging="374"/>
        <w:jc w:val="both"/>
      </w:pPr>
      <w:r>
        <w:rPr>
          <w:rFonts w:ascii="Arial" w:eastAsia="Arial" w:hAnsi="Arial" w:cs="Arial"/>
          <w:i/>
          <w:color w:val="FF0000"/>
          <w:sz w:val="20"/>
        </w:rPr>
        <w:t>21.1 Para atendimento ao disposto no art. 18 da IN SE</w:t>
      </w:r>
      <w:r>
        <w:rPr>
          <w:rFonts w:ascii="Arial" w:eastAsia="Arial" w:hAnsi="Arial" w:cs="Arial"/>
          <w:i/>
          <w:color w:val="FF0000"/>
          <w:sz w:val="20"/>
        </w:rPr>
        <w:t>GES/MP N. 5/2017, as regras acerca do Pagamento pelo Fato Gerador a que se refere o Anexo VII-B da IN SEGES/MP n. 5/2017 são as estabelecidas no Termo de Referência, anexo a este Edital, observado o disposto no respectivo Caderno de Logística, elaborado pe</w:t>
      </w:r>
      <w:r>
        <w:rPr>
          <w:rFonts w:ascii="Arial" w:eastAsia="Arial" w:hAnsi="Arial" w:cs="Arial"/>
          <w:i/>
          <w:color w:val="FF0000"/>
          <w:sz w:val="20"/>
        </w:rPr>
        <w:t xml:space="preserve">la SEGES/MP. </w:t>
      </w:r>
    </w:p>
    <w:tbl>
      <w:tblPr>
        <w:tblStyle w:val="TableGrid"/>
        <w:tblW w:w="8872" w:type="dxa"/>
        <w:tblInd w:w="313" w:type="dxa"/>
        <w:tblCellMar>
          <w:top w:w="30" w:type="dxa"/>
          <w:left w:w="112" w:type="dxa"/>
          <w:bottom w:w="0" w:type="dxa"/>
          <w:right w:w="11" w:type="dxa"/>
        </w:tblCellMar>
        <w:tblLook w:val="04A0" w:firstRow="1" w:lastRow="0" w:firstColumn="1" w:lastColumn="0" w:noHBand="0" w:noVBand="1"/>
      </w:tblPr>
      <w:tblGrid>
        <w:gridCol w:w="8872"/>
      </w:tblGrid>
      <w:tr w:rsidR="006C145C">
        <w:trPr>
          <w:trHeight w:val="3197"/>
        </w:trPr>
        <w:tc>
          <w:tcPr>
            <w:tcW w:w="8872" w:type="dxa"/>
            <w:tcBorders>
              <w:top w:val="single" w:sz="4" w:space="0" w:color="000000"/>
              <w:left w:val="single" w:sz="4" w:space="0" w:color="000000"/>
              <w:bottom w:val="single" w:sz="4" w:space="0" w:color="000000"/>
              <w:right w:val="single" w:sz="4" w:space="0" w:color="000000"/>
            </w:tcBorders>
            <w:shd w:val="clear" w:color="auto" w:fill="FFFFCC"/>
          </w:tcPr>
          <w:p w:rsidR="006C145C" w:rsidRDefault="00C62E5A">
            <w:pPr>
              <w:spacing w:after="120" w:line="277" w:lineRule="auto"/>
              <w:ind w:right="111"/>
              <w:jc w:val="both"/>
            </w:pPr>
            <w:r>
              <w:rPr>
                <w:rFonts w:ascii="Arial" w:eastAsia="Arial" w:hAnsi="Arial" w:cs="Arial"/>
                <w:b/>
                <w:i/>
                <w:sz w:val="20"/>
              </w:rPr>
              <w:t>Nota explicativa:</w:t>
            </w:r>
            <w:r>
              <w:rPr>
                <w:rFonts w:ascii="Arial" w:eastAsia="Arial" w:hAnsi="Arial" w:cs="Arial"/>
                <w:i/>
                <w:sz w:val="20"/>
              </w:rPr>
              <w:t xml:space="preserve"> A segunda alternativa de redação deverá ser utilizada caso o Pagamento pelo Fato Gerador tenha sido adotado pela Administração, conforme disposições do respectivo Termo de Referência.  </w:t>
            </w:r>
          </w:p>
          <w:p w:rsidR="006C145C" w:rsidRDefault="00C62E5A">
            <w:pPr>
              <w:spacing w:after="119" w:line="278" w:lineRule="auto"/>
              <w:ind w:right="104"/>
              <w:jc w:val="both"/>
            </w:pPr>
            <w:r>
              <w:rPr>
                <w:noProof/>
              </w:rPr>
              <mc:AlternateContent>
                <mc:Choice Requires="wpg">
                  <w:drawing>
                    <wp:anchor distT="0" distB="0" distL="114300" distR="114300" simplePos="0" relativeHeight="251662336" behindDoc="1" locked="0" layoutInCell="1" allowOverlap="1">
                      <wp:simplePos x="0" y="0"/>
                      <wp:positionH relativeFrom="column">
                        <wp:posOffset>70866</wp:posOffset>
                      </wp:positionH>
                      <wp:positionV relativeFrom="paragraph">
                        <wp:posOffset>501953</wp:posOffset>
                      </wp:positionV>
                      <wp:extent cx="5484241" cy="146304"/>
                      <wp:effectExtent l="0" t="0" r="0" b="0"/>
                      <wp:wrapNone/>
                      <wp:docPr id="263566" name="Group 263566"/>
                      <wp:cNvGraphicFramePr/>
                      <a:graphic xmlns:a="http://schemas.openxmlformats.org/drawingml/2006/main">
                        <a:graphicData uri="http://schemas.microsoft.com/office/word/2010/wordprocessingGroup">
                          <wpg:wgp>
                            <wpg:cNvGrpSpPr/>
                            <wpg:grpSpPr>
                              <a:xfrm>
                                <a:off x="0" y="0"/>
                                <a:ext cx="5484241" cy="146304"/>
                                <a:chOff x="0" y="0"/>
                                <a:chExt cx="5484241" cy="146304"/>
                              </a:xfrm>
                            </wpg:grpSpPr>
                            <wps:wsp>
                              <wps:cNvPr id="311099" name="Shape 311099"/>
                              <wps:cNvSpPr/>
                              <wps:spPr>
                                <a:xfrm>
                                  <a:off x="0" y="0"/>
                                  <a:ext cx="5484241" cy="146304"/>
                                </a:xfrm>
                                <a:custGeom>
                                  <a:avLst/>
                                  <a:gdLst/>
                                  <a:ahLst/>
                                  <a:cxnLst/>
                                  <a:rect l="0" t="0" r="0" b="0"/>
                                  <a:pathLst>
                                    <a:path w="5484241" h="146304">
                                      <a:moveTo>
                                        <a:pt x="0" y="0"/>
                                      </a:moveTo>
                                      <a:lnTo>
                                        <a:pt x="5484241" y="0"/>
                                      </a:lnTo>
                                      <a:lnTo>
                                        <a:pt x="5484241"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63566" style="width:431.83pt;height:11.52pt;position:absolute;z-index:-2147483554;mso-position-horizontal-relative:text;mso-position-horizontal:absolute;margin-left:5.58pt;mso-position-vertical-relative:text;margin-top:39.5238pt;" coordsize="54842,1463">
                      <v:shape id="Shape 311100" style="position:absolute;width:54842;height:1463;left:0;top:0;" coordsize="5484241,146304" path="m0,0l5484241,0l5484241,146304l0,146304l0,0">
                        <v:stroke weight="0pt" endcap="flat" joinstyle="miter" miterlimit="10" on="false" color="#000000" opacity="0"/>
                        <v:fill on="true" color="#ffffff"/>
                      </v:shape>
                    </v:group>
                  </w:pict>
                </mc:Fallback>
              </mc:AlternateContent>
            </w:r>
            <w:r>
              <w:rPr>
                <w:rFonts w:ascii="Arial" w:eastAsia="Arial" w:hAnsi="Arial" w:cs="Arial"/>
                <w:i/>
                <w:sz w:val="20"/>
              </w:rPr>
              <w:t>Vale ressaltar que, em atenção ao art. 18, § 1º, inciso II, da IN SEGES/MP n.º 05/2017, foi editado o Caderno de Logística contendo orientações básicas para operacionalização do Pagamento pelo Fato Gerador, as quais deverão ser integralmente observadas pel</w:t>
            </w:r>
            <w:r>
              <w:rPr>
                <w:rFonts w:ascii="Arial" w:eastAsia="Arial" w:hAnsi="Arial" w:cs="Arial"/>
                <w:i/>
                <w:sz w:val="20"/>
              </w:rPr>
              <w:t xml:space="preserve">a Administração. (disponível em </w:t>
            </w:r>
            <w:hyperlink r:id="rId20">
              <w:r>
                <w:rPr>
                  <w:rFonts w:ascii="Arial" w:eastAsia="Arial" w:hAnsi="Arial" w:cs="Arial"/>
                  <w:i/>
                  <w:color w:val="000080"/>
                  <w:sz w:val="20"/>
                  <w:u w:val="single" w:color="000080"/>
                </w:rPr>
                <w:t>https://www.comprasgovernamentais.gov.br/images/conteudo/ArquivosCGNOR/fato_gerador.pdf</w:t>
              </w:r>
            </w:hyperlink>
            <w:hyperlink r:id="rId21">
              <w:r>
                <w:rPr>
                  <w:rFonts w:ascii="Arial" w:eastAsia="Arial" w:hAnsi="Arial" w:cs="Arial"/>
                  <w:i/>
                  <w:sz w:val="20"/>
                </w:rPr>
                <w:t>)</w:t>
              </w:r>
            </w:hyperlink>
            <w:r>
              <w:rPr>
                <w:rFonts w:ascii="Arial" w:eastAsia="Arial" w:hAnsi="Arial" w:cs="Arial"/>
                <w:i/>
                <w:sz w:val="20"/>
              </w:rPr>
              <w:t xml:space="preserve">  </w:t>
            </w:r>
          </w:p>
          <w:p w:rsidR="006C145C" w:rsidRDefault="00C62E5A">
            <w:pPr>
              <w:spacing w:after="0"/>
              <w:ind w:right="103"/>
              <w:jc w:val="both"/>
            </w:pPr>
            <w:r>
              <w:rPr>
                <w:rFonts w:ascii="Arial" w:eastAsia="Arial" w:hAnsi="Arial" w:cs="Arial"/>
                <w:i/>
                <w:sz w:val="20"/>
              </w:rPr>
              <w:t>Saliente-se, por fim, que o Art. 8º, V do Decreto nº 9.507, de 2018 prevê que em contratos continuados com dedicação exclusiva de mão-de-obra deve ser utilizado ou a Conta-Vin</w:t>
            </w:r>
            <w:r>
              <w:rPr>
                <w:rFonts w:ascii="Arial" w:eastAsia="Arial" w:hAnsi="Arial" w:cs="Arial"/>
                <w:i/>
                <w:sz w:val="20"/>
              </w:rPr>
              <w:t xml:space="preserve">culada ou o Pagamento pelo Fato Gerador, incumbindo ao Administrador, apenas, escolher entre uma das duas opções. </w:t>
            </w:r>
          </w:p>
        </w:tc>
      </w:tr>
    </w:tbl>
    <w:p w:rsidR="006C145C" w:rsidRDefault="00C62E5A">
      <w:pPr>
        <w:numPr>
          <w:ilvl w:val="0"/>
          <w:numId w:val="11"/>
        </w:numPr>
        <w:spacing w:after="150" w:line="249" w:lineRule="auto"/>
        <w:ind w:right="37" w:hanging="360"/>
        <w:jc w:val="both"/>
      </w:pPr>
      <w:r>
        <w:rPr>
          <w:rFonts w:ascii="Arial" w:eastAsia="Arial" w:hAnsi="Arial" w:cs="Arial"/>
          <w:b/>
          <w:sz w:val="20"/>
        </w:rPr>
        <w:t xml:space="preserve">DAS SANÇÕES ADMINISTRATIVAS. </w:t>
      </w:r>
    </w:p>
    <w:p w:rsidR="006C145C" w:rsidRDefault="00C62E5A">
      <w:pPr>
        <w:spacing w:after="103"/>
      </w:pPr>
      <w:r>
        <w:rPr>
          <w:rFonts w:ascii="Arial" w:eastAsia="Arial" w:hAnsi="Arial" w:cs="Arial"/>
          <w:sz w:val="20"/>
        </w:rPr>
        <w:t xml:space="preserve"> </w:t>
      </w:r>
    </w:p>
    <w:p w:rsidR="006C145C" w:rsidRDefault="00C62E5A">
      <w:pPr>
        <w:numPr>
          <w:ilvl w:val="1"/>
          <w:numId w:val="11"/>
        </w:numPr>
        <w:spacing w:after="129" w:line="270" w:lineRule="auto"/>
        <w:ind w:right="54" w:hanging="991"/>
        <w:jc w:val="both"/>
      </w:pPr>
      <w:r>
        <w:rPr>
          <w:rFonts w:ascii="Arial" w:eastAsia="Arial" w:hAnsi="Arial" w:cs="Arial"/>
          <w:sz w:val="20"/>
        </w:rPr>
        <w:t xml:space="preserve">Comete infração administrativa, nos termos da Lei nº 10.520, de 2002, o licitante/adjudicatário que:  </w:t>
      </w:r>
    </w:p>
    <w:p w:rsidR="006C145C" w:rsidRDefault="00C62E5A">
      <w:pPr>
        <w:numPr>
          <w:ilvl w:val="2"/>
          <w:numId w:val="11"/>
        </w:numPr>
        <w:spacing w:after="129" w:line="270" w:lineRule="auto"/>
        <w:ind w:right="54" w:hanging="619"/>
        <w:jc w:val="both"/>
      </w:pPr>
      <w:r>
        <w:rPr>
          <w:rFonts w:ascii="Arial" w:eastAsia="Arial" w:hAnsi="Arial" w:cs="Arial"/>
          <w:sz w:val="20"/>
        </w:rPr>
        <w:t xml:space="preserve">Não </w:t>
      </w:r>
      <w:r>
        <w:rPr>
          <w:rFonts w:ascii="Arial" w:eastAsia="Arial" w:hAnsi="Arial" w:cs="Arial"/>
          <w:sz w:val="20"/>
        </w:rPr>
        <w:t xml:space="preserve">assinar o termo de contrato ou aceitar/retirar o instrumento equivalente, quando convocado dentro do prazo de validade da proposta; </w:t>
      </w:r>
    </w:p>
    <w:p w:rsidR="006C145C" w:rsidRDefault="00C62E5A">
      <w:pPr>
        <w:numPr>
          <w:ilvl w:val="2"/>
          <w:numId w:val="11"/>
        </w:numPr>
        <w:spacing w:after="129" w:line="270" w:lineRule="auto"/>
        <w:ind w:right="54" w:hanging="619"/>
        <w:jc w:val="both"/>
      </w:pPr>
      <w:r>
        <w:rPr>
          <w:rFonts w:ascii="Arial" w:eastAsia="Arial" w:hAnsi="Arial" w:cs="Arial"/>
          <w:sz w:val="20"/>
        </w:rPr>
        <w:t xml:space="preserve">Apresentar documentação falsa; </w:t>
      </w:r>
    </w:p>
    <w:p w:rsidR="006C145C" w:rsidRDefault="00C62E5A">
      <w:pPr>
        <w:numPr>
          <w:ilvl w:val="2"/>
          <w:numId w:val="11"/>
        </w:numPr>
        <w:spacing w:after="129" w:line="270" w:lineRule="auto"/>
        <w:ind w:right="54" w:hanging="619"/>
        <w:jc w:val="both"/>
      </w:pPr>
      <w:r>
        <w:rPr>
          <w:rFonts w:ascii="Arial" w:eastAsia="Arial" w:hAnsi="Arial" w:cs="Arial"/>
          <w:sz w:val="20"/>
        </w:rPr>
        <w:lastRenderedPageBreak/>
        <w:t xml:space="preserve">Deixar de entregar os documentos exigidos no certame; </w:t>
      </w:r>
    </w:p>
    <w:p w:rsidR="006C145C" w:rsidRDefault="00C62E5A">
      <w:pPr>
        <w:numPr>
          <w:ilvl w:val="2"/>
          <w:numId w:val="11"/>
        </w:numPr>
        <w:spacing w:after="129" w:line="270" w:lineRule="auto"/>
        <w:ind w:right="54" w:hanging="619"/>
        <w:jc w:val="both"/>
      </w:pPr>
      <w:r>
        <w:rPr>
          <w:rFonts w:ascii="Arial" w:eastAsia="Arial" w:hAnsi="Arial" w:cs="Arial"/>
          <w:sz w:val="20"/>
        </w:rPr>
        <w:t xml:space="preserve">Ensejar </w:t>
      </w:r>
      <w:r>
        <w:rPr>
          <w:rFonts w:ascii="Arial" w:eastAsia="Arial" w:hAnsi="Arial" w:cs="Arial"/>
          <w:sz w:val="20"/>
        </w:rPr>
        <w:t xml:space="preserve">o retardamento da execução do objeto; </w:t>
      </w:r>
    </w:p>
    <w:p w:rsidR="006C145C" w:rsidRDefault="00C62E5A">
      <w:pPr>
        <w:numPr>
          <w:ilvl w:val="2"/>
          <w:numId w:val="11"/>
        </w:numPr>
        <w:spacing w:after="129" w:line="270" w:lineRule="auto"/>
        <w:ind w:right="54" w:hanging="619"/>
        <w:jc w:val="both"/>
      </w:pPr>
      <w:r>
        <w:rPr>
          <w:rFonts w:ascii="Arial" w:eastAsia="Arial" w:hAnsi="Arial" w:cs="Arial"/>
          <w:sz w:val="20"/>
        </w:rPr>
        <w:t xml:space="preserve">Não mantiver a proposta; </w:t>
      </w:r>
    </w:p>
    <w:p w:rsidR="006C145C" w:rsidRDefault="00C62E5A">
      <w:pPr>
        <w:numPr>
          <w:ilvl w:val="2"/>
          <w:numId w:val="11"/>
        </w:numPr>
        <w:spacing w:after="129" w:line="270" w:lineRule="auto"/>
        <w:ind w:right="54" w:hanging="619"/>
        <w:jc w:val="both"/>
      </w:pPr>
      <w:r>
        <w:rPr>
          <w:rFonts w:ascii="Arial" w:eastAsia="Arial" w:hAnsi="Arial" w:cs="Arial"/>
          <w:sz w:val="20"/>
        </w:rPr>
        <w:t xml:space="preserve">Cometer fraude fiscal; </w:t>
      </w:r>
    </w:p>
    <w:p w:rsidR="006C145C" w:rsidRDefault="00C62E5A">
      <w:pPr>
        <w:numPr>
          <w:ilvl w:val="2"/>
          <w:numId w:val="11"/>
        </w:numPr>
        <w:spacing w:after="129" w:line="270" w:lineRule="auto"/>
        <w:ind w:right="54" w:hanging="619"/>
        <w:jc w:val="both"/>
      </w:pPr>
      <w:r>
        <w:rPr>
          <w:rFonts w:ascii="Arial" w:eastAsia="Arial" w:hAnsi="Arial" w:cs="Arial"/>
          <w:sz w:val="20"/>
        </w:rPr>
        <w:t xml:space="preserve">Comportar-se de modo inidôneo; </w:t>
      </w:r>
    </w:p>
    <w:p w:rsidR="006C145C" w:rsidRDefault="00C62E5A">
      <w:pPr>
        <w:numPr>
          <w:ilvl w:val="2"/>
          <w:numId w:val="11"/>
        </w:numPr>
        <w:spacing w:after="129" w:line="270" w:lineRule="auto"/>
        <w:ind w:right="54" w:hanging="619"/>
        <w:jc w:val="both"/>
      </w:pPr>
      <w:r>
        <w:rPr>
          <w:rFonts w:ascii="Arial" w:eastAsia="Arial" w:hAnsi="Arial" w:cs="Arial"/>
          <w:sz w:val="20"/>
        </w:rPr>
        <w:t xml:space="preserve">Falhar ou fraudar na execução do contrato; </w:t>
      </w:r>
    </w:p>
    <w:p w:rsidR="006C145C" w:rsidRDefault="00C62E5A">
      <w:pPr>
        <w:numPr>
          <w:ilvl w:val="2"/>
          <w:numId w:val="11"/>
        </w:numPr>
        <w:spacing w:after="126" w:line="269" w:lineRule="auto"/>
        <w:ind w:right="54" w:hanging="619"/>
        <w:jc w:val="both"/>
      </w:pPr>
      <w:r>
        <w:rPr>
          <w:rFonts w:ascii="Arial" w:eastAsia="Arial" w:hAnsi="Arial" w:cs="Arial"/>
          <w:i/>
          <w:color w:val="FF0000"/>
          <w:sz w:val="20"/>
          <w:shd w:val="clear" w:color="auto" w:fill="FFFF00"/>
        </w:rPr>
        <w:t>Subcontratar parte ou o todo do objeto sem a autorização da CONTRATANTE; (aplicar</w:t>
      </w:r>
      <w:r>
        <w:rPr>
          <w:rFonts w:ascii="Arial" w:eastAsia="Arial" w:hAnsi="Arial" w:cs="Arial"/>
          <w:i/>
          <w:color w:val="FF0000"/>
          <w:sz w:val="20"/>
        </w:rPr>
        <w:t xml:space="preserve"> </w:t>
      </w:r>
      <w:r>
        <w:rPr>
          <w:rFonts w:ascii="Arial" w:eastAsia="Arial" w:hAnsi="Arial" w:cs="Arial"/>
          <w:i/>
          <w:color w:val="FF0000"/>
          <w:sz w:val="20"/>
          <w:shd w:val="clear" w:color="auto" w:fill="FFFF00"/>
        </w:rPr>
        <w:t>a redação</w:t>
      </w:r>
      <w:r>
        <w:rPr>
          <w:rFonts w:ascii="Arial" w:eastAsia="Arial" w:hAnsi="Arial" w:cs="Arial"/>
          <w:i/>
          <w:color w:val="FF0000"/>
          <w:sz w:val="20"/>
          <w:shd w:val="clear" w:color="auto" w:fill="FFFF00"/>
        </w:rPr>
        <w:t xml:space="preserve"> nos casos em que o edital não prevê a subcontratação)</w:t>
      </w:r>
      <w:r>
        <w:rPr>
          <w:rFonts w:ascii="Arial" w:eastAsia="Arial" w:hAnsi="Arial" w:cs="Arial"/>
          <w:i/>
          <w:color w:val="FF0000"/>
          <w:sz w:val="20"/>
        </w:rPr>
        <w:t xml:space="preserve"> </w:t>
      </w:r>
    </w:p>
    <w:p w:rsidR="006C145C" w:rsidRDefault="00C62E5A">
      <w:pPr>
        <w:spacing w:after="128" w:line="269" w:lineRule="auto"/>
        <w:ind w:left="850" w:right="51" w:firstLine="2"/>
        <w:jc w:val="both"/>
      </w:pPr>
      <w:r>
        <w:rPr>
          <w:rFonts w:ascii="Arial" w:eastAsia="Arial" w:hAnsi="Arial" w:cs="Arial"/>
          <w:i/>
          <w:color w:val="FF0000"/>
          <w:sz w:val="20"/>
          <w:shd w:val="clear" w:color="auto" w:fill="FFFF00"/>
        </w:rPr>
        <w:t>22.1.9 Subcontratar parcela do objeto fora das condições previstas no edital ou sem</w:t>
      </w:r>
      <w:r>
        <w:rPr>
          <w:rFonts w:ascii="Arial" w:eastAsia="Arial" w:hAnsi="Arial" w:cs="Arial"/>
          <w:i/>
          <w:color w:val="FF0000"/>
          <w:sz w:val="20"/>
        </w:rPr>
        <w:t xml:space="preserve"> </w:t>
      </w:r>
      <w:r>
        <w:rPr>
          <w:rFonts w:ascii="Arial" w:eastAsia="Arial" w:hAnsi="Arial" w:cs="Arial"/>
          <w:i/>
          <w:color w:val="FF0000"/>
          <w:sz w:val="20"/>
          <w:shd w:val="clear" w:color="auto" w:fill="FFFF00"/>
        </w:rPr>
        <w:t>autorização da CONTRATANTE. (aplicar a redação nos casos em que o edital prevê a</w:t>
      </w:r>
      <w:r>
        <w:rPr>
          <w:rFonts w:ascii="Arial" w:eastAsia="Arial" w:hAnsi="Arial" w:cs="Arial"/>
          <w:i/>
          <w:color w:val="FF0000"/>
          <w:sz w:val="20"/>
        </w:rPr>
        <w:t xml:space="preserve"> </w:t>
      </w:r>
      <w:r>
        <w:rPr>
          <w:rFonts w:ascii="Arial" w:eastAsia="Arial" w:hAnsi="Arial" w:cs="Arial"/>
          <w:i/>
          <w:color w:val="FF0000"/>
          <w:sz w:val="20"/>
          <w:shd w:val="clear" w:color="auto" w:fill="FFFF00"/>
        </w:rPr>
        <w:t>subcontratação)</w:t>
      </w:r>
      <w:r>
        <w:rPr>
          <w:rFonts w:ascii="Arial" w:eastAsia="Arial" w:hAnsi="Arial" w:cs="Arial"/>
          <w:i/>
          <w:color w:val="FF0000"/>
          <w:sz w:val="20"/>
        </w:rPr>
        <w:t xml:space="preserve">  </w:t>
      </w:r>
    </w:p>
    <w:p w:rsidR="006C145C" w:rsidRDefault="00C62E5A">
      <w:pPr>
        <w:spacing w:after="197"/>
        <w:ind w:left="1570"/>
      </w:pPr>
      <w:r>
        <w:rPr>
          <w:rFonts w:ascii="Arial" w:eastAsia="Arial" w:hAnsi="Arial" w:cs="Arial"/>
          <w:sz w:val="20"/>
        </w:rPr>
        <w:t xml:space="preserve"> </w:t>
      </w:r>
    </w:p>
    <w:p w:rsidR="006C145C" w:rsidRDefault="00C62E5A">
      <w:pPr>
        <w:pBdr>
          <w:top w:val="single" w:sz="4" w:space="0" w:color="1F497D"/>
          <w:left w:val="single" w:sz="4" w:space="0" w:color="1F497D"/>
          <w:right w:val="single" w:sz="4" w:space="0" w:color="1F497D"/>
        </w:pBdr>
        <w:shd w:val="clear" w:color="auto" w:fill="FFFFCC"/>
        <w:spacing w:after="59" w:line="250" w:lineRule="auto"/>
        <w:ind w:left="-5" w:right="51" w:hanging="10"/>
        <w:jc w:val="both"/>
      </w:pPr>
      <w:r>
        <w:rPr>
          <w:rFonts w:ascii="Arial" w:eastAsia="Arial" w:hAnsi="Arial" w:cs="Arial"/>
          <w:b/>
          <w:i/>
          <w:sz w:val="20"/>
        </w:rPr>
        <w:t>Nota explicativ</w:t>
      </w:r>
      <w:r>
        <w:rPr>
          <w:rFonts w:ascii="Arial" w:eastAsia="Arial" w:hAnsi="Arial" w:cs="Arial"/>
          <w:b/>
          <w:i/>
          <w:sz w:val="20"/>
        </w:rPr>
        <w:t>a</w:t>
      </w:r>
      <w:r>
        <w:rPr>
          <w:rFonts w:ascii="Arial" w:eastAsia="Arial" w:hAnsi="Arial" w:cs="Arial"/>
          <w:i/>
          <w:sz w:val="20"/>
        </w:rPr>
        <w:t>: O TCU considerou que a ocorrência de “empresas com sócios em comum que apresentam propostas para o mesmo item de determinada licitação” e a “existência de licitantes reiteradamente desclassificados por não atenderem aos editais ou não honrarem suas prop</w:t>
      </w:r>
      <w:r>
        <w:rPr>
          <w:rFonts w:ascii="Arial" w:eastAsia="Arial" w:hAnsi="Arial" w:cs="Arial"/>
          <w:i/>
          <w:sz w:val="20"/>
        </w:rPr>
        <w:t>ostas” sugerem o possível enquadramento nas condutas tipificadas o art. 7º da Lei n. 10.520/2005 e que é necessária a instauração de processo administrativo “...com vistas à apenação das empresas que praticarem, injustificadamente, ato ilegal tipificado no</w:t>
      </w:r>
      <w:r>
        <w:rPr>
          <w:rFonts w:ascii="Arial" w:eastAsia="Arial" w:hAnsi="Arial" w:cs="Arial"/>
          <w:i/>
          <w:sz w:val="20"/>
        </w:rPr>
        <w:t xml:space="preserve"> art. 7º da Lei 10.520/2002... [que] tem caráter abrangente e abarca condutas relacionadas não apenas à contratação em si, mas também ao procedimento licitatório e à execução da avença”, concluindo que os responsáveis pelos procedimentos licitatórios poder</w:t>
      </w:r>
      <w:r>
        <w:rPr>
          <w:rFonts w:ascii="Arial" w:eastAsia="Arial" w:hAnsi="Arial" w:cs="Arial"/>
          <w:i/>
          <w:sz w:val="20"/>
        </w:rPr>
        <w:t xml:space="preserve">ão ser responsabilizados em caso de omissão (Acórdão nº 754/2015-Plenário). </w:t>
      </w:r>
    </w:p>
    <w:p w:rsidR="006C145C" w:rsidRDefault="00C62E5A">
      <w:pPr>
        <w:spacing w:after="41"/>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214" w:line="250" w:lineRule="auto"/>
        <w:ind w:left="-5" w:right="56" w:hanging="10"/>
        <w:jc w:val="both"/>
      </w:pPr>
      <w:r>
        <w:rPr>
          <w:rFonts w:ascii="Arial" w:eastAsia="Arial" w:hAnsi="Arial" w:cs="Arial"/>
          <w:b/>
          <w:i/>
          <w:sz w:val="20"/>
        </w:rPr>
        <w:t>Nota Explicativa:</w:t>
      </w:r>
      <w:r>
        <w:rPr>
          <w:rFonts w:ascii="Arial" w:eastAsia="Arial" w:hAnsi="Arial" w:cs="Arial"/>
          <w:i/>
          <w:sz w:val="20"/>
        </w:rPr>
        <w:t xml:space="preserve"> </w:t>
      </w:r>
      <w:r>
        <w:rPr>
          <w:rFonts w:ascii="Arial" w:eastAsia="Arial" w:hAnsi="Arial" w:cs="Arial"/>
          <w:i/>
          <w:sz w:val="20"/>
        </w:rPr>
        <w:t>O art. 64 da Lei n. 8.666, de 1993, dispõe: “A Administração convocará regularmente o interessado para assinar o termo de contrato, aceitar ou retirar o instrumento equivalente, dentro do prazo e condições estabelecidos, sob pena de decair o direito à cont</w:t>
      </w:r>
      <w:r>
        <w:rPr>
          <w:rFonts w:ascii="Arial" w:eastAsia="Arial" w:hAnsi="Arial" w:cs="Arial"/>
          <w:i/>
          <w:sz w:val="20"/>
        </w:rPr>
        <w:t xml:space="preserve">ratação, sem prejuízo das sanções previstas no art. 81 desta Lei.” Por outro lado, “A recusa injustificada do adjudicatário em assinar o contrato, aceitar ou retirar o instrumento equivalente, dentro do prazo estabelecido pela Administração, caracteriza o </w:t>
      </w:r>
      <w:r>
        <w:rPr>
          <w:rFonts w:ascii="Arial" w:eastAsia="Arial" w:hAnsi="Arial" w:cs="Arial"/>
          <w:i/>
          <w:sz w:val="20"/>
        </w:rPr>
        <w:t>descumprimento total da obrigação assumida, sujeitando-o às penalidades legalmente estabelecidas” (art. 81). Portanto, a recusa da empresa deverá ser sancionada, salvo justificativa juridicamente plausível, conforme prevê o TCU no Acórdão nº 1793/2011-Plen</w:t>
      </w:r>
      <w:r>
        <w:rPr>
          <w:rFonts w:ascii="Arial" w:eastAsia="Arial" w:hAnsi="Arial" w:cs="Arial"/>
          <w:i/>
          <w:sz w:val="20"/>
        </w:rPr>
        <w:t>ário, quando afirma: “...a não autuação sem justificativa dos referidos processos poderá ensejar a aplicação de sanções aos servidores omissos, conforme previsão do art. 82 da Lei 8.666/1993”. No mesmo sentido, o TCU aplicou multa ao pregoeiro, nos seguint</w:t>
      </w:r>
      <w:r>
        <w:rPr>
          <w:rFonts w:ascii="Arial" w:eastAsia="Arial" w:hAnsi="Arial" w:cs="Arial"/>
          <w:i/>
          <w:sz w:val="20"/>
        </w:rPr>
        <w:t xml:space="preserve">es termos: “Além disso, o pregoeiro ignorou também previsão editalícia de aplicação de penalidade àquele que não mantiver a proposta. Nesses termos, o Plenário, acolhendo a proposta do relator, rejeitou, no ponto, as alegações de defesa do pregoeiro, para </w:t>
      </w:r>
      <w:r>
        <w:rPr>
          <w:rFonts w:ascii="Arial" w:eastAsia="Arial" w:hAnsi="Arial" w:cs="Arial"/>
          <w:i/>
          <w:sz w:val="20"/>
        </w:rPr>
        <w:t xml:space="preserve">julgar irregulares suas contas, aplicando-lhe a multa capitulada no inciso I do art. 58 da Lei 8.443/92” Acórdão nº 3261/2014-Plenário (26.11.2014).  </w:t>
      </w:r>
    </w:p>
    <w:p w:rsidR="006C145C" w:rsidRDefault="00C62E5A">
      <w:pPr>
        <w:numPr>
          <w:ilvl w:val="1"/>
          <w:numId w:val="11"/>
        </w:numPr>
        <w:spacing w:after="130" w:line="270" w:lineRule="auto"/>
        <w:ind w:right="54" w:hanging="991"/>
        <w:jc w:val="both"/>
      </w:pPr>
      <w:r>
        <w:rPr>
          <w:rFonts w:ascii="Arial" w:eastAsia="Arial" w:hAnsi="Arial" w:cs="Arial"/>
          <w:i/>
          <w:color w:val="FF0000"/>
          <w:sz w:val="20"/>
        </w:rPr>
        <w:t>As sanções do item acima também se aplicam aos integrantes do cadastro de reserva, em pregão para registr</w:t>
      </w:r>
      <w:r>
        <w:rPr>
          <w:rFonts w:ascii="Arial" w:eastAsia="Arial" w:hAnsi="Arial" w:cs="Arial"/>
          <w:i/>
          <w:color w:val="FF0000"/>
          <w:sz w:val="20"/>
        </w:rPr>
        <w:t xml:space="preserve">o de preços, que, convocados, não honrarem o compromisso assumido injustificadamente.  </w:t>
      </w:r>
    </w:p>
    <w:p w:rsidR="006C145C" w:rsidRDefault="00C62E5A">
      <w:pPr>
        <w:numPr>
          <w:ilvl w:val="1"/>
          <w:numId w:val="11"/>
        </w:numPr>
        <w:spacing w:after="129" w:line="270" w:lineRule="auto"/>
        <w:ind w:right="54" w:hanging="991"/>
        <w:jc w:val="both"/>
      </w:pPr>
      <w:r>
        <w:rPr>
          <w:rFonts w:ascii="Arial" w:eastAsia="Arial" w:hAnsi="Arial" w:cs="Arial"/>
          <w:sz w:val="20"/>
        </w:rPr>
        <w:t>Considera-se comportamento inidôneo, entre outros, a declaração falsa quanto às condições de participação, quanto ao enquadramento como ME/EPP ou o conluio entre os lic</w:t>
      </w:r>
      <w:r>
        <w:rPr>
          <w:rFonts w:ascii="Arial" w:eastAsia="Arial" w:hAnsi="Arial" w:cs="Arial"/>
          <w:sz w:val="20"/>
        </w:rPr>
        <w:t xml:space="preserve">itantes, em qualquer momento da licitação, mesmo após o encerramento da fase de lances. </w:t>
      </w:r>
    </w:p>
    <w:p w:rsidR="006C145C" w:rsidRDefault="00C62E5A">
      <w:pPr>
        <w:numPr>
          <w:ilvl w:val="1"/>
          <w:numId w:val="11"/>
        </w:numPr>
        <w:spacing w:after="129" w:line="270" w:lineRule="auto"/>
        <w:ind w:right="54" w:hanging="991"/>
        <w:jc w:val="both"/>
      </w:pPr>
      <w:r>
        <w:rPr>
          <w:rFonts w:ascii="Arial" w:eastAsia="Arial" w:hAnsi="Arial" w:cs="Arial"/>
          <w:sz w:val="20"/>
        </w:rPr>
        <w:t>O licitante/adjudicatário que cometer qualquer das infrações discriminadas nos subitens anteriores ficará sujeito, sem prejuízo da responsabilidade civil e criminal, à</w:t>
      </w:r>
      <w:r>
        <w:rPr>
          <w:rFonts w:ascii="Arial" w:eastAsia="Arial" w:hAnsi="Arial" w:cs="Arial"/>
          <w:sz w:val="20"/>
        </w:rPr>
        <w:t xml:space="preserve">s seguintes sanções: </w:t>
      </w:r>
    </w:p>
    <w:p w:rsidR="006C145C" w:rsidRDefault="00C62E5A">
      <w:pPr>
        <w:numPr>
          <w:ilvl w:val="2"/>
          <w:numId w:val="11"/>
        </w:numPr>
        <w:spacing w:after="129" w:line="270" w:lineRule="auto"/>
        <w:ind w:right="54" w:hanging="619"/>
        <w:jc w:val="both"/>
      </w:pPr>
      <w:r>
        <w:rPr>
          <w:rFonts w:ascii="Arial" w:eastAsia="Arial" w:hAnsi="Arial" w:cs="Arial"/>
          <w:sz w:val="20"/>
        </w:rPr>
        <w:t xml:space="preserve">Advertência por faltas leves, assim entendidas como aquelas que não acarretarem prejuízos significativos ao objeto da contratação; </w:t>
      </w:r>
    </w:p>
    <w:p w:rsidR="006C145C" w:rsidRDefault="00C62E5A">
      <w:pPr>
        <w:numPr>
          <w:ilvl w:val="2"/>
          <w:numId w:val="11"/>
        </w:numPr>
        <w:spacing w:after="130" w:line="269" w:lineRule="auto"/>
        <w:ind w:right="54" w:hanging="619"/>
        <w:jc w:val="both"/>
      </w:pPr>
      <w:r>
        <w:rPr>
          <w:rFonts w:ascii="Arial" w:eastAsia="Arial" w:hAnsi="Arial" w:cs="Arial"/>
          <w:sz w:val="20"/>
          <w:shd w:val="clear" w:color="auto" w:fill="FFFF00"/>
        </w:rPr>
        <w:lastRenderedPageBreak/>
        <w:t>Multa de acordo com a Instrução Normativa vigente do DNIT sobre Processo</w:t>
      </w:r>
      <w:r>
        <w:rPr>
          <w:rFonts w:ascii="Arial" w:eastAsia="Arial" w:hAnsi="Arial" w:cs="Arial"/>
          <w:sz w:val="20"/>
        </w:rPr>
        <w:t xml:space="preserve"> </w:t>
      </w:r>
      <w:r>
        <w:rPr>
          <w:rFonts w:ascii="Arial" w:eastAsia="Arial" w:hAnsi="Arial" w:cs="Arial"/>
          <w:sz w:val="20"/>
          <w:shd w:val="clear" w:color="auto" w:fill="FFFF00"/>
        </w:rPr>
        <w:t>Administrativo de Apuração de</w:t>
      </w:r>
      <w:r>
        <w:rPr>
          <w:rFonts w:ascii="Arial" w:eastAsia="Arial" w:hAnsi="Arial" w:cs="Arial"/>
          <w:sz w:val="20"/>
          <w:shd w:val="clear" w:color="auto" w:fill="FFFF00"/>
        </w:rPr>
        <w:t xml:space="preserve"> Responsabilidade – PAAR.</w:t>
      </w:r>
      <w:r>
        <w:rPr>
          <w:rFonts w:ascii="Arial" w:eastAsia="Arial" w:hAnsi="Arial" w:cs="Arial"/>
          <w:sz w:val="20"/>
        </w:rPr>
        <w:t xml:space="preserve"> </w:t>
      </w:r>
    </w:p>
    <w:p w:rsidR="006C145C" w:rsidRDefault="00C62E5A">
      <w:pPr>
        <w:numPr>
          <w:ilvl w:val="2"/>
          <w:numId w:val="11"/>
        </w:numPr>
        <w:spacing w:after="129" w:line="270" w:lineRule="auto"/>
        <w:ind w:right="54" w:hanging="619"/>
        <w:jc w:val="both"/>
      </w:pPr>
      <w:r>
        <w:rPr>
          <w:rFonts w:ascii="Arial" w:eastAsia="Arial" w:hAnsi="Arial" w:cs="Arial"/>
          <w:sz w:val="20"/>
        </w:rPr>
        <w:t xml:space="preserve">Suspensão de licitar e impedimento de contratar com o órgão, entidade ou unidade administrativa pela qual a Administração Pública opera e atua concretamente, pelo prazo de até dois anos; </w:t>
      </w:r>
    </w:p>
    <w:p w:rsidR="006C145C" w:rsidRDefault="00C62E5A">
      <w:pPr>
        <w:numPr>
          <w:ilvl w:val="2"/>
          <w:numId w:val="11"/>
        </w:numPr>
        <w:spacing w:after="129" w:line="270" w:lineRule="auto"/>
        <w:ind w:right="54" w:hanging="619"/>
        <w:jc w:val="both"/>
      </w:pPr>
      <w:r>
        <w:rPr>
          <w:rFonts w:ascii="Arial" w:eastAsia="Arial" w:hAnsi="Arial" w:cs="Arial"/>
          <w:sz w:val="20"/>
        </w:rPr>
        <w:t>Impedimento de licitar e de contratar com</w:t>
      </w:r>
      <w:r>
        <w:rPr>
          <w:rFonts w:ascii="Arial" w:eastAsia="Arial" w:hAnsi="Arial" w:cs="Arial"/>
          <w:sz w:val="20"/>
        </w:rPr>
        <w:t xml:space="preserve"> a União e descredenciamento no SICAF, pelo prazo de até cinco anos; </w:t>
      </w:r>
    </w:p>
    <w:p w:rsidR="006C145C" w:rsidRDefault="00C62E5A">
      <w:pPr>
        <w:numPr>
          <w:ilvl w:val="2"/>
          <w:numId w:val="11"/>
        </w:numPr>
        <w:spacing w:after="129" w:line="270" w:lineRule="auto"/>
        <w:ind w:right="54" w:hanging="619"/>
        <w:jc w:val="both"/>
      </w:pPr>
      <w:r>
        <w:rPr>
          <w:rFonts w:ascii="Arial" w:eastAsia="Arial" w:hAnsi="Arial" w:cs="Arial"/>
          <w:sz w:val="20"/>
        </w:rPr>
        <w:t>Declaração de inidoneidade para licitar ou contratar com a Administração Pública, enquanto perdurarem os motivos determinantes da punição ou até que seja promovida a reabilitação perante</w:t>
      </w:r>
      <w:r>
        <w:rPr>
          <w:rFonts w:ascii="Arial" w:eastAsia="Arial" w:hAnsi="Arial" w:cs="Arial"/>
          <w:sz w:val="20"/>
        </w:rPr>
        <w:t xml:space="preserve"> a própria autoridade que aplicou a penalidade, que será concedida sempre que a Contratada re ssarcir a Contratante pelos prejuízos causados; </w:t>
      </w:r>
    </w:p>
    <w:p w:rsidR="006C145C" w:rsidRDefault="00C62E5A">
      <w:pPr>
        <w:numPr>
          <w:ilvl w:val="1"/>
          <w:numId w:val="11"/>
        </w:numPr>
        <w:spacing w:after="129" w:line="270" w:lineRule="auto"/>
        <w:ind w:right="54" w:hanging="991"/>
        <w:jc w:val="both"/>
      </w:pPr>
      <w:r>
        <w:rPr>
          <w:rFonts w:ascii="Arial" w:eastAsia="Arial" w:hAnsi="Arial" w:cs="Arial"/>
          <w:sz w:val="20"/>
        </w:rPr>
        <w:t xml:space="preserve">A penalidade de multa pode ser aplicada cumulativamente com as demais sanções. </w:t>
      </w:r>
    </w:p>
    <w:p w:rsidR="006C145C" w:rsidRDefault="00C62E5A">
      <w:pPr>
        <w:numPr>
          <w:ilvl w:val="1"/>
          <w:numId w:val="11"/>
        </w:numPr>
        <w:spacing w:after="129" w:line="270" w:lineRule="auto"/>
        <w:ind w:right="54" w:hanging="991"/>
        <w:jc w:val="both"/>
      </w:pPr>
      <w:r>
        <w:rPr>
          <w:rFonts w:ascii="Arial" w:eastAsia="Arial" w:hAnsi="Arial" w:cs="Arial"/>
          <w:sz w:val="20"/>
        </w:rPr>
        <w:t>Se, durante o processo de aplicaç</w:t>
      </w:r>
      <w:r>
        <w:rPr>
          <w:rFonts w:ascii="Arial" w:eastAsia="Arial" w:hAnsi="Arial" w:cs="Arial"/>
          <w:sz w:val="20"/>
        </w:rPr>
        <w:t xml:space="preserve">ão de penalidade, se houver indícios de prática de infração administrativa tipificada pela Lei nº 12.846, de 1º de agosto de 2013, como ato lesivo à administração pública nacional ou estrangeira, cópias do processo administrativo necessárias à apuração da </w:t>
      </w:r>
      <w:r>
        <w:rPr>
          <w:rFonts w:ascii="Arial" w:eastAsia="Arial" w:hAnsi="Arial" w:cs="Arial"/>
          <w:sz w:val="20"/>
        </w:rPr>
        <w:t xml:space="preserve">responsabilidade da empresa deverão ser remetidas à autoridade competente, com despacho fundamentado, para ciência e decisão sobre a eventual instauração de investigação preliminar ou Processo Administrativo de Responsabilização – PAR.  </w:t>
      </w:r>
    </w:p>
    <w:p w:rsidR="006C145C" w:rsidRDefault="00C62E5A">
      <w:pPr>
        <w:numPr>
          <w:ilvl w:val="1"/>
          <w:numId w:val="11"/>
        </w:numPr>
        <w:spacing w:after="129" w:line="270" w:lineRule="auto"/>
        <w:ind w:right="54" w:hanging="991"/>
        <w:jc w:val="both"/>
      </w:pPr>
      <w:r>
        <w:rPr>
          <w:rFonts w:ascii="Arial" w:eastAsia="Arial" w:hAnsi="Arial" w:cs="Arial"/>
          <w:sz w:val="20"/>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6C145C" w:rsidRDefault="00C62E5A">
      <w:pPr>
        <w:numPr>
          <w:ilvl w:val="1"/>
          <w:numId w:val="11"/>
        </w:numPr>
        <w:spacing w:after="129" w:line="270" w:lineRule="auto"/>
        <w:ind w:right="54" w:hanging="991"/>
        <w:jc w:val="both"/>
      </w:pPr>
      <w:r>
        <w:rPr>
          <w:rFonts w:ascii="Arial" w:eastAsia="Arial" w:hAnsi="Arial" w:cs="Arial"/>
          <w:sz w:val="20"/>
        </w:rPr>
        <w:t>O processamento do PAR não interfere no seguimento regular dos processos administrativos específicos para apuração da ocorrência de danos e prejuízos à Administração Pública Federal resultantes de ato lesivo cometido por pessoa jurídica, com ou sem a parti</w:t>
      </w:r>
      <w:r>
        <w:rPr>
          <w:rFonts w:ascii="Arial" w:eastAsia="Arial" w:hAnsi="Arial" w:cs="Arial"/>
          <w:sz w:val="20"/>
        </w:rPr>
        <w:t xml:space="preserve">cipação de agente público.  </w:t>
      </w:r>
    </w:p>
    <w:p w:rsidR="006C145C" w:rsidRDefault="00C62E5A">
      <w:pPr>
        <w:numPr>
          <w:ilvl w:val="1"/>
          <w:numId w:val="11"/>
        </w:numPr>
        <w:spacing w:after="129" w:line="270" w:lineRule="auto"/>
        <w:ind w:right="54" w:hanging="991"/>
        <w:jc w:val="both"/>
      </w:pPr>
      <w:r>
        <w:rPr>
          <w:rFonts w:ascii="Arial" w:eastAsia="Arial" w:hAnsi="Arial" w:cs="Arial"/>
          <w:sz w:val="20"/>
        </w:rPr>
        <w:t xml:space="preserve">Caso o valor da multa não seja suficiente para cobrir os prejuízos causados pela conduta do licitante, a União ou Entidade poderá cobrar o valor remanescente judicialmente, conforme artigo 419 do Código Civil. </w:t>
      </w:r>
    </w:p>
    <w:p w:rsidR="006C145C" w:rsidRDefault="00C62E5A">
      <w:pPr>
        <w:numPr>
          <w:ilvl w:val="1"/>
          <w:numId w:val="11"/>
        </w:numPr>
        <w:spacing w:after="129" w:line="270" w:lineRule="auto"/>
        <w:ind w:right="54" w:hanging="991"/>
        <w:jc w:val="both"/>
      </w:pPr>
      <w:r>
        <w:rPr>
          <w:rFonts w:ascii="Arial" w:eastAsia="Arial" w:hAnsi="Arial" w:cs="Arial"/>
          <w:sz w:val="20"/>
        </w:rPr>
        <w:t>A aplicação de q</w:t>
      </w:r>
      <w:r>
        <w:rPr>
          <w:rFonts w:ascii="Arial" w:eastAsia="Arial" w:hAnsi="Arial" w:cs="Arial"/>
          <w:sz w:val="20"/>
        </w:rPr>
        <w:t>ualquer das penalidades previstas realizar-se-á em processo administrativo que assegurará o contraditório e a ampla defesa ao licitante/adjudicatário, observando-se o procedimento previsto na Lei nº 8.666, de 1993, e subsidiariamente na Lei nº 9.784, de 19</w:t>
      </w:r>
      <w:r>
        <w:rPr>
          <w:rFonts w:ascii="Arial" w:eastAsia="Arial" w:hAnsi="Arial" w:cs="Arial"/>
          <w:sz w:val="20"/>
        </w:rPr>
        <w:t xml:space="preserve">99. </w:t>
      </w:r>
    </w:p>
    <w:p w:rsidR="006C145C" w:rsidRDefault="00C62E5A">
      <w:pPr>
        <w:numPr>
          <w:ilvl w:val="1"/>
          <w:numId w:val="11"/>
        </w:numPr>
        <w:spacing w:after="129" w:line="270" w:lineRule="auto"/>
        <w:ind w:right="54" w:hanging="991"/>
        <w:jc w:val="both"/>
      </w:pPr>
      <w:r>
        <w:rPr>
          <w:rFonts w:ascii="Arial" w:eastAsia="Arial" w:hAnsi="Arial" w:cs="Arial"/>
          <w:sz w:val="20"/>
        </w:rPr>
        <w:t xml:space="preserve">A autoridade competente, na aplicação das sanções, levará em consideração a gravidade da conduta do infrator, o caráter educativo da pena, bem como o dano causado à Administração, observado o princípio da proporcionalidade. </w:t>
      </w:r>
    </w:p>
    <w:p w:rsidR="006C145C" w:rsidRDefault="00C62E5A">
      <w:pPr>
        <w:numPr>
          <w:ilvl w:val="1"/>
          <w:numId w:val="11"/>
        </w:numPr>
        <w:spacing w:after="129" w:line="270" w:lineRule="auto"/>
        <w:ind w:right="54" w:hanging="991"/>
        <w:jc w:val="both"/>
      </w:pPr>
      <w:r>
        <w:rPr>
          <w:rFonts w:ascii="Arial" w:eastAsia="Arial" w:hAnsi="Arial" w:cs="Arial"/>
          <w:sz w:val="20"/>
        </w:rPr>
        <w:t>As penalidades serão obrig</w:t>
      </w:r>
      <w:r>
        <w:rPr>
          <w:rFonts w:ascii="Arial" w:eastAsia="Arial" w:hAnsi="Arial" w:cs="Arial"/>
          <w:sz w:val="20"/>
        </w:rPr>
        <w:t xml:space="preserve">atoriamente registradas no SICAF. </w:t>
      </w:r>
    </w:p>
    <w:p w:rsidR="006C145C" w:rsidRDefault="00C62E5A">
      <w:pPr>
        <w:numPr>
          <w:ilvl w:val="1"/>
          <w:numId w:val="11"/>
        </w:numPr>
        <w:spacing w:after="129" w:line="270" w:lineRule="auto"/>
        <w:ind w:right="54" w:hanging="991"/>
        <w:jc w:val="both"/>
      </w:pPr>
      <w:r>
        <w:rPr>
          <w:rFonts w:ascii="Arial" w:eastAsia="Arial" w:hAnsi="Arial" w:cs="Arial"/>
          <w:sz w:val="20"/>
        </w:rPr>
        <w:t xml:space="preserve">As sanções por atos praticados no decorrer da contratação estão previstas no Termo de Referência. </w:t>
      </w:r>
    </w:p>
    <w:p w:rsidR="006C145C" w:rsidRDefault="00C62E5A">
      <w:pPr>
        <w:numPr>
          <w:ilvl w:val="1"/>
          <w:numId w:val="11"/>
        </w:numPr>
        <w:spacing w:after="486" w:line="269" w:lineRule="auto"/>
        <w:ind w:right="54" w:hanging="991"/>
        <w:jc w:val="both"/>
      </w:pPr>
      <w:r>
        <w:rPr>
          <w:rFonts w:ascii="Arial" w:eastAsia="Arial" w:hAnsi="Arial" w:cs="Arial"/>
          <w:sz w:val="20"/>
          <w:shd w:val="clear" w:color="auto" w:fill="FFFF00"/>
        </w:rPr>
        <w:t>Sem prejuízo da responsabilidade civil ou criminal a que pode ficar sujeito, o rol das penalidades</w:t>
      </w:r>
      <w:r>
        <w:rPr>
          <w:rFonts w:ascii="Arial" w:eastAsia="Arial" w:hAnsi="Arial" w:cs="Arial"/>
          <w:sz w:val="20"/>
        </w:rPr>
        <w:t xml:space="preserve"> </w:t>
      </w:r>
      <w:r>
        <w:rPr>
          <w:rFonts w:ascii="Arial" w:eastAsia="Arial" w:hAnsi="Arial" w:cs="Arial"/>
          <w:sz w:val="20"/>
          <w:shd w:val="clear" w:color="auto" w:fill="FFFF00"/>
        </w:rPr>
        <w:t>administrativas a que o</w:t>
      </w:r>
      <w:r>
        <w:rPr>
          <w:rFonts w:ascii="Arial" w:eastAsia="Arial" w:hAnsi="Arial" w:cs="Arial"/>
          <w:sz w:val="20"/>
          <w:shd w:val="clear" w:color="auto" w:fill="FFFF00"/>
        </w:rPr>
        <w:t xml:space="preserve"> licitante, adjudicatário ou contratado pode ser submetido, assim como o</w:t>
      </w:r>
      <w:r>
        <w:rPr>
          <w:rFonts w:ascii="Arial" w:eastAsia="Arial" w:hAnsi="Arial" w:cs="Arial"/>
          <w:sz w:val="20"/>
        </w:rPr>
        <w:t xml:space="preserve"> </w:t>
      </w:r>
      <w:r>
        <w:rPr>
          <w:rFonts w:ascii="Arial" w:eastAsia="Arial" w:hAnsi="Arial" w:cs="Arial"/>
          <w:sz w:val="20"/>
          <w:shd w:val="clear" w:color="auto" w:fill="FFFF00"/>
        </w:rPr>
        <w:t>rito do procedimento administrativo para sua aplicação, estão dispostos na Lei nº 8.666, de 1993,</w:t>
      </w:r>
      <w:r>
        <w:rPr>
          <w:rFonts w:ascii="Arial" w:eastAsia="Arial" w:hAnsi="Arial" w:cs="Arial"/>
          <w:sz w:val="20"/>
        </w:rPr>
        <w:t xml:space="preserve"> </w:t>
      </w:r>
      <w:r>
        <w:rPr>
          <w:rFonts w:ascii="Arial" w:eastAsia="Arial" w:hAnsi="Arial" w:cs="Arial"/>
          <w:sz w:val="20"/>
          <w:shd w:val="clear" w:color="auto" w:fill="FFFF00"/>
        </w:rPr>
        <w:t>subsidiariamente na Lei nº 9.784, de 1999 e nº 10.520, de 2002, Instrução Normativa v</w:t>
      </w:r>
      <w:r>
        <w:rPr>
          <w:rFonts w:ascii="Arial" w:eastAsia="Arial" w:hAnsi="Arial" w:cs="Arial"/>
          <w:sz w:val="20"/>
          <w:shd w:val="clear" w:color="auto" w:fill="FFFF00"/>
        </w:rPr>
        <w:t>igente no</w:t>
      </w:r>
      <w:r>
        <w:rPr>
          <w:rFonts w:ascii="Arial" w:eastAsia="Arial" w:hAnsi="Arial" w:cs="Arial"/>
          <w:sz w:val="20"/>
        </w:rPr>
        <w:t xml:space="preserve"> </w:t>
      </w:r>
      <w:r>
        <w:rPr>
          <w:rFonts w:ascii="Arial" w:eastAsia="Arial" w:hAnsi="Arial" w:cs="Arial"/>
          <w:sz w:val="20"/>
          <w:shd w:val="clear" w:color="auto" w:fill="FFFF00"/>
        </w:rPr>
        <w:t>DNIT sobre Processo Administrativo de Apuração de Responsabilidade – PAAR.</w:t>
      </w:r>
      <w:r>
        <w:rPr>
          <w:rFonts w:ascii="Arial" w:eastAsia="Arial" w:hAnsi="Arial" w:cs="Arial"/>
          <w:sz w:val="20"/>
        </w:rPr>
        <w:t xml:space="preserve"> </w:t>
      </w:r>
    </w:p>
    <w:p w:rsidR="006C145C" w:rsidRDefault="00C62E5A">
      <w:pPr>
        <w:pStyle w:val="Ttulo6"/>
        <w:tabs>
          <w:tab w:val="center" w:pos="2865"/>
        </w:tabs>
        <w:spacing w:after="143" w:line="259" w:lineRule="auto"/>
        <w:ind w:left="-15" w:firstLine="0"/>
        <w:jc w:val="left"/>
      </w:pPr>
      <w:r>
        <w:rPr>
          <w:i/>
          <w:color w:val="FF0000"/>
          <w:shd w:val="clear" w:color="auto" w:fill="00FFFF"/>
        </w:rPr>
        <w:lastRenderedPageBreak/>
        <w:t xml:space="preserve">23 </w:t>
      </w:r>
      <w:r>
        <w:rPr>
          <w:i/>
          <w:color w:val="FF0000"/>
          <w:shd w:val="clear" w:color="auto" w:fill="00FFFF"/>
        </w:rPr>
        <w:tab/>
        <w:t>DA FORMAÇÃO DO CADASTRO DE RESERVA</w:t>
      </w:r>
      <w:r>
        <w:rPr>
          <w:i/>
          <w:color w:val="FF0000"/>
        </w:rPr>
        <w:t xml:space="preserve">  </w:t>
      </w:r>
    </w:p>
    <w:p w:rsidR="006C145C" w:rsidRDefault="00C62E5A">
      <w:pPr>
        <w:spacing w:after="120" w:line="277" w:lineRule="auto"/>
        <w:ind w:left="410" w:right="51"/>
        <w:jc w:val="both"/>
      </w:pPr>
      <w:r>
        <w:rPr>
          <w:rFonts w:ascii="Arial" w:eastAsia="Arial" w:hAnsi="Arial" w:cs="Arial"/>
          <w:i/>
          <w:color w:val="FF0000"/>
          <w:sz w:val="20"/>
          <w:shd w:val="clear" w:color="auto" w:fill="00FFFF"/>
        </w:rPr>
        <w:t>23.1 Após o encerramento da etapa competitiva, os licitantes poderão reduzir seus preços</w:t>
      </w:r>
      <w:r>
        <w:rPr>
          <w:rFonts w:ascii="Arial" w:eastAsia="Arial" w:hAnsi="Arial" w:cs="Arial"/>
          <w:i/>
          <w:color w:val="FF0000"/>
          <w:sz w:val="20"/>
        </w:rPr>
        <w:t xml:space="preserve"> </w:t>
      </w:r>
      <w:r>
        <w:rPr>
          <w:rFonts w:ascii="Arial" w:eastAsia="Arial" w:hAnsi="Arial" w:cs="Arial"/>
          <w:i/>
          <w:color w:val="FF0000"/>
          <w:sz w:val="20"/>
          <w:shd w:val="clear" w:color="auto" w:fill="00FFFF"/>
        </w:rPr>
        <w:t>ao valor da proposta do licitante mais b</w:t>
      </w:r>
      <w:r>
        <w:rPr>
          <w:rFonts w:ascii="Arial" w:eastAsia="Arial" w:hAnsi="Arial" w:cs="Arial"/>
          <w:i/>
          <w:color w:val="FF0000"/>
          <w:sz w:val="20"/>
          <w:shd w:val="clear" w:color="auto" w:fill="00FFFF"/>
        </w:rPr>
        <w:t>em classificado.</w:t>
      </w:r>
      <w:r>
        <w:rPr>
          <w:rFonts w:ascii="Arial" w:eastAsia="Arial" w:hAnsi="Arial" w:cs="Arial"/>
          <w:i/>
          <w:color w:val="FF0000"/>
          <w:sz w:val="20"/>
        </w:rPr>
        <w:t xml:space="preserve"> </w:t>
      </w:r>
    </w:p>
    <w:p w:rsidR="006C145C" w:rsidRDefault="00C62E5A">
      <w:pPr>
        <w:spacing w:after="120" w:line="277" w:lineRule="auto"/>
        <w:ind w:left="410" w:right="51"/>
        <w:jc w:val="both"/>
      </w:pPr>
      <w:r>
        <w:rPr>
          <w:rFonts w:ascii="Arial" w:eastAsia="Arial" w:hAnsi="Arial" w:cs="Arial"/>
          <w:i/>
          <w:color w:val="FF0000"/>
          <w:sz w:val="20"/>
          <w:shd w:val="clear" w:color="auto" w:fill="00FFFF"/>
        </w:rPr>
        <w:t>23.2 A apresentação de novas propostas na forma deste item não prejudicará o resultado</w:t>
      </w:r>
      <w:r>
        <w:rPr>
          <w:rFonts w:ascii="Arial" w:eastAsia="Arial" w:hAnsi="Arial" w:cs="Arial"/>
          <w:i/>
          <w:color w:val="FF0000"/>
          <w:sz w:val="20"/>
        </w:rPr>
        <w:t xml:space="preserve"> </w:t>
      </w:r>
      <w:r>
        <w:rPr>
          <w:rFonts w:ascii="Arial" w:eastAsia="Arial" w:hAnsi="Arial" w:cs="Arial"/>
          <w:i/>
          <w:color w:val="FF0000"/>
          <w:sz w:val="20"/>
          <w:shd w:val="clear" w:color="auto" w:fill="00FFFF"/>
        </w:rPr>
        <w:t>do certame em relação ao licitante melhor classificado.</w:t>
      </w:r>
      <w:r>
        <w:rPr>
          <w:rFonts w:ascii="Arial" w:eastAsia="Arial" w:hAnsi="Arial" w:cs="Arial"/>
          <w:i/>
          <w:color w:val="FF0000"/>
          <w:sz w:val="20"/>
        </w:rPr>
        <w:t xml:space="preserve"> </w:t>
      </w:r>
    </w:p>
    <w:p w:rsidR="006C145C" w:rsidRDefault="00C62E5A">
      <w:pPr>
        <w:spacing w:after="120" w:line="277" w:lineRule="auto"/>
        <w:ind w:left="410" w:right="51"/>
        <w:jc w:val="both"/>
      </w:pPr>
      <w:r>
        <w:rPr>
          <w:rFonts w:ascii="Arial" w:eastAsia="Arial" w:hAnsi="Arial" w:cs="Arial"/>
          <w:i/>
          <w:color w:val="FF0000"/>
          <w:sz w:val="20"/>
          <w:shd w:val="clear" w:color="auto" w:fill="00FFFF"/>
        </w:rPr>
        <w:t>23.3 Havendo um ou mais licitantes que aceitem cotar suas propostas em valor igual ao do</w:t>
      </w:r>
      <w:r>
        <w:rPr>
          <w:rFonts w:ascii="Arial" w:eastAsia="Arial" w:hAnsi="Arial" w:cs="Arial"/>
          <w:i/>
          <w:color w:val="FF0000"/>
          <w:sz w:val="20"/>
        </w:rPr>
        <w:t xml:space="preserve"> </w:t>
      </w:r>
      <w:r>
        <w:rPr>
          <w:rFonts w:ascii="Arial" w:eastAsia="Arial" w:hAnsi="Arial" w:cs="Arial"/>
          <w:i/>
          <w:color w:val="FF0000"/>
          <w:sz w:val="20"/>
          <w:shd w:val="clear" w:color="auto" w:fill="00FFFF"/>
        </w:rPr>
        <w:t>licit</w:t>
      </w:r>
      <w:r>
        <w:rPr>
          <w:rFonts w:ascii="Arial" w:eastAsia="Arial" w:hAnsi="Arial" w:cs="Arial"/>
          <w:i/>
          <w:color w:val="FF0000"/>
          <w:sz w:val="20"/>
          <w:shd w:val="clear" w:color="auto" w:fill="00FFFF"/>
        </w:rPr>
        <w:t>ante vencedor, estes serão classificados segundo a ordem da última proposta individual</w:t>
      </w:r>
      <w:r>
        <w:rPr>
          <w:rFonts w:ascii="Arial" w:eastAsia="Arial" w:hAnsi="Arial" w:cs="Arial"/>
          <w:i/>
          <w:color w:val="FF0000"/>
          <w:sz w:val="20"/>
        </w:rPr>
        <w:t xml:space="preserve"> </w:t>
      </w:r>
      <w:r>
        <w:rPr>
          <w:rFonts w:ascii="Arial" w:eastAsia="Arial" w:hAnsi="Arial" w:cs="Arial"/>
          <w:i/>
          <w:color w:val="FF0000"/>
          <w:sz w:val="20"/>
          <w:shd w:val="clear" w:color="auto" w:fill="00FFFF"/>
        </w:rPr>
        <w:t>apresentada durante a fase competitiva.</w:t>
      </w:r>
      <w:r>
        <w:rPr>
          <w:rFonts w:ascii="Arial" w:eastAsia="Arial" w:hAnsi="Arial" w:cs="Arial"/>
          <w:i/>
          <w:color w:val="FF0000"/>
          <w:sz w:val="20"/>
        </w:rPr>
        <w:t xml:space="preserve"> </w:t>
      </w:r>
    </w:p>
    <w:p w:rsidR="006C145C" w:rsidRDefault="00C62E5A">
      <w:pPr>
        <w:spacing w:after="153" w:line="277" w:lineRule="auto"/>
        <w:ind w:left="410" w:right="51"/>
        <w:jc w:val="both"/>
      </w:pPr>
      <w:r>
        <w:rPr>
          <w:rFonts w:ascii="Arial" w:eastAsia="Arial" w:hAnsi="Arial" w:cs="Arial"/>
          <w:i/>
          <w:color w:val="FF0000"/>
          <w:sz w:val="20"/>
          <w:shd w:val="clear" w:color="auto" w:fill="00FFFF"/>
        </w:rPr>
        <w:t>23.4 Esta ordem de classificação dos licitantes registrados deverá ser respeitada nas</w:t>
      </w:r>
      <w:r>
        <w:rPr>
          <w:rFonts w:ascii="Arial" w:eastAsia="Arial" w:hAnsi="Arial" w:cs="Arial"/>
          <w:i/>
          <w:color w:val="FF0000"/>
          <w:sz w:val="20"/>
        </w:rPr>
        <w:t xml:space="preserve"> </w:t>
      </w:r>
      <w:r>
        <w:rPr>
          <w:rFonts w:ascii="Arial" w:eastAsia="Arial" w:hAnsi="Arial" w:cs="Arial"/>
          <w:i/>
          <w:color w:val="FF0000"/>
          <w:sz w:val="20"/>
          <w:shd w:val="clear" w:color="auto" w:fill="00FFFF"/>
        </w:rPr>
        <w:t>contratações e somente será utilizada acas</w:t>
      </w:r>
      <w:r>
        <w:rPr>
          <w:rFonts w:ascii="Arial" w:eastAsia="Arial" w:hAnsi="Arial" w:cs="Arial"/>
          <w:i/>
          <w:color w:val="FF0000"/>
          <w:sz w:val="20"/>
          <w:shd w:val="clear" w:color="auto" w:fill="00FFFF"/>
        </w:rPr>
        <w:t>o o melhor colocado no certame não assine a ata ou</w:t>
      </w:r>
      <w:r>
        <w:rPr>
          <w:rFonts w:ascii="Arial" w:eastAsia="Arial" w:hAnsi="Arial" w:cs="Arial"/>
          <w:i/>
          <w:color w:val="FF0000"/>
          <w:sz w:val="20"/>
        </w:rPr>
        <w:t xml:space="preserve"> </w:t>
      </w:r>
      <w:r>
        <w:rPr>
          <w:rFonts w:ascii="Arial" w:eastAsia="Arial" w:hAnsi="Arial" w:cs="Arial"/>
          <w:i/>
          <w:color w:val="FF0000"/>
          <w:sz w:val="20"/>
          <w:shd w:val="clear" w:color="auto" w:fill="00FFFF"/>
        </w:rPr>
        <w:t>tenha seu registro cancelado nas hipóteses previstas nos artigos 20 e 21 do Decreto n° 7.892/213.</w:t>
      </w:r>
      <w:r>
        <w:rPr>
          <w:rFonts w:ascii="Arial" w:eastAsia="Arial" w:hAnsi="Arial" w:cs="Arial"/>
          <w:i/>
          <w:color w:val="FF0000"/>
          <w:sz w:val="20"/>
        </w:rPr>
        <w:t xml:space="preserve">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4" w:line="250" w:lineRule="auto"/>
        <w:ind w:left="-5" w:right="56" w:hanging="10"/>
        <w:jc w:val="both"/>
      </w:pPr>
      <w:r>
        <w:rPr>
          <w:rFonts w:ascii="Arial" w:eastAsia="Arial" w:hAnsi="Arial" w:cs="Arial"/>
          <w:b/>
          <w:i/>
          <w:sz w:val="20"/>
        </w:rPr>
        <w:t>Nota Explicativa:</w:t>
      </w:r>
      <w:r>
        <w:rPr>
          <w:rFonts w:ascii="Arial" w:eastAsia="Arial" w:hAnsi="Arial" w:cs="Arial"/>
          <w:i/>
          <w:sz w:val="20"/>
        </w:rPr>
        <w:t xml:space="preserve"> Adotar esse item no caso de licitação pelo Sistema de Registro de Preços. </w:t>
      </w:r>
    </w:p>
    <w:p w:rsidR="006C145C" w:rsidRDefault="00C62E5A">
      <w:pPr>
        <w:pStyle w:val="Ttulo5"/>
        <w:tabs>
          <w:tab w:val="center" w:pos="3335"/>
        </w:tabs>
        <w:ind w:left="-3" w:firstLine="0"/>
        <w:jc w:val="left"/>
      </w:pPr>
      <w:r>
        <w:t xml:space="preserve">24 </w:t>
      </w:r>
      <w:r>
        <w:tab/>
      </w:r>
      <w:r>
        <w:t xml:space="preserve">DA IMPUGNAÇÃO AO EDITAL E DO PEDIDO DE ESCLARECIMENTO </w:t>
      </w:r>
    </w:p>
    <w:p w:rsidR="006C145C" w:rsidRDefault="00C62E5A">
      <w:pPr>
        <w:spacing w:after="129" w:line="270" w:lineRule="auto"/>
        <w:ind w:left="433" w:right="54" w:hanging="8"/>
        <w:jc w:val="both"/>
      </w:pPr>
      <w:r>
        <w:rPr>
          <w:rFonts w:ascii="Arial" w:eastAsia="Arial" w:hAnsi="Arial" w:cs="Arial"/>
          <w:sz w:val="20"/>
        </w:rPr>
        <w:t xml:space="preserve">24.1 Até 03 (três) dias úteis antes da data designada para a abertura da sessão pública, qualquer pessoa poderá impugnar este Edital. </w:t>
      </w:r>
    </w:p>
    <w:p w:rsidR="006C145C" w:rsidRDefault="00C62E5A">
      <w:pPr>
        <w:spacing w:after="7" w:line="270" w:lineRule="auto"/>
        <w:ind w:left="433" w:right="54" w:hanging="8"/>
        <w:jc w:val="both"/>
      </w:pPr>
      <w:r>
        <w:rPr>
          <w:rFonts w:ascii="Arial" w:eastAsia="Arial" w:hAnsi="Arial" w:cs="Arial"/>
          <w:sz w:val="20"/>
        </w:rPr>
        <w:t xml:space="preserve">24.2 A impugnação poderá ser realizada por forma eletrônica, pelo </w:t>
      </w:r>
      <w:r>
        <w:rPr>
          <w:rFonts w:ascii="Arial" w:eastAsia="Arial" w:hAnsi="Arial" w:cs="Arial"/>
          <w:sz w:val="20"/>
        </w:rPr>
        <w:t xml:space="preserve">e-mail ..............., pelo fax ............, ou por petição dirigida ou protocolada no endereço .........................., seção </w:t>
      </w:r>
    </w:p>
    <w:p w:rsidR="006C145C" w:rsidRDefault="00C62E5A">
      <w:pPr>
        <w:spacing w:after="156" w:line="270" w:lineRule="auto"/>
        <w:ind w:left="433" w:right="54" w:hanging="8"/>
        <w:jc w:val="both"/>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214" w:line="250" w:lineRule="auto"/>
        <w:ind w:left="-5" w:right="56" w:hanging="10"/>
        <w:jc w:val="both"/>
      </w:pPr>
      <w:r>
        <w:rPr>
          <w:rFonts w:ascii="Arial" w:eastAsia="Arial" w:hAnsi="Arial" w:cs="Arial"/>
          <w:b/>
          <w:i/>
          <w:sz w:val="20"/>
        </w:rPr>
        <w:t>Nota Explicativa:</w:t>
      </w:r>
      <w:r>
        <w:rPr>
          <w:rFonts w:ascii="Arial" w:eastAsia="Arial" w:hAnsi="Arial" w:cs="Arial"/>
          <w:i/>
          <w:sz w:val="20"/>
        </w:rPr>
        <w:t xml:space="preserve"> </w:t>
      </w:r>
      <w:r>
        <w:rPr>
          <w:rFonts w:ascii="Arial" w:eastAsia="Arial" w:hAnsi="Arial" w:cs="Arial"/>
          <w:i/>
          <w:sz w:val="20"/>
        </w:rPr>
        <w:t>É importante que o Pregoeiro preencha corretamente esses campos, especialmente o referente à petição, de forma a garantir que a impugnação chegue ao seu conhecimento de forma imediata. Sempre que indicar protocolos centrais, deve deixar o Setor de sobreavi</w:t>
      </w:r>
      <w:r>
        <w:rPr>
          <w:rFonts w:ascii="Arial" w:eastAsia="Arial" w:hAnsi="Arial" w:cs="Arial"/>
          <w:i/>
          <w:sz w:val="20"/>
        </w:rPr>
        <w:t xml:space="preserve">so para o encaminhamento urgente da impugnação. </w:t>
      </w:r>
    </w:p>
    <w:p w:rsidR="006C145C" w:rsidRDefault="00C62E5A">
      <w:pPr>
        <w:spacing w:after="129" w:line="270" w:lineRule="auto"/>
        <w:ind w:left="537" w:right="54" w:hanging="540"/>
        <w:jc w:val="both"/>
      </w:pPr>
      <w:r>
        <w:rPr>
          <w:rFonts w:ascii="Arial" w:eastAsia="Arial" w:hAnsi="Arial" w:cs="Arial"/>
          <w:sz w:val="20"/>
        </w:rPr>
        <w:t>24.3 Caberá ao Pregoeiro, auxiliado pelos responsáveis pela elaboração deste Edital e seus anexos, decidir sobre a impugnação no prazo de até 2 (dois) dias úteis contados da data de recebimento da impugnação</w:t>
      </w:r>
      <w:r>
        <w:rPr>
          <w:rFonts w:ascii="Arial" w:eastAsia="Arial" w:hAnsi="Arial" w:cs="Arial"/>
          <w:sz w:val="20"/>
        </w:rPr>
        <w:t xml:space="preserve">. </w:t>
      </w:r>
    </w:p>
    <w:p w:rsidR="006C145C" w:rsidRDefault="00C62E5A">
      <w:pPr>
        <w:spacing w:after="129" w:line="270" w:lineRule="auto"/>
        <w:ind w:left="433" w:right="54" w:hanging="8"/>
        <w:jc w:val="both"/>
      </w:pPr>
      <w:r>
        <w:rPr>
          <w:rFonts w:ascii="Arial" w:eastAsia="Arial" w:hAnsi="Arial" w:cs="Arial"/>
          <w:sz w:val="20"/>
        </w:rPr>
        <w:t xml:space="preserve">24.4 </w:t>
      </w:r>
      <w:r>
        <w:rPr>
          <w:rFonts w:ascii="Arial" w:eastAsia="Arial" w:hAnsi="Arial" w:cs="Arial"/>
          <w:sz w:val="20"/>
        </w:rPr>
        <w:tab/>
        <w:t xml:space="preserve">Acolhida a impugnação, será definida e publicada nova data para a realização do certame. </w:t>
      </w:r>
    </w:p>
    <w:p w:rsidR="006C145C" w:rsidRDefault="00C62E5A">
      <w:pPr>
        <w:spacing w:after="129" w:line="270" w:lineRule="auto"/>
        <w:ind w:left="433" w:right="54" w:hanging="8"/>
        <w:jc w:val="both"/>
      </w:pPr>
      <w:r>
        <w:rPr>
          <w:rFonts w:ascii="Arial" w:eastAsia="Arial" w:hAnsi="Arial" w:cs="Arial"/>
          <w:sz w:val="20"/>
        </w:rPr>
        <w:t>24.5 Os pedidos de esclarecimentos referentes a este processo licitatório deverão ser enviados ao Pregoeiro, até 03 (três) dias úteis anteriores à data desig</w:t>
      </w:r>
      <w:r>
        <w:rPr>
          <w:rFonts w:ascii="Arial" w:eastAsia="Arial" w:hAnsi="Arial" w:cs="Arial"/>
          <w:sz w:val="20"/>
        </w:rPr>
        <w:t xml:space="preserve">nada para abertura da sessão pública, exclusivamente por meio eletrônico via internet, no endereço indicado no Edital. </w:t>
      </w:r>
    </w:p>
    <w:p w:rsidR="006C145C" w:rsidRDefault="00C62E5A">
      <w:pPr>
        <w:spacing w:after="129" w:line="270" w:lineRule="auto"/>
        <w:ind w:left="436" w:right="54" w:hanging="8"/>
        <w:jc w:val="both"/>
      </w:pPr>
      <w:r>
        <w:rPr>
          <w:rFonts w:ascii="Arial" w:eastAsia="Arial" w:hAnsi="Arial" w:cs="Arial"/>
          <w:sz w:val="20"/>
        </w:rPr>
        <w:t xml:space="preserve">24.6 O Pregoeiro responderá aos pedidos de esclarecimentos no prazo de 2 (dois) dias úteis, contado da data de recebimento do pedido, e </w:t>
      </w:r>
      <w:r>
        <w:rPr>
          <w:rFonts w:ascii="Arial" w:eastAsia="Arial" w:hAnsi="Arial" w:cs="Arial"/>
          <w:sz w:val="20"/>
        </w:rPr>
        <w:t xml:space="preserve">poderá requisitar subsídios formais aos responsáveis pela elaboração do Edital e dos anexos. </w:t>
      </w:r>
    </w:p>
    <w:p w:rsidR="006C145C" w:rsidRDefault="00C62E5A">
      <w:pPr>
        <w:spacing w:after="129" w:line="270" w:lineRule="auto"/>
        <w:ind w:left="575" w:right="54" w:hanging="8"/>
        <w:jc w:val="both"/>
      </w:pPr>
      <w:r>
        <w:rPr>
          <w:rFonts w:ascii="Arial" w:eastAsia="Arial" w:hAnsi="Arial" w:cs="Arial"/>
          <w:sz w:val="20"/>
        </w:rPr>
        <w:t xml:space="preserve">24.7 </w:t>
      </w:r>
      <w:r>
        <w:rPr>
          <w:rFonts w:ascii="Arial" w:eastAsia="Arial" w:hAnsi="Arial" w:cs="Arial"/>
          <w:sz w:val="20"/>
        </w:rPr>
        <w:tab/>
        <w:t xml:space="preserve">As impugnações e pedidos de esclarecimentos não suspendem os prazos previstos no certame. </w:t>
      </w:r>
    </w:p>
    <w:p w:rsidR="006C145C" w:rsidRDefault="00C62E5A">
      <w:pPr>
        <w:spacing w:after="129" w:line="270" w:lineRule="auto"/>
        <w:ind w:left="858" w:right="54" w:hanging="8"/>
        <w:jc w:val="both"/>
      </w:pPr>
      <w:r>
        <w:rPr>
          <w:rFonts w:ascii="Arial" w:eastAsia="Arial" w:hAnsi="Arial" w:cs="Arial"/>
          <w:sz w:val="20"/>
        </w:rPr>
        <w:t>24.7.1 A concessão de efeito suspensivo à impugnação é medida exc</w:t>
      </w:r>
      <w:r>
        <w:rPr>
          <w:rFonts w:ascii="Arial" w:eastAsia="Arial" w:hAnsi="Arial" w:cs="Arial"/>
          <w:sz w:val="20"/>
        </w:rPr>
        <w:t xml:space="preserve">epcional e deverá ser motivada pelo pregoeiro, nos autos do processo de licitação. </w:t>
      </w:r>
    </w:p>
    <w:p w:rsidR="006C145C" w:rsidRDefault="00C62E5A">
      <w:pPr>
        <w:spacing w:after="129" w:line="270" w:lineRule="auto"/>
        <w:ind w:left="575" w:right="54" w:hanging="8"/>
        <w:jc w:val="both"/>
      </w:pPr>
      <w:r>
        <w:rPr>
          <w:rFonts w:ascii="Arial" w:eastAsia="Arial" w:hAnsi="Arial" w:cs="Arial"/>
          <w:sz w:val="20"/>
        </w:rPr>
        <w:t xml:space="preserve">24.8 As respostas aos pedidos de esclarecimentos serão divulgadas pelo sistema e vincularão os participantes e a Administração. </w:t>
      </w:r>
    </w:p>
    <w:p w:rsidR="006C145C" w:rsidRDefault="00C62E5A">
      <w:pPr>
        <w:spacing w:after="497"/>
        <w:ind w:left="425"/>
      </w:pPr>
      <w:r>
        <w:rPr>
          <w:rFonts w:ascii="Arial" w:eastAsia="Arial" w:hAnsi="Arial" w:cs="Arial"/>
          <w:sz w:val="20"/>
        </w:rPr>
        <w:t xml:space="preserve"> </w:t>
      </w:r>
    </w:p>
    <w:p w:rsidR="006C145C" w:rsidRDefault="00C62E5A">
      <w:pPr>
        <w:numPr>
          <w:ilvl w:val="0"/>
          <w:numId w:val="12"/>
        </w:numPr>
        <w:spacing w:after="141"/>
        <w:ind w:hanging="540"/>
      </w:pPr>
      <w:r>
        <w:rPr>
          <w:rFonts w:ascii="Arial" w:eastAsia="Arial" w:hAnsi="Arial" w:cs="Arial"/>
          <w:b/>
          <w:i/>
          <w:sz w:val="20"/>
          <w:shd w:val="clear" w:color="auto" w:fill="FFFF00"/>
        </w:rPr>
        <w:t>DAS SITUAÇÕES ESPECIAIS</w:t>
      </w:r>
      <w:r>
        <w:rPr>
          <w:rFonts w:ascii="Arial" w:eastAsia="Arial" w:hAnsi="Arial" w:cs="Arial"/>
          <w:b/>
          <w:i/>
          <w:sz w:val="20"/>
        </w:rPr>
        <w:t xml:space="preserve"> </w:t>
      </w:r>
    </w:p>
    <w:p w:rsidR="006C145C" w:rsidRDefault="00C62E5A">
      <w:pPr>
        <w:numPr>
          <w:ilvl w:val="1"/>
          <w:numId w:val="12"/>
        </w:numPr>
        <w:spacing w:after="8" w:line="269" w:lineRule="auto"/>
        <w:ind w:right="51" w:hanging="540"/>
        <w:jc w:val="both"/>
      </w:pPr>
      <w:r>
        <w:rPr>
          <w:rFonts w:ascii="Arial" w:eastAsia="Arial" w:hAnsi="Arial" w:cs="Arial"/>
          <w:i/>
          <w:color w:val="FF0000"/>
          <w:sz w:val="20"/>
          <w:shd w:val="clear" w:color="auto" w:fill="FFFF00"/>
        </w:rPr>
        <w:t>Será permitida a participação de pessoas jurídicas organizadas em consórcio nos termos do art.</w:t>
      </w:r>
      <w:r>
        <w:rPr>
          <w:rFonts w:ascii="Arial" w:eastAsia="Arial" w:hAnsi="Arial" w:cs="Arial"/>
          <w:i/>
          <w:color w:val="FF0000"/>
          <w:sz w:val="20"/>
        </w:rPr>
        <w:t xml:space="preserve"> </w:t>
      </w:r>
      <w:r>
        <w:rPr>
          <w:rFonts w:ascii="Arial" w:eastAsia="Arial" w:hAnsi="Arial" w:cs="Arial"/>
          <w:i/>
          <w:color w:val="FF0000"/>
          <w:sz w:val="20"/>
          <w:shd w:val="clear" w:color="auto" w:fill="FFFF00"/>
        </w:rPr>
        <w:t>33 da Lei n. 8.666/93:</w:t>
      </w:r>
      <w:r>
        <w:rPr>
          <w:rFonts w:ascii="Arial" w:eastAsia="Arial" w:hAnsi="Arial" w:cs="Arial"/>
          <w:i/>
          <w:color w:val="FF0000"/>
          <w:sz w:val="20"/>
        </w:rPr>
        <w:t xml:space="preserve"> </w:t>
      </w:r>
    </w:p>
    <w:p w:rsidR="006C145C" w:rsidRDefault="00C62E5A">
      <w:pPr>
        <w:numPr>
          <w:ilvl w:val="2"/>
          <w:numId w:val="12"/>
        </w:numPr>
        <w:spacing w:after="8" w:line="269" w:lineRule="auto"/>
        <w:ind w:right="51" w:hanging="720"/>
        <w:jc w:val="both"/>
      </w:pPr>
      <w:r>
        <w:rPr>
          <w:rFonts w:ascii="Arial" w:eastAsia="Arial" w:hAnsi="Arial" w:cs="Arial"/>
          <w:i/>
          <w:color w:val="FF0000"/>
          <w:sz w:val="20"/>
          <w:shd w:val="clear" w:color="auto" w:fill="FFFF00"/>
        </w:rPr>
        <w:lastRenderedPageBreak/>
        <w:t>As pessoas jurídicas que participarem organizadas em consórcio deverão apresentar, além</w:t>
      </w:r>
      <w:r>
        <w:rPr>
          <w:rFonts w:ascii="Arial" w:eastAsia="Arial" w:hAnsi="Arial" w:cs="Arial"/>
          <w:i/>
          <w:color w:val="FF0000"/>
          <w:sz w:val="20"/>
        </w:rPr>
        <w:t xml:space="preserve"> </w:t>
      </w:r>
      <w:r>
        <w:rPr>
          <w:rFonts w:ascii="Arial" w:eastAsia="Arial" w:hAnsi="Arial" w:cs="Arial"/>
          <w:i/>
          <w:color w:val="FF0000"/>
          <w:sz w:val="20"/>
          <w:shd w:val="clear" w:color="auto" w:fill="FFFF00"/>
        </w:rPr>
        <w:t>dos demais documentos exigidos neste Edital, comp</w:t>
      </w:r>
      <w:r>
        <w:rPr>
          <w:rFonts w:ascii="Arial" w:eastAsia="Arial" w:hAnsi="Arial" w:cs="Arial"/>
          <w:i/>
          <w:color w:val="FF0000"/>
          <w:sz w:val="20"/>
          <w:shd w:val="clear" w:color="auto" w:fill="FFFF00"/>
        </w:rPr>
        <w:t>romisso de constituição do consórcio, por</w:t>
      </w:r>
      <w:r>
        <w:rPr>
          <w:rFonts w:ascii="Arial" w:eastAsia="Arial" w:hAnsi="Arial" w:cs="Arial"/>
          <w:i/>
          <w:color w:val="FF0000"/>
          <w:sz w:val="20"/>
        </w:rPr>
        <w:t xml:space="preserve"> </w:t>
      </w:r>
      <w:r>
        <w:rPr>
          <w:rFonts w:ascii="Arial" w:eastAsia="Arial" w:hAnsi="Arial" w:cs="Arial"/>
          <w:i/>
          <w:color w:val="FF0000"/>
          <w:sz w:val="20"/>
          <w:shd w:val="clear" w:color="auto" w:fill="FFFF00"/>
        </w:rPr>
        <w:t>escritura pública ou documento particular registrado em Cartório de Registro de Títulos e</w:t>
      </w:r>
      <w:r>
        <w:rPr>
          <w:rFonts w:ascii="Arial" w:eastAsia="Arial" w:hAnsi="Arial" w:cs="Arial"/>
          <w:i/>
          <w:color w:val="FF0000"/>
          <w:sz w:val="20"/>
        </w:rPr>
        <w:t xml:space="preserve"> </w:t>
      </w:r>
      <w:r>
        <w:rPr>
          <w:rFonts w:ascii="Arial" w:eastAsia="Arial" w:hAnsi="Arial" w:cs="Arial"/>
          <w:i/>
          <w:color w:val="FF0000"/>
          <w:sz w:val="20"/>
          <w:shd w:val="clear" w:color="auto" w:fill="FFFF00"/>
        </w:rPr>
        <w:t>Documentos, discriminando a EMPRESA líder, estabelecendo responsabilidade solidária dos</w:t>
      </w:r>
      <w:r>
        <w:rPr>
          <w:rFonts w:ascii="Arial" w:eastAsia="Arial" w:hAnsi="Arial" w:cs="Arial"/>
          <w:i/>
          <w:color w:val="FF0000"/>
          <w:sz w:val="20"/>
        </w:rPr>
        <w:t xml:space="preserve"> </w:t>
      </w:r>
      <w:r>
        <w:rPr>
          <w:rFonts w:ascii="Arial" w:eastAsia="Arial" w:hAnsi="Arial" w:cs="Arial"/>
          <w:i/>
          <w:color w:val="FF0000"/>
          <w:sz w:val="20"/>
          <w:shd w:val="clear" w:color="auto" w:fill="FFFF00"/>
        </w:rPr>
        <w:t>integrantes pelos atos praticados pe</w:t>
      </w:r>
      <w:r>
        <w:rPr>
          <w:rFonts w:ascii="Arial" w:eastAsia="Arial" w:hAnsi="Arial" w:cs="Arial"/>
          <w:i/>
          <w:color w:val="FF0000"/>
          <w:sz w:val="20"/>
          <w:shd w:val="clear" w:color="auto" w:fill="FFFF00"/>
        </w:rPr>
        <w:t>lo consórcio;</w:t>
      </w:r>
      <w:r>
        <w:rPr>
          <w:rFonts w:ascii="Arial" w:eastAsia="Arial" w:hAnsi="Arial" w:cs="Arial"/>
          <w:i/>
          <w:color w:val="FF0000"/>
          <w:sz w:val="20"/>
        </w:rPr>
        <w:t xml:space="preserve"> </w:t>
      </w:r>
    </w:p>
    <w:p w:rsidR="006C145C" w:rsidRDefault="00C62E5A">
      <w:pPr>
        <w:numPr>
          <w:ilvl w:val="2"/>
          <w:numId w:val="12"/>
        </w:numPr>
        <w:spacing w:after="8" w:line="269" w:lineRule="auto"/>
        <w:ind w:right="51" w:hanging="720"/>
        <w:jc w:val="both"/>
      </w:pPr>
      <w:r>
        <w:rPr>
          <w:rFonts w:ascii="Arial" w:eastAsia="Arial" w:hAnsi="Arial" w:cs="Arial"/>
          <w:i/>
          <w:color w:val="FF0000"/>
          <w:sz w:val="20"/>
          <w:shd w:val="clear" w:color="auto" w:fill="FFFF00"/>
        </w:rPr>
        <w:t>Na documentação referida no item precedente deverá haver indicação expressa da pessoa</w:t>
      </w:r>
      <w:r>
        <w:rPr>
          <w:rFonts w:ascii="Arial" w:eastAsia="Arial" w:hAnsi="Arial" w:cs="Arial"/>
          <w:i/>
          <w:color w:val="FF0000"/>
          <w:sz w:val="20"/>
        </w:rPr>
        <w:t xml:space="preserve"> </w:t>
      </w:r>
      <w:r>
        <w:rPr>
          <w:rFonts w:ascii="Arial" w:eastAsia="Arial" w:hAnsi="Arial" w:cs="Arial"/>
          <w:i/>
          <w:color w:val="FF0000"/>
          <w:sz w:val="20"/>
          <w:shd w:val="clear" w:color="auto" w:fill="FFFF00"/>
        </w:rPr>
        <w:t>jurídica responsável pelo consórcio, que deverá atender às condições de liderança fixadas no</w:t>
      </w:r>
      <w:r>
        <w:rPr>
          <w:rFonts w:ascii="Arial" w:eastAsia="Arial" w:hAnsi="Arial" w:cs="Arial"/>
          <w:i/>
          <w:color w:val="FF0000"/>
          <w:sz w:val="20"/>
        </w:rPr>
        <w:t xml:space="preserve"> </w:t>
      </w:r>
      <w:r>
        <w:rPr>
          <w:rFonts w:ascii="Arial" w:eastAsia="Arial" w:hAnsi="Arial" w:cs="Arial"/>
          <w:i/>
          <w:color w:val="FF0000"/>
          <w:sz w:val="20"/>
          <w:shd w:val="clear" w:color="auto" w:fill="FFFF00"/>
        </w:rPr>
        <w:t>instrumento convocatório;</w:t>
      </w:r>
      <w:r>
        <w:rPr>
          <w:rFonts w:ascii="Arial" w:eastAsia="Arial" w:hAnsi="Arial" w:cs="Arial"/>
          <w:i/>
          <w:color w:val="FF0000"/>
          <w:sz w:val="20"/>
        </w:rPr>
        <w:t xml:space="preserve"> </w:t>
      </w:r>
    </w:p>
    <w:p w:rsidR="006C145C" w:rsidRDefault="00C62E5A">
      <w:pPr>
        <w:numPr>
          <w:ilvl w:val="2"/>
          <w:numId w:val="12"/>
        </w:numPr>
        <w:spacing w:after="8" w:line="269" w:lineRule="auto"/>
        <w:ind w:right="51" w:hanging="720"/>
        <w:jc w:val="both"/>
      </w:pPr>
      <w:r>
        <w:rPr>
          <w:rFonts w:ascii="Arial" w:eastAsia="Arial" w:hAnsi="Arial" w:cs="Arial"/>
          <w:i/>
          <w:color w:val="FF0000"/>
          <w:sz w:val="20"/>
          <w:shd w:val="clear" w:color="auto" w:fill="FFFF00"/>
        </w:rPr>
        <w:t>O consórcio deverá apresentar os do</w:t>
      </w:r>
      <w:r>
        <w:rPr>
          <w:rFonts w:ascii="Arial" w:eastAsia="Arial" w:hAnsi="Arial" w:cs="Arial"/>
          <w:i/>
          <w:color w:val="FF0000"/>
          <w:sz w:val="20"/>
          <w:shd w:val="clear" w:color="auto" w:fill="FFFF00"/>
        </w:rPr>
        <w:t>cumentos exigidos no instrumento convocatório quanto</w:t>
      </w:r>
      <w:r>
        <w:rPr>
          <w:rFonts w:ascii="Arial" w:eastAsia="Arial" w:hAnsi="Arial" w:cs="Arial"/>
          <w:i/>
          <w:color w:val="FF0000"/>
          <w:sz w:val="20"/>
        </w:rPr>
        <w:t xml:space="preserve"> </w:t>
      </w:r>
      <w:r>
        <w:rPr>
          <w:rFonts w:ascii="Arial" w:eastAsia="Arial" w:hAnsi="Arial" w:cs="Arial"/>
          <w:i/>
          <w:color w:val="FF0000"/>
          <w:sz w:val="20"/>
          <w:shd w:val="clear" w:color="auto" w:fill="FFFF00"/>
        </w:rPr>
        <w:t>a cada consorciado, admitindo-se, para efeito de qualificação técnica, o somatório dos</w:t>
      </w:r>
      <w:r>
        <w:rPr>
          <w:rFonts w:ascii="Arial" w:eastAsia="Arial" w:hAnsi="Arial" w:cs="Arial"/>
          <w:i/>
          <w:color w:val="FF0000"/>
          <w:sz w:val="20"/>
        </w:rPr>
        <w:t xml:space="preserve"> </w:t>
      </w:r>
      <w:r>
        <w:rPr>
          <w:rFonts w:ascii="Arial" w:eastAsia="Arial" w:hAnsi="Arial" w:cs="Arial"/>
          <w:i/>
          <w:color w:val="FF0000"/>
          <w:sz w:val="20"/>
          <w:shd w:val="clear" w:color="auto" w:fill="FFFF00"/>
        </w:rPr>
        <w:t>quantitativos de cada consorciado;</w:t>
      </w:r>
      <w:r>
        <w:rPr>
          <w:rFonts w:ascii="Arial" w:eastAsia="Arial" w:hAnsi="Arial" w:cs="Arial"/>
          <w:i/>
          <w:color w:val="FF0000"/>
          <w:sz w:val="20"/>
        </w:rPr>
        <w:t xml:space="preserve"> </w:t>
      </w:r>
    </w:p>
    <w:p w:rsidR="006C145C" w:rsidRDefault="00C62E5A">
      <w:pPr>
        <w:numPr>
          <w:ilvl w:val="2"/>
          <w:numId w:val="12"/>
        </w:numPr>
        <w:spacing w:after="8" w:line="269" w:lineRule="auto"/>
        <w:ind w:right="51" w:hanging="720"/>
        <w:jc w:val="both"/>
      </w:pPr>
      <w:r>
        <w:rPr>
          <w:rFonts w:ascii="Arial" w:eastAsia="Arial" w:hAnsi="Arial" w:cs="Arial"/>
          <w:i/>
          <w:color w:val="FF0000"/>
          <w:sz w:val="20"/>
          <w:shd w:val="clear" w:color="auto" w:fill="FFFF00"/>
        </w:rPr>
        <w:t>A comprovação de qualificação econômico-</w:t>
      </w:r>
      <w:r>
        <w:rPr>
          <w:rFonts w:ascii="Arial" w:eastAsia="Arial" w:hAnsi="Arial" w:cs="Arial"/>
          <w:i/>
          <w:color w:val="FF0000"/>
          <w:sz w:val="20"/>
          <w:shd w:val="clear" w:color="auto" w:fill="FFFF00"/>
        </w:rPr>
        <w:t>financeira, se dará mediante demonstração, por</w:t>
      </w:r>
      <w:r>
        <w:rPr>
          <w:rFonts w:ascii="Arial" w:eastAsia="Arial" w:hAnsi="Arial" w:cs="Arial"/>
          <w:i/>
          <w:color w:val="FF0000"/>
          <w:sz w:val="20"/>
        </w:rPr>
        <w:t xml:space="preserve"> </w:t>
      </w:r>
      <w:r>
        <w:rPr>
          <w:rFonts w:ascii="Arial" w:eastAsia="Arial" w:hAnsi="Arial" w:cs="Arial"/>
          <w:i/>
          <w:color w:val="FF0000"/>
          <w:sz w:val="20"/>
          <w:shd w:val="clear" w:color="auto" w:fill="FFFF00"/>
        </w:rPr>
        <w:t>cada consorciado, do atendimento aos requisitos contábeis definidos no instrumento</w:t>
      </w:r>
      <w:r>
        <w:rPr>
          <w:rFonts w:ascii="Arial" w:eastAsia="Arial" w:hAnsi="Arial" w:cs="Arial"/>
          <w:i/>
          <w:color w:val="FF0000"/>
          <w:sz w:val="20"/>
        </w:rPr>
        <w:t xml:space="preserve"> </w:t>
      </w:r>
      <w:r>
        <w:rPr>
          <w:rFonts w:ascii="Arial" w:eastAsia="Arial" w:hAnsi="Arial" w:cs="Arial"/>
          <w:i/>
          <w:color w:val="FF0000"/>
          <w:sz w:val="20"/>
          <w:shd w:val="clear" w:color="auto" w:fill="FFFF00"/>
        </w:rPr>
        <w:t>convocatório.</w:t>
      </w:r>
      <w:r>
        <w:rPr>
          <w:rFonts w:ascii="Arial" w:eastAsia="Arial" w:hAnsi="Arial" w:cs="Arial"/>
          <w:i/>
          <w:color w:val="FF0000"/>
          <w:sz w:val="20"/>
        </w:rPr>
        <w:t xml:space="preserve"> </w:t>
      </w:r>
    </w:p>
    <w:p w:rsidR="006C145C" w:rsidRDefault="00C62E5A">
      <w:pPr>
        <w:numPr>
          <w:ilvl w:val="2"/>
          <w:numId w:val="12"/>
        </w:numPr>
        <w:spacing w:after="8" w:line="269" w:lineRule="auto"/>
        <w:ind w:right="51" w:hanging="720"/>
        <w:jc w:val="both"/>
      </w:pPr>
      <w:r>
        <w:rPr>
          <w:rFonts w:ascii="Arial" w:eastAsia="Arial" w:hAnsi="Arial" w:cs="Arial"/>
          <w:i/>
          <w:color w:val="FF0000"/>
          <w:sz w:val="20"/>
          <w:shd w:val="clear" w:color="auto" w:fill="FFFF00"/>
        </w:rPr>
        <w:t>Fica vedada a participação de pessoa jurídica consorciada em mais de um consórcio ou</w:t>
      </w:r>
      <w:r>
        <w:rPr>
          <w:rFonts w:ascii="Arial" w:eastAsia="Arial" w:hAnsi="Arial" w:cs="Arial"/>
          <w:i/>
          <w:color w:val="FF0000"/>
          <w:sz w:val="20"/>
        </w:rPr>
        <w:t xml:space="preserve"> </w:t>
      </w:r>
      <w:r>
        <w:rPr>
          <w:rFonts w:ascii="Arial" w:eastAsia="Arial" w:hAnsi="Arial" w:cs="Arial"/>
          <w:i/>
          <w:color w:val="FF0000"/>
          <w:sz w:val="20"/>
          <w:shd w:val="clear" w:color="auto" w:fill="FFFF00"/>
        </w:rPr>
        <w:t xml:space="preserve">isoladamente, bem como de </w:t>
      </w:r>
      <w:r>
        <w:rPr>
          <w:rFonts w:ascii="Arial" w:eastAsia="Arial" w:hAnsi="Arial" w:cs="Arial"/>
          <w:i/>
          <w:color w:val="FF0000"/>
          <w:sz w:val="20"/>
          <w:shd w:val="clear" w:color="auto" w:fill="FFFF00"/>
        </w:rPr>
        <w:t>profissional em mais de uma EMPRESA, ou em mais de um</w:t>
      </w:r>
      <w:r>
        <w:rPr>
          <w:rFonts w:ascii="Arial" w:eastAsia="Arial" w:hAnsi="Arial" w:cs="Arial"/>
          <w:i/>
          <w:color w:val="FF0000"/>
          <w:sz w:val="20"/>
        </w:rPr>
        <w:t xml:space="preserve"> </w:t>
      </w:r>
      <w:r>
        <w:rPr>
          <w:rFonts w:ascii="Arial" w:eastAsia="Arial" w:hAnsi="Arial" w:cs="Arial"/>
          <w:i/>
          <w:color w:val="FF0000"/>
          <w:sz w:val="20"/>
          <w:shd w:val="clear" w:color="auto" w:fill="FFFF00"/>
        </w:rPr>
        <w:t>consórcio;</w:t>
      </w:r>
      <w:r>
        <w:rPr>
          <w:rFonts w:ascii="Arial" w:eastAsia="Arial" w:hAnsi="Arial" w:cs="Arial"/>
          <w:i/>
          <w:color w:val="FF0000"/>
          <w:sz w:val="20"/>
        </w:rPr>
        <w:t xml:space="preserve"> </w:t>
      </w:r>
    </w:p>
    <w:p w:rsidR="006C145C" w:rsidRDefault="00C62E5A">
      <w:pPr>
        <w:numPr>
          <w:ilvl w:val="2"/>
          <w:numId w:val="12"/>
        </w:numPr>
        <w:spacing w:after="8" w:line="269" w:lineRule="auto"/>
        <w:ind w:right="51" w:hanging="720"/>
        <w:jc w:val="both"/>
      </w:pPr>
      <w:r>
        <w:rPr>
          <w:rFonts w:ascii="Arial" w:eastAsia="Arial" w:hAnsi="Arial" w:cs="Arial"/>
          <w:i/>
          <w:color w:val="FF0000"/>
          <w:sz w:val="20"/>
          <w:shd w:val="clear" w:color="auto" w:fill="FFFF00"/>
        </w:rPr>
        <w:t>A pessoa jurídica ou consórcio deverá assumir inteira responsabilidade pela inexistência de</w:t>
      </w:r>
      <w:r>
        <w:rPr>
          <w:rFonts w:ascii="Arial" w:eastAsia="Arial" w:hAnsi="Arial" w:cs="Arial"/>
          <w:i/>
          <w:color w:val="FF0000"/>
          <w:sz w:val="20"/>
        </w:rPr>
        <w:t xml:space="preserve"> </w:t>
      </w:r>
      <w:r>
        <w:rPr>
          <w:rFonts w:ascii="Arial" w:eastAsia="Arial" w:hAnsi="Arial" w:cs="Arial"/>
          <w:i/>
          <w:color w:val="FF0000"/>
          <w:sz w:val="20"/>
          <w:shd w:val="clear" w:color="auto" w:fill="FFFF00"/>
        </w:rPr>
        <w:t>fatos que possam impedir a sua habilitação na presente licitação e, ainda, pela autenticidade</w:t>
      </w:r>
      <w:r>
        <w:rPr>
          <w:rFonts w:ascii="Arial" w:eastAsia="Arial" w:hAnsi="Arial" w:cs="Arial"/>
          <w:i/>
          <w:color w:val="FF0000"/>
          <w:sz w:val="20"/>
        </w:rPr>
        <w:t xml:space="preserve"> </w:t>
      </w:r>
      <w:r>
        <w:rPr>
          <w:rFonts w:ascii="Arial" w:eastAsia="Arial" w:hAnsi="Arial" w:cs="Arial"/>
          <w:i/>
          <w:color w:val="FF0000"/>
          <w:sz w:val="20"/>
          <w:shd w:val="clear" w:color="auto" w:fill="FFFF00"/>
        </w:rPr>
        <w:t>de t</w:t>
      </w:r>
      <w:r>
        <w:rPr>
          <w:rFonts w:ascii="Arial" w:eastAsia="Arial" w:hAnsi="Arial" w:cs="Arial"/>
          <w:i/>
          <w:color w:val="FF0000"/>
          <w:sz w:val="20"/>
          <w:shd w:val="clear" w:color="auto" w:fill="FFFF00"/>
        </w:rPr>
        <w:t>odos os documentos que forem apresentados;</w:t>
      </w:r>
      <w:r>
        <w:rPr>
          <w:rFonts w:ascii="Arial" w:eastAsia="Arial" w:hAnsi="Arial" w:cs="Arial"/>
          <w:i/>
          <w:color w:val="FF0000"/>
          <w:sz w:val="20"/>
        </w:rPr>
        <w:t xml:space="preserve"> </w:t>
      </w:r>
    </w:p>
    <w:p w:rsidR="006C145C" w:rsidRDefault="00C62E5A">
      <w:pPr>
        <w:numPr>
          <w:ilvl w:val="2"/>
          <w:numId w:val="12"/>
        </w:numPr>
        <w:spacing w:after="8" w:line="269" w:lineRule="auto"/>
        <w:ind w:right="51" w:hanging="720"/>
        <w:jc w:val="both"/>
      </w:pPr>
      <w:r>
        <w:rPr>
          <w:rFonts w:ascii="Arial" w:eastAsia="Arial" w:hAnsi="Arial" w:cs="Arial"/>
          <w:i/>
          <w:color w:val="FF0000"/>
          <w:sz w:val="20"/>
          <w:shd w:val="clear" w:color="auto" w:fill="FFFF00"/>
        </w:rPr>
        <w:t>No consórcio de empresas brasileiras e estrangeiras, a liderança caberá, obrigatoriamente, à</w:t>
      </w:r>
      <w:r>
        <w:rPr>
          <w:rFonts w:ascii="Arial" w:eastAsia="Arial" w:hAnsi="Arial" w:cs="Arial"/>
          <w:i/>
          <w:color w:val="FF0000"/>
          <w:sz w:val="20"/>
        </w:rPr>
        <w:t xml:space="preserve"> </w:t>
      </w:r>
      <w:r>
        <w:rPr>
          <w:rFonts w:ascii="Arial" w:eastAsia="Arial" w:hAnsi="Arial" w:cs="Arial"/>
          <w:i/>
          <w:color w:val="FF0000"/>
          <w:sz w:val="20"/>
          <w:shd w:val="clear" w:color="auto" w:fill="FFFF00"/>
        </w:rPr>
        <w:t>empresa brasileira;</w:t>
      </w:r>
      <w:r>
        <w:rPr>
          <w:rFonts w:ascii="Arial" w:eastAsia="Arial" w:hAnsi="Arial" w:cs="Arial"/>
          <w:i/>
          <w:color w:val="FF0000"/>
          <w:sz w:val="20"/>
        </w:rPr>
        <w:t xml:space="preserve"> </w:t>
      </w:r>
    </w:p>
    <w:p w:rsidR="006C145C" w:rsidRDefault="00C62E5A">
      <w:pPr>
        <w:numPr>
          <w:ilvl w:val="2"/>
          <w:numId w:val="12"/>
        </w:numPr>
        <w:spacing w:after="8" w:line="269" w:lineRule="auto"/>
        <w:ind w:right="51" w:hanging="720"/>
        <w:jc w:val="both"/>
      </w:pPr>
      <w:r>
        <w:rPr>
          <w:rFonts w:ascii="Arial" w:eastAsia="Arial" w:hAnsi="Arial" w:cs="Arial"/>
          <w:i/>
          <w:color w:val="FF0000"/>
          <w:sz w:val="20"/>
          <w:shd w:val="clear" w:color="auto" w:fill="FFFF00"/>
        </w:rPr>
        <w:t>O prazo de duração do consórcio deve, no mínimo, coincidir com o prazo de conclusão do</w:t>
      </w:r>
      <w:r>
        <w:rPr>
          <w:rFonts w:ascii="Arial" w:eastAsia="Arial" w:hAnsi="Arial" w:cs="Arial"/>
          <w:i/>
          <w:color w:val="FF0000"/>
          <w:sz w:val="20"/>
        </w:rPr>
        <w:t xml:space="preserve"> </w:t>
      </w:r>
      <w:r>
        <w:rPr>
          <w:rFonts w:ascii="Arial" w:eastAsia="Arial" w:hAnsi="Arial" w:cs="Arial"/>
          <w:i/>
          <w:color w:val="FF0000"/>
          <w:sz w:val="20"/>
          <w:shd w:val="clear" w:color="auto" w:fill="FFFF00"/>
        </w:rPr>
        <w:t>objeto lici</w:t>
      </w:r>
      <w:r>
        <w:rPr>
          <w:rFonts w:ascii="Arial" w:eastAsia="Arial" w:hAnsi="Arial" w:cs="Arial"/>
          <w:i/>
          <w:color w:val="FF0000"/>
          <w:sz w:val="20"/>
          <w:shd w:val="clear" w:color="auto" w:fill="FFFF00"/>
        </w:rPr>
        <w:t>tatório, até sua aceitação definitiva;</w:t>
      </w:r>
      <w:r>
        <w:rPr>
          <w:rFonts w:ascii="Arial" w:eastAsia="Arial" w:hAnsi="Arial" w:cs="Arial"/>
          <w:i/>
          <w:color w:val="FF0000"/>
          <w:sz w:val="20"/>
        </w:rPr>
        <w:t xml:space="preserve"> </w:t>
      </w:r>
    </w:p>
    <w:p w:rsidR="006C145C" w:rsidRDefault="00C62E5A">
      <w:pPr>
        <w:numPr>
          <w:ilvl w:val="2"/>
          <w:numId w:val="12"/>
        </w:numPr>
        <w:spacing w:after="8" w:line="269" w:lineRule="auto"/>
        <w:ind w:right="51" w:hanging="720"/>
        <w:jc w:val="both"/>
      </w:pPr>
      <w:r>
        <w:rPr>
          <w:rFonts w:ascii="Arial" w:eastAsia="Arial" w:hAnsi="Arial" w:cs="Arial"/>
          <w:i/>
          <w:color w:val="FF0000"/>
          <w:sz w:val="20"/>
          <w:shd w:val="clear" w:color="auto" w:fill="FFFF00"/>
        </w:rPr>
        <w:t>Os consorciados deverão apresentar compromisso de que não alterarão a constituição ou</w:t>
      </w:r>
      <w:r>
        <w:rPr>
          <w:rFonts w:ascii="Arial" w:eastAsia="Arial" w:hAnsi="Arial" w:cs="Arial"/>
          <w:i/>
          <w:color w:val="FF0000"/>
          <w:sz w:val="20"/>
        </w:rPr>
        <w:t xml:space="preserve"> </w:t>
      </w:r>
      <w:r>
        <w:rPr>
          <w:rFonts w:ascii="Arial" w:eastAsia="Arial" w:hAnsi="Arial" w:cs="Arial"/>
          <w:i/>
          <w:color w:val="FF0000"/>
          <w:sz w:val="20"/>
          <w:shd w:val="clear" w:color="auto" w:fill="FFFF00"/>
        </w:rPr>
        <w:t>composição do consórcio, visando manter válidas as premissas que asseguram a sua</w:t>
      </w:r>
      <w:r>
        <w:rPr>
          <w:rFonts w:ascii="Arial" w:eastAsia="Arial" w:hAnsi="Arial" w:cs="Arial"/>
          <w:i/>
          <w:color w:val="FF0000"/>
          <w:sz w:val="20"/>
        </w:rPr>
        <w:t xml:space="preserve"> </w:t>
      </w:r>
      <w:r>
        <w:rPr>
          <w:rFonts w:ascii="Arial" w:eastAsia="Arial" w:hAnsi="Arial" w:cs="Arial"/>
          <w:i/>
          <w:color w:val="FF0000"/>
          <w:sz w:val="20"/>
          <w:shd w:val="clear" w:color="auto" w:fill="FFFF00"/>
        </w:rPr>
        <w:t>habilitação, salvo quando expressamente autorizad</w:t>
      </w:r>
      <w:r>
        <w:rPr>
          <w:rFonts w:ascii="Arial" w:eastAsia="Arial" w:hAnsi="Arial" w:cs="Arial"/>
          <w:i/>
          <w:color w:val="FF0000"/>
          <w:sz w:val="20"/>
          <w:shd w:val="clear" w:color="auto" w:fill="FFFF00"/>
        </w:rPr>
        <w:t>o pelo DNIT;</w:t>
      </w:r>
      <w:r>
        <w:rPr>
          <w:rFonts w:ascii="Arial" w:eastAsia="Arial" w:hAnsi="Arial" w:cs="Arial"/>
          <w:i/>
          <w:color w:val="FF0000"/>
          <w:sz w:val="20"/>
        </w:rPr>
        <w:t xml:space="preserve"> </w:t>
      </w:r>
    </w:p>
    <w:p w:rsidR="006C145C" w:rsidRDefault="00C62E5A">
      <w:pPr>
        <w:numPr>
          <w:ilvl w:val="2"/>
          <w:numId w:val="12"/>
        </w:numPr>
        <w:spacing w:after="8" w:line="269" w:lineRule="auto"/>
        <w:ind w:right="51" w:hanging="720"/>
        <w:jc w:val="both"/>
      </w:pPr>
      <w:r>
        <w:rPr>
          <w:rFonts w:ascii="Arial" w:eastAsia="Arial" w:hAnsi="Arial" w:cs="Arial"/>
          <w:i/>
          <w:color w:val="FF0000"/>
          <w:sz w:val="20"/>
          <w:shd w:val="clear" w:color="auto" w:fill="FFFF00"/>
        </w:rPr>
        <w:t>Os consorciados deverão apresentar compromisso de que não se constituem nem se</w:t>
      </w:r>
      <w:r>
        <w:rPr>
          <w:rFonts w:ascii="Arial" w:eastAsia="Arial" w:hAnsi="Arial" w:cs="Arial"/>
          <w:i/>
          <w:color w:val="FF0000"/>
          <w:sz w:val="20"/>
        </w:rPr>
        <w:t xml:space="preserve"> </w:t>
      </w:r>
      <w:r>
        <w:rPr>
          <w:rFonts w:ascii="Arial" w:eastAsia="Arial" w:hAnsi="Arial" w:cs="Arial"/>
          <w:i/>
          <w:color w:val="FF0000"/>
          <w:sz w:val="20"/>
          <w:shd w:val="clear" w:color="auto" w:fill="FFFF00"/>
        </w:rPr>
        <w:t>constituirão, para fins do consórcio, em pessoa jurídica e de que o consórcio não adotará</w:t>
      </w:r>
      <w:r>
        <w:rPr>
          <w:rFonts w:ascii="Arial" w:eastAsia="Arial" w:hAnsi="Arial" w:cs="Arial"/>
          <w:i/>
          <w:color w:val="FF0000"/>
          <w:sz w:val="20"/>
        </w:rPr>
        <w:t xml:space="preserve"> </w:t>
      </w:r>
      <w:r>
        <w:rPr>
          <w:rFonts w:ascii="Arial" w:eastAsia="Arial" w:hAnsi="Arial" w:cs="Arial"/>
          <w:i/>
          <w:color w:val="FF0000"/>
          <w:sz w:val="20"/>
          <w:shd w:val="clear" w:color="auto" w:fill="FFFF00"/>
        </w:rPr>
        <w:t>denominação própria, diferente de seus integrantes; e</w:t>
      </w:r>
      <w:r>
        <w:rPr>
          <w:rFonts w:ascii="Arial" w:eastAsia="Arial" w:hAnsi="Arial" w:cs="Arial"/>
          <w:i/>
          <w:color w:val="FF0000"/>
          <w:sz w:val="20"/>
        </w:rPr>
        <w:t xml:space="preserve"> </w:t>
      </w:r>
    </w:p>
    <w:p w:rsidR="006C145C" w:rsidRDefault="00C62E5A">
      <w:pPr>
        <w:numPr>
          <w:ilvl w:val="2"/>
          <w:numId w:val="12"/>
        </w:numPr>
        <w:spacing w:after="8" w:line="269" w:lineRule="auto"/>
        <w:ind w:right="51" w:hanging="720"/>
        <w:jc w:val="both"/>
      </w:pPr>
      <w:r>
        <w:rPr>
          <w:rFonts w:ascii="Arial" w:eastAsia="Arial" w:hAnsi="Arial" w:cs="Arial"/>
          <w:i/>
          <w:color w:val="FF0000"/>
          <w:sz w:val="20"/>
          <w:shd w:val="clear" w:color="auto" w:fill="FFFF00"/>
        </w:rPr>
        <w:t>Os consorciados de</w:t>
      </w:r>
      <w:r>
        <w:rPr>
          <w:rFonts w:ascii="Arial" w:eastAsia="Arial" w:hAnsi="Arial" w:cs="Arial"/>
          <w:i/>
          <w:color w:val="FF0000"/>
          <w:sz w:val="20"/>
          <w:shd w:val="clear" w:color="auto" w:fill="FFFF00"/>
        </w:rPr>
        <w:t>verão apresentar, antes da assinatura do contrato decorrente desta</w:t>
      </w:r>
      <w:r>
        <w:rPr>
          <w:rFonts w:ascii="Arial" w:eastAsia="Arial" w:hAnsi="Arial" w:cs="Arial"/>
          <w:i/>
          <w:color w:val="FF0000"/>
          <w:sz w:val="20"/>
        </w:rPr>
        <w:t xml:space="preserve"> </w:t>
      </w:r>
      <w:r>
        <w:rPr>
          <w:rFonts w:ascii="Arial" w:eastAsia="Arial" w:hAnsi="Arial" w:cs="Arial"/>
          <w:i/>
          <w:color w:val="FF0000"/>
          <w:sz w:val="20"/>
          <w:shd w:val="clear" w:color="auto" w:fill="FFFF00"/>
        </w:rPr>
        <w:t>licitação, o Instrumento de Constituição e o registro do consórcio na Junta Comercial, bem</w:t>
      </w:r>
      <w:r>
        <w:rPr>
          <w:rFonts w:ascii="Arial" w:eastAsia="Arial" w:hAnsi="Arial" w:cs="Arial"/>
          <w:i/>
          <w:color w:val="FF0000"/>
          <w:sz w:val="20"/>
        </w:rPr>
        <w:t xml:space="preserve"> </w:t>
      </w:r>
      <w:r>
        <w:rPr>
          <w:rFonts w:ascii="Arial" w:eastAsia="Arial" w:hAnsi="Arial" w:cs="Arial"/>
          <w:i/>
          <w:color w:val="FF0000"/>
          <w:sz w:val="20"/>
          <w:shd w:val="clear" w:color="auto" w:fill="FFFF00"/>
        </w:rPr>
        <w:t>como no Cadastro Nacional de Pessoas Jurídicas, sob fundamento do art. 33, § 2º, da Lei nº</w:t>
      </w:r>
      <w:r>
        <w:rPr>
          <w:rFonts w:ascii="Arial" w:eastAsia="Arial" w:hAnsi="Arial" w:cs="Arial"/>
          <w:i/>
          <w:color w:val="FF0000"/>
          <w:sz w:val="20"/>
        </w:rPr>
        <w:t xml:space="preserve"> </w:t>
      </w:r>
    </w:p>
    <w:p w:rsidR="006C145C" w:rsidRDefault="00C62E5A">
      <w:pPr>
        <w:spacing w:after="8" w:line="269" w:lineRule="auto"/>
        <w:ind w:left="850" w:right="51"/>
        <w:jc w:val="both"/>
      </w:pPr>
      <w:r>
        <w:rPr>
          <w:rFonts w:ascii="Arial" w:eastAsia="Arial" w:hAnsi="Arial" w:cs="Arial"/>
          <w:i/>
          <w:color w:val="FF0000"/>
          <w:sz w:val="20"/>
          <w:shd w:val="clear" w:color="auto" w:fill="FFFF00"/>
        </w:rPr>
        <w:t>8.666,</w:t>
      </w:r>
      <w:r>
        <w:rPr>
          <w:rFonts w:ascii="Arial" w:eastAsia="Arial" w:hAnsi="Arial" w:cs="Arial"/>
          <w:i/>
          <w:color w:val="FF0000"/>
          <w:sz w:val="20"/>
          <w:shd w:val="clear" w:color="auto" w:fill="FFFF00"/>
        </w:rPr>
        <w:t xml:space="preserve"> de 21 de junho de 1993, c/c art. 32, inciso II, alínea “b” da Lei nº 8.934, de 18 de</w:t>
      </w:r>
      <w:r>
        <w:rPr>
          <w:rFonts w:ascii="Arial" w:eastAsia="Arial" w:hAnsi="Arial" w:cs="Arial"/>
          <w:i/>
          <w:color w:val="FF0000"/>
          <w:sz w:val="20"/>
        </w:rPr>
        <w:t xml:space="preserve"> </w:t>
      </w:r>
      <w:r>
        <w:rPr>
          <w:rFonts w:ascii="Arial" w:eastAsia="Arial" w:hAnsi="Arial" w:cs="Arial"/>
          <w:i/>
          <w:color w:val="FF0000"/>
          <w:sz w:val="20"/>
          <w:shd w:val="clear" w:color="auto" w:fill="FFFF00"/>
        </w:rPr>
        <w:t>novembro de 1994, c/c art. 7º, inciso I, alínea “a”, art. 32, inciso II, alínea “f”, e art. 34, inciso</w:t>
      </w:r>
      <w:r>
        <w:rPr>
          <w:rFonts w:ascii="Arial" w:eastAsia="Arial" w:hAnsi="Arial" w:cs="Arial"/>
          <w:i/>
          <w:color w:val="FF0000"/>
          <w:sz w:val="20"/>
        </w:rPr>
        <w:t xml:space="preserve"> </w:t>
      </w:r>
      <w:r>
        <w:rPr>
          <w:rFonts w:ascii="Arial" w:eastAsia="Arial" w:hAnsi="Arial" w:cs="Arial"/>
          <w:i/>
          <w:color w:val="FF0000"/>
          <w:sz w:val="20"/>
          <w:shd w:val="clear" w:color="auto" w:fill="FFFF00"/>
        </w:rPr>
        <w:t>I, do Decreto nº 1.800, de 30 de janeiro de 1996, c/c IN DREI nº 19</w:t>
      </w:r>
      <w:r>
        <w:rPr>
          <w:rFonts w:ascii="Arial" w:eastAsia="Arial" w:hAnsi="Arial" w:cs="Arial"/>
          <w:i/>
          <w:color w:val="FF0000"/>
          <w:sz w:val="20"/>
          <w:shd w:val="clear" w:color="auto" w:fill="FFFF00"/>
        </w:rPr>
        <w:t>, de 5 de dezembro de</w:t>
      </w:r>
      <w:r>
        <w:rPr>
          <w:rFonts w:ascii="Arial" w:eastAsia="Arial" w:hAnsi="Arial" w:cs="Arial"/>
          <w:i/>
          <w:color w:val="FF0000"/>
          <w:sz w:val="20"/>
        </w:rPr>
        <w:t xml:space="preserve"> </w:t>
      </w:r>
      <w:r>
        <w:rPr>
          <w:rFonts w:ascii="Arial" w:eastAsia="Arial" w:hAnsi="Arial" w:cs="Arial"/>
          <w:i/>
          <w:color w:val="FF0000"/>
          <w:sz w:val="20"/>
          <w:shd w:val="clear" w:color="auto" w:fill="FFFF00"/>
        </w:rPr>
        <w:t>2013, c/c INRFB nº 1199, de 14 de outubro de 2011, c/c INRFB nº 1863, de 27 de dezembro</w:t>
      </w:r>
      <w:r>
        <w:rPr>
          <w:rFonts w:ascii="Arial" w:eastAsia="Arial" w:hAnsi="Arial" w:cs="Arial"/>
          <w:i/>
          <w:color w:val="FF0000"/>
          <w:sz w:val="20"/>
        </w:rPr>
        <w:t xml:space="preserve"> </w:t>
      </w:r>
      <w:r>
        <w:rPr>
          <w:rFonts w:ascii="Arial" w:eastAsia="Arial" w:hAnsi="Arial" w:cs="Arial"/>
          <w:i/>
          <w:color w:val="FF0000"/>
          <w:sz w:val="20"/>
          <w:shd w:val="clear" w:color="auto" w:fill="FFFF00"/>
        </w:rPr>
        <w:t>de 2018.</w:t>
      </w:r>
      <w:r>
        <w:rPr>
          <w:rFonts w:ascii="Arial" w:eastAsia="Arial" w:hAnsi="Arial" w:cs="Arial"/>
          <w:i/>
          <w:color w:val="FF0000"/>
          <w:sz w:val="20"/>
        </w:rPr>
        <w:t xml:space="preserve"> </w:t>
      </w:r>
    </w:p>
    <w:tbl>
      <w:tblPr>
        <w:tblStyle w:val="TableGrid"/>
        <w:tblW w:w="9297" w:type="dxa"/>
        <w:tblInd w:w="-112" w:type="dxa"/>
        <w:tblCellMar>
          <w:top w:w="13" w:type="dxa"/>
          <w:left w:w="0" w:type="dxa"/>
          <w:bottom w:w="0" w:type="dxa"/>
          <w:right w:w="0" w:type="dxa"/>
        </w:tblCellMar>
        <w:tblLook w:val="04A0" w:firstRow="1" w:lastRow="0" w:firstColumn="1" w:lastColumn="0" w:noHBand="0" w:noVBand="1"/>
      </w:tblPr>
      <w:tblGrid>
        <w:gridCol w:w="11"/>
        <w:gridCol w:w="8622"/>
        <w:gridCol w:w="760"/>
        <w:gridCol w:w="10"/>
      </w:tblGrid>
      <w:tr w:rsidR="006C145C">
        <w:trPr>
          <w:trHeight w:val="262"/>
        </w:trPr>
        <w:tc>
          <w:tcPr>
            <w:tcW w:w="112" w:type="dxa"/>
            <w:vMerge w:val="restart"/>
            <w:tcBorders>
              <w:top w:val="single" w:sz="4" w:space="0" w:color="1F497D"/>
              <w:left w:val="single" w:sz="4" w:space="0" w:color="1F497D"/>
              <w:bottom w:val="single" w:sz="4" w:space="0" w:color="1F497D"/>
              <w:right w:val="nil"/>
            </w:tcBorders>
            <w:shd w:val="clear" w:color="auto" w:fill="FFFFCC"/>
          </w:tcPr>
          <w:p w:rsidR="006C145C" w:rsidRDefault="006C145C"/>
        </w:tc>
        <w:tc>
          <w:tcPr>
            <w:tcW w:w="9073" w:type="dxa"/>
            <w:gridSpan w:val="2"/>
            <w:tcBorders>
              <w:top w:val="single" w:sz="4" w:space="0" w:color="1F497D"/>
              <w:left w:val="nil"/>
              <w:bottom w:val="nil"/>
              <w:right w:val="nil"/>
            </w:tcBorders>
            <w:shd w:val="clear" w:color="auto" w:fill="FFFFCC"/>
          </w:tcPr>
          <w:p w:rsidR="006C145C" w:rsidRDefault="006C145C">
            <w:pPr>
              <w:spacing w:after="0"/>
              <w:ind w:left="-1702" w:right="10775"/>
            </w:pPr>
          </w:p>
          <w:tbl>
            <w:tblPr>
              <w:tblStyle w:val="TableGrid"/>
              <w:tblW w:w="9073" w:type="dxa"/>
              <w:tblInd w:w="0" w:type="dxa"/>
              <w:tblCellMar>
                <w:top w:w="7" w:type="dxa"/>
                <w:left w:w="0" w:type="dxa"/>
                <w:bottom w:w="0" w:type="dxa"/>
                <w:right w:w="1" w:type="dxa"/>
              </w:tblCellMar>
              <w:tblLook w:val="04A0" w:firstRow="1" w:lastRow="0" w:firstColumn="1" w:lastColumn="0" w:noHBand="0" w:noVBand="1"/>
            </w:tblPr>
            <w:tblGrid>
              <w:gridCol w:w="9073"/>
            </w:tblGrid>
            <w:tr w:rsidR="006C145C">
              <w:trPr>
                <w:trHeight w:val="233"/>
              </w:trPr>
              <w:tc>
                <w:tcPr>
                  <w:tcW w:w="9073" w:type="dxa"/>
                  <w:tcBorders>
                    <w:top w:val="nil"/>
                    <w:left w:val="nil"/>
                    <w:bottom w:val="nil"/>
                    <w:right w:val="nil"/>
                  </w:tcBorders>
                  <w:shd w:val="clear" w:color="auto" w:fill="FFFF00"/>
                </w:tcPr>
                <w:p w:rsidR="006C145C" w:rsidRDefault="00C62E5A">
                  <w:pPr>
                    <w:spacing w:after="0"/>
                    <w:jc w:val="both"/>
                  </w:pPr>
                  <w:r>
                    <w:rPr>
                      <w:rFonts w:ascii="Arial" w:eastAsia="Arial" w:hAnsi="Arial" w:cs="Arial"/>
                      <w:b/>
                      <w:i/>
                      <w:color w:val="FF0000"/>
                      <w:sz w:val="20"/>
                    </w:rPr>
                    <w:t xml:space="preserve">Nota explicativa: </w:t>
                  </w:r>
                  <w:r>
                    <w:rPr>
                      <w:rFonts w:ascii="Arial" w:eastAsia="Arial" w:hAnsi="Arial" w:cs="Arial"/>
                      <w:i/>
                      <w:color w:val="FF0000"/>
                      <w:sz w:val="20"/>
                    </w:rPr>
                    <w:t>O item 25.1.11 tem o objetivo de atender ao Parecer nº  00629/2019/PFE-</w:t>
                  </w:r>
                </w:p>
              </w:tc>
            </w:tr>
          </w:tbl>
          <w:p w:rsidR="006C145C" w:rsidRDefault="006C145C"/>
        </w:tc>
        <w:tc>
          <w:tcPr>
            <w:tcW w:w="112" w:type="dxa"/>
            <w:vMerge w:val="restart"/>
            <w:tcBorders>
              <w:top w:val="single" w:sz="4" w:space="0" w:color="1F497D"/>
              <w:left w:val="nil"/>
              <w:bottom w:val="single" w:sz="4" w:space="0" w:color="1F497D"/>
              <w:right w:val="single" w:sz="4" w:space="0" w:color="1F497D"/>
            </w:tcBorders>
            <w:shd w:val="clear" w:color="auto" w:fill="FFFFCC"/>
          </w:tcPr>
          <w:p w:rsidR="006C145C" w:rsidRDefault="006C145C"/>
        </w:tc>
      </w:tr>
      <w:tr w:rsidR="006C145C">
        <w:trPr>
          <w:trHeight w:val="278"/>
        </w:trPr>
        <w:tc>
          <w:tcPr>
            <w:tcW w:w="0" w:type="auto"/>
            <w:vMerge/>
            <w:tcBorders>
              <w:top w:val="nil"/>
              <w:left w:val="single" w:sz="4" w:space="0" w:color="1F497D"/>
              <w:bottom w:val="single" w:sz="4" w:space="0" w:color="1F497D"/>
              <w:right w:val="nil"/>
            </w:tcBorders>
          </w:tcPr>
          <w:p w:rsidR="006C145C" w:rsidRDefault="006C145C"/>
        </w:tc>
        <w:tc>
          <w:tcPr>
            <w:tcW w:w="8217" w:type="dxa"/>
            <w:tcBorders>
              <w:top w:val="nil"/>
              <w:left w:val="nil"/>
              <w:bottom w:val="single" w:sz="4" w:space="0" w:color="1F497D"/>
              <w:right w:val="nil"/>
            </w:tcBorders>
            <w:shd w:val="clear" w:color="auto" w:fill="FFFF00"/>
          </w:tcPr>
          <w:p w:rsidR="006C145C" w:rsidRDefault="00C62E5A">
            <w:pPr>
              <w:spacing w:after="0"/>
              <w:jc w:val="both"/>
            </w:pPr>
            <w:r>
              <w:rPr>
                <w:rFonts w:ascii="Arial" w:eastAsia="Arial" w:hAnsi="Arial" w:cs="Arial"/>
                <w:i/>
                <w:color w:val="FF0000"/>
                <w:sz w:val="20"/>
              </w:rPr>
              <w:t>DNIT/PGF/AGU (</w:t>
            </w:r>
            <w:hyperlink r:id="rId22">
              <w:r>
                <w:rPr>
                  <w:rFonts w:ascii="Arial" w:eastAsia="Arial" w:hAnsi="Arial" w:cs="Arial"/>
                  <w:i/>
                  <w:color w:val="FF0000"/>
                  <w:sz w:val="20"/>
                </w:rPr>
                <w:t>3735075</w:t>
              </w:r>
            </w:hyperlink>
            <w:hyperlink r:id="rId23">
              <w:r>
                <w:rPr>
                  <w:rFonts w:ascii="Arial" w:eastAsia="Arial" w:hAnsi="Arial" w:cs="Arial"/>
                  <w:i/>
                  <w:color w:val="FF0000"/>
                  <w:sz w:val="20"/>
                </w:rPr>
                <w:t>)</w:t>
              </w:r>
            </w:hyperlink>
            <w:r>
              <w:rPr>
                <w:rFonts w:ascii="Arial" w:eastAsia="Arial" w:hAnsi="Arial" w:cs="Arial"/>
                <w:i/>
                <w:color w:val="FF0000"/>
                <w:sz w:val="20"/>
              </w:rPr>
              <w:t xml:space="preserve"> aprovado pelo DESPACHO n. 02770/2019/PFE-DNIT/PGF/AGU.</w:t>
            </w:r>
          </w:p>
        </w:tc>
        <w:tc>
          <w:tcPr>
            <w:tcW w:w="857" w:type="dxa"/>
            <w:tcBorders>
              <w:top w:val="nil"/>
              <w:left w:val="nil"/>
              <w:bottom w:val="single" w:sz="4" w:space="0" w:color="1F497D"/>
              <w:right w:val="nil"/>
            </w:tcBorders>
            <w:shd w:val="clear" w:color="auto" w:fill="FFFFCC"/>
          </w:tcPr>
          <w:p w:rsidR="006C145C" w:rsidRDefault="00C62E5A">
            <w:pPr>
              <w:spacing w:after="0"/>
            </w:pPr>
            <w:r>
              <w:rPr>
                <w:rFonts w:ascii="Arial" w:eastAsia="Arial" w:hAnsi="Arial" w:cs="Arial"/>
                <w:i/>
                <w:color w:val="FF0000"/>
                <w:sz w:val="20"/>
              </w:rPr>
              <w:t xml:space="preserve"> </w:t>
            </w:r>
          </w:p>
        </w:tc>
        <w:tc>
          <w:tcPr>
            <w:tcW w:w="0" w:type="auto"/>
            <w:vMerge/>
            <w:tcBorders>
              <w:top w:val="nil"/>
              <w:left w:val="nil"/>
              <w:bottom w:val="single" w:sz="4" w:space="0" w:color="1F497D"/>
              <w:right w:val="single" w:sz="4" w:space="0" w:color="1F497D"/>
            </w:tcBorders>
          </w:tcPr>
          <w:p w:rsidR="006C145C" w:rsidRDefault="006C145C"/>
        </w:tc>
      </w:tr>
    </w:tbl>
    <w:p w:rsidR="006C145C" w:rsidRDefault="00C62E5A">
      <w:pPr>
        <w:spacing w:after="168"/>
        <w:ind w:left="850"/>
      </w:pPr>
      <w:r>
        <w:rPr>
          <w:rFonts w:ascii="Arial" w:eastAsia="Arial" w:hAnsi="Arial" w:cs="Arial"/>
          <w:i/>
          <w:color w:val="FF0000"/>
          <w:sz w:val="20"/>
        </w:rPr>
        <w:t xml:space="preserve">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511" w:line="277" w:lineRule="auto"/>
        <w:ind w:right="62"/>
        <w:jc w:val="both"/>
      </w:pPr>
      <w:r>
        <w:rPr>
          <w:rFonts w:ascii="Arial" w:eastAsia="Arial" w:hAnsi="Arial" w:cs="Arial"/>
          <w:b/>
          <w:i/>
          <w:color w:val="FF0000"/>
          <w:sz w:val="20"/>
        </w:rPr>
        <w:t xml:space="preserve">Nota Explicativa: </w:t>
      </w:r>
      <w:r>
        <w:rPr>
          <w:rFonts w:ascii="Arial" w:eastAsia="Arial" w:hAnsi="Arial" w:cs="Arial"/>
          <w:i/>
          <w:color w:val="FF0000"/>
          <w:sz w:val="20"/>
        </w:rPr>
        <w:t xml:space="preserve">Caso haja a opção pela participação de empresas em consórcio, além da justificativa, a Administração deverá incluir os subitens acima (DAS SITUAÇÕES ESPECIAIS), nos termos do art. 33 da Lei n. 8.666/93. </w:t>
      </w:r>
    </w:p>
    <w:p w:rsidR="006C145C" w:rsidRDefault="00C62E5A">
      <w:pPr>
        <w:pStyle w:val="Ttulo5"/>
        <w:tabs>
          <w:tab w:val="center" w:pos="1992"/>
        </w:tabs>
        <w:ind w:left="-3" w:firstLine="0"/>
        <w:jc w:val="left"/>
      </w:pPr>
      <w:r>
        <w:t xml:space="preserve">26 </w:t>
      </w:r>
      <w:r>
        <w:tab/>
        <w:t xml:space="preserve">DAS DISPOSIÇÕES GERAIS </w:t>
      </w:r>
    </w:p>
    <w:p w:rsidR="006C145C" w:rsidRDefault="00C62E5A">
      <w:pPr>
        <w:tabs>
          <w:tab w:val="center" w:pos="733"/>
          <w:tab w:val="center" w:pos="4621"/>
        </w:tabs>
        <w:spacing w:after="129" w:line="270" w:lineRule="auto"/>
      </w:pPr>
      <w:r>
        <w:tab/>
      </w:r>
      <w:r>
        <w:rPr>
          <w:rFonts w:ascii="Arial" w:eastAsia="Arial" w:hAnsi="Arial" w:cs="Arial"/>
          <w:sz w:val="20"/>
        </w:rPr>
        <w:t xml:space="preserve">26.1 </w:t>
      </w:r>
      <w:r>
        <w:rPr>
          <w:rFonts w:ascii="Arial" w:eastAsia="Arial" w:hAnsi="Arial" w:cs="Arial"/>
          <w:sz w:val="20"/>
        </w:rPr>
        <w:tab/>
      </w:r>
      <w:r>
        <w:rPr>
          <w:rFonts w:ascii="Arial" w:eastAsia="Arial" w:hAnsi="Arial" w:cs="Arial"/>
          <w:sz w:val="20"/>
        </w:rPr>
        <w:t xml:space="preserve">Da sessão pública do Pregão divulgar-se-á Ata no sistema eletrônico. </w:t>
      </w:r>
    </w:p>
    <w:p w:rsidR="006C145C" w:rsidRDefault="00C62E5A">
      <w:pPr>
        <w:spacing w:after="129" w:line="270" w:lineRule="auto"/>
        <w:ind w:left="433" w:right="54" w:hanging="8"/>
        <w:jc w:val="both"/>
      </w:pPr>
      <w:r>
        <w:rPr>
          <w:rFonts w:ascii="Arial" w:eastAsia="Arial" w:hAnsi="Arial" w:cs="Arial"/>
          <w:sz w:val="20"/>
        </w:rPr>
        <w:t>26.2 Não havendo expediente ou ocorrendo qualquer fato superveniente que impeça a realização do certame na data marcada, a sessão será automaticamente transferida para o primeiro dia úti</w:t>
      </w:r>
      <w:r>
        <w:rPr>
          <w:rFonts w:ascii="Arial" w:eastAsia="Arial" w:hAnsi="Arial" w:cs="Arial"/>
          <w:sz w:val="20"/>
        </w:rPr>
        <w:t xml:space="preserve">l subsequente, no mesmo horário anteriormente estabelecido, desde que não haja comunicação em contrário, pelo Pregoeiro.   </w:t>
      </w:r>
    </w:p>
    <w:p w:rsidR="006C145C" w:rsidRDefault="00C62E5A">
      <w:pPr>
        <w:spacing w:after="129" w:line="270" w:lineRule="auto"/>
        <w:ind w:left="433" w:right="54" w:hanging="8"/>
        <w:jc w:val="both"/>
      </w:pPr>
      <w:r>
        <w:rPr>
          <w:rFonts w:ascii="Arial" w:eastAsia="Arial" w:hAnsi="Arial" w:cs="Arial"/>
          <w:sz w:val="20"/>
        </w:rPr>
        <w:lastRenderedPageBreak/>
        <w:t xml:space="preserve">26.3 Todas as referências de tempo no Edital, no aviso e durante a sessão pública observarão o horário de Brasília – DF. </w:t>
      </w:r>
    </w:p>
    <w:p w:rsidR="006C145C" w:rsidRDefault="00C62E5A">
      <w:pPr>
        <w:spacing w:after="129" w:line="270" w:lineRule="auto"/>
        <w:ind w:left="433" w:right="54" w:hanging="8"/>
        <w:jc w:val="both"/>
      </w:pPr>
      <w:r>
        <w:rPr>
          <w:rFonts w:ascii="Arial" w:eastAsia="Arial" w:hAnsi="Arial" w:cs="Arial"/>
          <w:sz w:val="20"/>
        </w:rPr>
        <w:t>26.4 O lic</w:t>
      </w:r>
      <w:r>
        <w:rPr>
          <w:rFonts w:ascii="Arial" w:eastAsia="Arial" w:hAnsi="Arial" w:cs="Arial"/>
          <w:sz w:val="20"/>
        </w:rPr>
        <w:t xml:space="preserve">itante será responsável por todas as transações que forem efetuadas em seu nome no sistema eletrônico, assumindo como firmes e verdadeiras suas propostas e lances. </w:t>
      </w:r>
    </w:p>
    <w:p w:rsidR="006C145C" w:rsidRDefault="00C62E5A">
      <w:pPr>
        <w:spacing w:after="129" w:line="270" w:lineRule="auto"/>
        <w:ind w:left="433" w:right="54" w:hanging="8"/>
        <w:jc w:val="both"/>
      </w:pPr>
      <w:r>
        <w:rPr>
          <w:rFonts w:ascii="Arial" w:eastAsia="Arial" w:hAnsi="Arial" w:cs="Arial"/>
          <w:sz w:val="20"/>
        </w:rPr>
        <w:t xml:space="preserve">26.5 Incumbirá ao licitante acompanhar as operações no sistema eletrônico durante a sessão </w:t>
      </w:r>
      <w:r>
        <w:rPr>
          <w:rFonts w:ascii="Arial" w:eastAsia="Arial" w:hAnsi="Arial" w:cs="Arial"/>
          <w:sz w:val="20"/>
        </w:rPr>
        <w:t xml:space="preserve">pública do Pregão, ficando responsável pelo ônus decorrente da perda de negócios, diante da inobservância de quaisquer mensagens emitidas pelo sistema ou de sua desconexão. </w:t>
      </w:r>
    </w:p>
    <w:p w:rsidR="006C145C" w:rsidRDefault="00C62E5A">
      <w:pPr>
        <w:spacing w:after="129" w:line="270" w:lineRule="auto"/>
        <w:ind w:left="433" w:right="54" w:hanging="8"/>
        <w:jc w:val="both"/>
      </w:pPr>
      <w:r>
        <w:rPr>
          <w:rFonts w:ascii="Arial" w:eastAsia="Arial" w:hAnsi="Arial" w:cs="Arial"/>
          <w:sz w:val="20"/>
        </w:rPr>
        <w:t xml:space="preserve">26.6 No julgamento das propostas e da habilitação, o Pregoeiro poderá sanar erros </w:t>
      </w:r>
      <w:r>
        <w:rPr>
          <w:rFonts w:ascii="Arial" w:eastAsia="Arial" w:hAnsi="Arial" w:cs="Arial"/>
          <w:sz w:val="20"/>
        </w:rPr>
        <w:t xml:space="preserve">ou falhas que não alterem a substância das propostas, dos documentos e sua validade jurídica, mediante despacho fundamentado, registrado em ata e acessível a todos, atribuindo-lhes validade e eficácia para fins de habilitação e classificação. </w:t>
      </w:r>
    </w:p>
    <w:p w:rsidR="006C145C" w:rsidRDefault="00C62E5A">
      <w:pPr>
        <w:tabs>
          <w:tab w:val="center" w:pos="4478"/>
        </w:tabs>
        <w:spacing w:after="129" w:line="270" w:lineRule="auto"/>
      </w:pPr>
      <w:r>
        <w:rPr>
          <w:rFonts w:ascii="Arial" w:eastAsia="Arial" w:hAnsi="Arial" w:cs="Arial"/>
          <w:sz w:val="20"/>
        </w:rPr>
        <w:t xml:space="preserve">26.7 </w:t>
      </w:r>
      <w:r>
        <w:rPr>
          <w:rFonts w:ascii="Arial" w:eastAsia="Arial" w:hAnsi="Arial" w:cs="Arial"/>
          <w:sz w:val="20"/>
        </w:rPr>
        <w:tab/>
        <w:t>A homo</w:t>
      </w:r>
      <w:r>
        <w:rPr>
          <w:rFonts w:ascii="Arial" w:eastAsia="Arial" w:hAnsi="Arial" w:cs="Arial"/>
          <w:sz w:val="20"/>
        </w:rPr>
        <w:t xml:space="preserve">logação do resultado desta licitação não implicará direito à contratação. </w:t>
      </w:r>
    </w:p>
    <w:p w:rsidR="006C145C" w:rsidRDefault="00C62E5A">
      <w:pPr>
        <w:spacing w:after="129" w:line="270" w:lineRule="auto"/>
        <w:ind w:left="433" w:right="54" w:hanging="8"/>
        <w:jc w:val="both"/>
      </w:pPr>
      <w:r>
        <w:rPr>
          <w:rFonts w:ascii="Arial" w:eastAsia="Arial" w:hAnsi="Arial" w:cs="Arial"/>
          <w:sz w:val="20"/>
        </w:rPr>
        <w:t>26.8 As normas disciplinadoras da licitação serão sempre interpretadas em favor da ampliação da disputa entre os interessados, desde que não comprometam o interesse da Administração</w:t>
      </w:r>
      <w:r>
        <w:rPr>
          <w:rFonts w:ascii="Arial" w:eastAsia="Arial" w:hAnsi="Arial" w:cs="Arial"/>
          <w:sz w:val="20"/>
        </w:rPr>
        <w:t xml:space="preserve">, o princípio da isonomia, a finalidade e a segurança da contratação.  </w:t>
      </w:r>
    </w:p>
    <w:p w:rsidR="006C145C" w:rsidRDefault="00C62E5A">
      <w:pPr>
        <w:spacing w:after="129" w:line="270" w:lineRule="auto"/>
        <w:ind w:left="433" w:right="54" w:hanging="8"/>
        <w:jc w:val="both"/>
      </w:pPr>
      <w:r>
        <w:rPr>
          <w:rFonts w:ascii="Arial" w:eastAsia="Arial" w:hAnsi="Arial" w:cs="Arial"/>
          <w:sz w:val="20"/>
        </w:rPr>
        <w:t>26.9 Os licitantes assumem todos os custos de preparação e apresentação de suas propostas e a Administração não será, em nenhum caso, responsável por esses custos, independentemente da</w:t>
      </w:r>
      <w:r>
        <w:rPr>
          <w:rFonts w:ascii="Arial" w:eastAsia="Arial" w:hAnsi="Arial" w:cs="Arial"/>
          <w:sz w:val="20"/>
        </w:rPr>
        <w:t xml:space="preserve"> condução ou do resultado do processo licitatório. </w:t>
      </w:r>
    </w:p>
    <w:p w:rsidR="006C145C" w:rsidRDefault="00C62E5A">
      <w:pPr>
        <w:spacing w:after="129" w:line="270" w:lineRule="auto"/>
        <w:ind w:left="433" w:right="54" w:hanging="8"/>
        <w:jc w:val="both"/>
      </w:pPr>
      <w:r>
        <w:rPr>
          <w:rFonts w:ascii="Arial" w:eastAsia="Arial" w:hAnsi="Arial" w:cs="Arial"/>
          <w:sz w:val="20"/>
        </w:rPr>
        <w:t>26.10 Na contagem dos prazos estabelecidos neste Edital e seus Anexos, excluir-se-á o dia do início e incluir-se-á o do vencimento. Só se iniciam e vencem os prazos em dias de expediente na Administração.</w:t>
      </w:r>
      <w:r>
        <w:rPr>
          <w:rFonts w:ascii="Arial" w:eastAsia="Arial" w:hAnsi="Arial" w:cs="Arial"/>
          <w:sz w:val="20"/>
        </w:rPr>
        <w:t xml:space="preserve"> </w:t>
      </w:r>
    </w:p>
    <w:p w:rsidR="006C145C" w:rsidRDefault="00C62E5A">
      <w:pPr>
        <w:spacing w:after="129" w:line="270" w:lineRule="auto"/>
        <w:ind w:left="433" w:right="54" w:hanging="8"/>
        <w:jc w:val="both"/>
      </w:pPr>
      <w:r>
        <w:rPr>
          <w:rFonts w:ascii="Arial" w:eastAsia="Arial" w:hAnsi="Arial" w:cs="Arial"/>
          <w:sz w:val="20"/>
        </w:rPr>
        <w:t xml:space="preserve">26.11 O desatendimento de exigências formais não essenciais não importará o afastamento do licitante, desde que seja possível o aproveitamento do ato, observados os princípios da isonomia e do interesse público. </w:t>
      </w:r>
    </w:p>
    <w:p w:rsidR="006C145C" w:rsidRDefault="00C62E5A">
      <w:pPr>
        <w:spacing w:after="129" w:line="270" w:lineRule="auto"/>
        <w:ind w:left="433" w:right="54" w:hanging="8"/>
        <w:jc w:val="both"/>
      </w:pPr>
      <w:r>
        <w:rPr>
          <w:rFonts w:ascii="Arial" w:eastAsia="Arial" w:hAnsi="Arial" w:cs="Arial"/>
          <w:sz w:val="20"/>
        </w:rPr>
        <w:t>26.12 Em caso de divergência entre dispos</w:t>
      </w:r>
      <w:r>
        <w:rPr>
          <w:rFonts w:ascii="Arial" w:eastAsia="Arial" w:hAnsi="Arial" w:cs="Arial"/>
          <w:sz w:val="20"/>
        </w:rPr>
        <w:t xml:space="preserve">ições deste Edital e de seus anexos ou demais peças que compõem o processo, prevalecerá as deste Edital. </w:t>
      </w:r>
    </w:p>
    <w:p w:rsidR="006C145C" w:rsidRDefault="00C62E5A">
      <w:pPr>
        <w:spacing w:after="129" w:line="270" w:lineRule="auto"/>
        <w:ind w:left="433" w:right="54" w:hanging="8"/>
        <w:jc w:val="both"/>
      </w:pPr>
      <w:r>
        <w:rPr>
          <w:rFonts w:ascii="Arial" w:eastAsia="Arial" w:hAnsi="Arial" w:cs="Arial"/>
          <w:sz w:val="20"/>
        </w:rPr>
        <w:t xml:space="preserve">26.13 O Edital está disponibilizado, na íntegra, no endereço eletrônico </w:t>
      </w:r>
      <w:r>
        <w:rPr>
          <w:rFonts w:ascii="Arial" w:eastAsia="Arial" w:hAnsi="Arial" w:cs="Arial"/>
          <w:color w:val="FF0000"/>
          <w:sz w:val="20"/>
        </w:rPr>
        <w:t xml:space="preserve">.........., </w:t>
      </w:r>
      <w:r>
        <w:rPr>
          <w:rFonts w:ascii="Arial" w:eastAsia="Arial" w:hAnsi="Arial" w:cs="Arial"/>
          <w:sz w:val="20"/>
        </w:rPr>
        <w:t xml:space="preserve">e também poderá ser lido e/ou obtido no endereço </w:t>
      </w:r>
      <w:r>
        <w:rPr>
          <w:rFonts w:ascii="Arial" w:eastAsia="Arial" w:hAnsi="Arial" w:cs="Arial"/>
          <w:color w:val="FF0000"/>
          <w:sz w:val="20"/>
        </w:rPr>
        <w:t>.................</w:t>
      </w:r>
      <w:r>
        <w:rPr>
          <w:rFonts w:ascii="Arial" w:eastAsia="Arial" w:hAnsi="Arial" w:cs="Arial"/>
          <w:color w:val="FF0000"/>
          <w:sz w:val="20"/>
        </w:rPr>
        <w:t xml:space="preserve">., </w:t>
      </w:r>
      <w:r>
        <w:rPr>
          <w:rFonts w:ascii="Arial" w:eastAsia="Arial" w:hAnsi="Arial" w:cs="Arial"/>
          <w:sz w:val="20"/>
        </w:rPr>
        <w:t xml:space="preserve">nos dias úteis, no horário das </w:t>
      </w:r>
      <w:r>
        <w:rPr>
          <w:rFonts w:ascii="Arial" w:eastAsia="Arial" w:hAnsi="Arial" w:cs="Arial"/>
          <w:color w:val="FF0000"/>
          <w:sz w:val="20"/>
        </w:rPr>
        <w:t xml:space="preserve">............ </w:t>
      </w:r>
      <w:r>
        <w:rPr>
          <w:rFonts w:ascii="Arial" w:eastAsia="Arial" w:hAnsi="Arial" w:cs="Arial"/>
          <w:sz w:val="20"/>
        </w:rPr>
        <w:t xml:space="preserve">horas às </w:t>
      </w:r>
      <w:r>
        <w:rPr>
          <w:rFonts w:ascii="Arial" w:eastAsia="Arial" w:hAnsi="Arial" w:cs="Arial"/>
          <w:color w:val="FF0000"/>
          <w:sz w:val="20"/>
        </w:rPr>
        <w:t xml:space="preserve">............ </w:t>
      </w:r>
      <w:r>
        <w:rPr>
          <w:rFonts w:ascii="Arial" w:eastAsia="Arial" w:hAnsi="Arial" w:cs="Arial"/>
          <w:sz w:val="20"/>
        </w:rPr>
        <w:t xml:space="preserve">horas, mesmo endereço e período no qual os autos do processo administrativo permanecerão com vista franqueada aos interessados. </w:t>
      </w:r>
    </w:p>
    <w:p w:rsidR="006C145C" w:rsidRDefault="00C62E5A">
      <w:pPr>
        <w:spacing w:after="137"/>
      </w:pPr>
      <w:r>
        <w:rPr>
          <w:rFonts w:ascii="Arial" w:eastAsia="Arial" w:hAnsi="Arial" w:cs="Arial"/>
          <w:sz w:val="20"/>
        </w:rPr>
        <w:t xml:space="preserve"> </w:t>
      </w:r>
    </w:p>
    <w:p w:rsidR="006C145C" w:rsidRDefault="00C62E5A">
      <w:pPr>
        <w:spacing w:after="139" w:line="254" w:lineRule="auto"/>
        <w:ind w:left="311" w:right="363" w:hanging="10"/>
        <w:jc w:val="center"/>
      </w:pPr>
      <w:r>
        <w:rPr>
          <w:rFonts w:ascii="Arial" w:eastAsia="Arial" w:hAnsi="Arial" w:cs="Arial"/>
          <w:sz w:val="20"/>
        </w:rPr>
        <w:t xml:space="preserve">........................................... , ......... </w:t>
      </w:r>
      <w:r>
        <w:rPr>
          <w:rFonts w:ascii="Arial" w:eastAsia="Arial" w:hAnsi="Arial" w:cs="Arial"/>
          <w:sz w:val="20"/>
        </w:rPr>
        <w:t xml:space="preserve">de ................................. de 20..... </w:t>
      </w:r>
    </w:p>
    <w:p w:rsidR="006C145C" w:rsidRDefault="00C62E5A">
      <w:pPr>
        <w:spacing w:after="136" w:line="265" w:lineRule="auto"/>
        <w:ind w:left="10" w:right="63" w:hanging="10"/>
        <w:jc w:val="center"/>
      </w:pPr>
      <w:r>
        <w:rPr>
          <w:rFonts w:ascii="Arial" w:eastAsia="Arial" w:hAnsi="Arial" w:cs="Arial"/>
          <w:b/>
          <w:sz w:val="20"/>
        </w:rPr>
        <w:t xml:space="preserve">Assinatura da autoridade competente </w:t>
      </w:r>
    </w:p>
    <w:p w:rsidR="006C145C" w:rsidRDefault="00C62E5A">
      <w:pPr>
        <w:spacing w:after="137"/>
        <w:jc w:val="center"/>
      </w:pPr>
      <w:r>
        <w:rPr>
          <w:rFonts w:ascii="Arial" w:eastAsia="Arial" w:hAnsi="Arial" w:cs="Arial"/>
          <w:sz w:val="20"/>
        </w:rPr>
        <w:t xml:space="preserve"> </w:t>
      </w:r>
    </w:p>
    <w:p w:rsidR="006C145C" w:rsidRDefault="00C62E5A">
      <w:pPr>
        <w:spacing w:after="137"/>
        <w:jc w:val="center"/>
      </w:pPr>
      <w:r>
        <w:rPr>
          <w:rFonts w:ascii="Arial" w:eastAsia="Arial" w:hAnsi="Arial" w:cs="Arial"/>
          <w:sz w:val="20"/>
        </w:rPr>
        <w:t xml:space="preserve"> </w:t>
      </w:r>
    </w:p>
    <w:p w:rsidR="006C145C" w:rsidRDefault="00C62E5A">
      <w:pPr>
        <w:spacing w:after="137"/>
        <w:jc w:val="center"/>
      </w:pPr>
      <w:r>
        <w:rPr>
          <w:rFonts w:ascii="Arial" w:eastAsia="Arial" w:hAnsi="Arial" w:cs="Arial"/>
          <w:sz w:val="20"/>
        </w:rPr>
        <w:t xml:space="preserve"> </w:t>
      </w:r>
    </w:p>
    <w:p w:rsidR="006C145C" w:rsidRDefault="00C62E5A">
      <w:pPr>
        <w:spacing w:after="137"/>
        <w:jc w:val="center"/>
      </w:pPr>
      <w:r>
        <w:rPr>
          <w:rFonts w:ascii="Arial" w:eastAsia="Arial" w:hAnsi="Arial" w:cs="Arial"/>
          <w:sz w:val="20"/>
        </w:rPr>
        <w:t xml:space="preserve"> </w:t>
      </w:r>
    </w:p>
    <w:p w:rsidR="006C145C" w:rsidRDefault="00C62E5A">
      <w:pPr>
        <w:spacing w:after="139"/>
        <w:jc w:val="center"/>
      </w:pPr>
      <w:r>
        <w:rPr>
          <w:rFonts w:ascii="Arial" w:eastAsia="Arial" w:hAnsi="Arial" w:cs="Arial"/>
          <w:sz w:val="20"/>
        </w:rPr>
        <w:t xml:space="preserve"> </w:t>
      </w:r>
    </w:p>
    <w:p w:rsidR="006C145C" w:rsidRDefault="00C62E5A">
      <w:pPr>
        <w:spacing w:after="0"/>
        <w:ind w:left="4537"/>
      </w:pPr>
      <w:r>
        <w:rPr>
          <w:rFonts w:ascii="Arial" w:eastAsia="Arial" w:hAnsi="Arial" w:cs="Arial"/>
          <w:sz w:val="20"/>
        </w:rPr>
        <w:t xml:space="preserve"> </w:t>
      </w:r>
      <w:r>
        <w:rPr>
          <w:rFonts w:ascii="Arial" w:eastAsia="Arial" w:hAnsi="Arial" w:cs="Arial"/>
          <w:sz w:val="20"/>
        </w:rPr>
        <w:tab/>
        <w:t xml:space="preserve"> </w:t>
      </w:r>
    </w:p>
    <w:p w:rsidR="006C145C" w:rsidRDefault="00C62E5A">
      <w:pPr>
        <w:pStyle w:val="Ttulo3"/>
        <w:spacing w:after="8" w:line="249" w:lineRule="auto"/>
        <w:ind w:left="7" w:right="37"/>
        <w:jc w:val="both"/>
      </w:pPr>
      <w:r>
        <w:lastRenderedPageBreak/>
        <w:t xml:space="preserve">ANEXO I – TERMO DE REFERÊNCIA </w:t>
      </w:r>
    </w:p>
    <w:tbl>
      <w:tblPr>
        <w:tblStyle w:val="TableGrid"/>
        <w:tblW w:w="9297" w:type="dxa"/>
        <w:tblInd w:w="-2920" w:type="dxa"/>
        <w:tblCellMar>
          <w:top w:w="30" w:type="dxa"/>
          <w:left w:w="112" w:type="dxa"/>
          <w:bottom w:w="0" w:type="dxa"/>
          <w:right w:w="56" w:type="dxa"/>
        </w:tblCellMar>
        <w:tblLook w:val="04A0" w:firstRow="1" w:lastRow="0" w:firstColumn="1" w:lastColumn="0" w:noHBand="0" w:noVBand="1"/>
      </w:tblPr>
      <w:tblGrid>
        <w:gridCol w:w="9297"/>
      </w:tblGrid>
      <w:tr w:rsidR="006C145C">
        <w:trPr>
          <w:trHeight w:val="13526"/>
        </w:trPr>
        <w:tc>
          <w:tcPr>
            <w:tcW w:w="9297" w:type="dxa"/>
            <w:tcBorders>
              <w:top w:val="single" w:sz="4" w:space="0" w:color="1F497D"/>
              <w:left w:val="single" w:sz="4" w:space="0" w:color="1F497D"/>
              <w:bottom w:val="single" w:sz="4" w:space="0" w:color="1F497D"/>
              <w:right w:val="single" w:sz="4" w:space="0" w:color="1F497D"/>
            </w:tcBorders>
            <w:shd w:val="clear" w:color="auto" w:fill="FFFFCC"/>
          </w:tcPr>
          <w:p w:rsidR="006C145C" w:rsidRDefault="00C62E5A">
            <w:pPr>
              <w:spacing w:after="101"/>
              <w:ind w:right="61"/>
              <w:jc w:val="center"/>
            </w:pPr>
            <w:r>
              <w:rPr>
                <w:rFonts w:ascii="Arial" w:eastAsia="Arial" w:hAnsi="Arial" w:cs="Arial"/>
                <w:b/>
                <w:i/>
                <w:sz w:val="20"/>
              </w:rPr>
              <w:t xml:space="preserve">NOTAS EXPLICATIVAS </w:t>
            </w:r>
          </w:p>
          <w:p w:rsidR="006C145C" w:rsidRDefault="00C62E5A">
            <w:pPr>
              <w:spacing w:after="120" w:line="241" w:lineRule="auto"/>
              <w:ind w:right="59"/>
              <w:jc w:val="both"/>
            </w:pPr>
            <w:r>
              <w:rPr>
                <w:rFonts w:ascii="Arial" w:eastAsia="Arial" w:hAnsi="Arial" w:cs="Arial"/>
                <w:i/>
                <w:sz w:val="20"/>
              </w:rPr>
              <w:t>O presente modelo de Termo de Referência visa subsidiar a Administração na elaboração das diretrizes que darão ordem e forma à licitação na modalidade pregão, notadamente no que tange ao objeto, condições da licitação e a contratação que se seguirá com o l</w:t>
            </w:r>
            <w:r>
              <w:rPr>
                <w:rFonts w:ascii="Arial" w:eastAsia="Arial" w:hAnsi="Arial" w:cs="Arial"/>
                <w:i/>
                <w:sz w:val="20"/>
              </w:rPr>
              <w:t>icitante vencedor. É o documento que mais sofrerá variação de conteúdo, em vista das peculiaridades do órgão ou entidade licitante e, principalmente, do objeto licitatório. Serve de supedâneo para a Administração elaborar seu próprio Termo de Referência, c</w:t>
            </w:r>
            <w:r>
              <w:rPr>
                <w:rFonts w:ascii="Arial" w:eastAsia="Arial" w:hAnsi="Arial" w:cs="Arial"/>
                <w:i/>
                <w:sz w:val="20"/>
              </w:rPr>
              <w:t xml:space="preserve">onsoante às condições que lhes são próprias, por isso que não deve prenderse textualmente ao conteúdo apresentado neste documento.  </w:t>
            </w:r>
          </w:p>
          <w:p w:rsidR="006C145C" w:rsidRDefault="00C62E5A">
            <w:pPr>
              <w:spacing w:after="121" w:line="241" w:lineRule="auto"/>
              <w:ind w:right="60"/>
              <w:jc w:val="both"/>
            </w:pPr>
            <w:r>
              <w:rPr>
                <w:rFonts w:ascii="Arial" w:eastAsia="Arial" w:hAnsi="Arial" w:cs="Arial"/>
                <w:i/>
                <w:sz w:val="20"/>
              </w:rPr>
              <w:t>Trata-se de modelo de Termo de Referência e nos termos do art. 29 da Instrução Normativa SEGES/MP n. 5/2017 o referido mode</w:t>
            </w:r>
            <w:r>
              <w:rPr>
                <w:rFonts w:ascii="Arial" w:eastAsia="Arial" w:hAnsi="Arial" w:cs="Arial"/>
                <w:i/>
                <w:sz w:val="20"/>
              </w:rPr>
              <w:t xml:space="preserve">lo deverá ser utilizado no que couber. Para as alterações, deve ser apresentada justificativa, nos termos do art. 29, §1º da referida IN. Eventuais sugestões de alteração de texto do referido modelo de TR poderão ser encaminhadas ao e-mail: </w:t>
            </w:r>
            <w:r>
              <w:rPr>
                <w:rFonts w:ascii="Arial" w:eastAsia="Arial" w:hAnsi="Arial" w:cs="Arial"/>
                <w:i/>
                <w:color w:val="000080"/>
                <w:sz w:val="20"/>
                <w:u w:val="single" w:color="000080"/>
              </w:rPr>
              <w:t>cgu.licitacoes@</w:t>
            </w:r>
            <w:r>
              <w:rPr>
                <w:rFonts w:ascii="Arial" w:eastAsia="Arial" w:hAnsi="Arial" w:cs="Arial"/>
                <w:i/>
                <w:color w:val="000080"/>
                <w:sz w:val="20"/>
                <w:u w:val="single" w:color="000080"/>
              </w:rPr>
              <w:t>agu.gov.br</w:t>
            </w:r>
            <w:r>
              <w:rPr>
                <w:rFonts w:ascii="Arial" w:eastAsia="Arial" w:hAnsi="Arial" w:cs="Arial"/>
                <w:i/>
                <w:sz w:val="20"/>
              </w:rPr>
              <w:t xml:space="preserve">. </w:t>
            </w:r>
          </w:p>
          <w:p w:rsidR="006C145C" w:rsidRDefault="00C62E5A">
            <w:pPr>
              <w:spacing w:after="121" w:line="241" w:lineRule="auto"/>
              <w:ind w:right="58"/>
              <w:jc w:val="both"/>
            </w:pPr>
            <w:r>
              <w:rPr>
                <w:rFonts w:ascii="Arial" w:eastAsia="Arial" w:hAnsi="Arial" w:cs="Arial"/>
                <w:i/>
                <w:sz w:val="20"/>
              </w:rPr>
              <w:t>Os itens deste modelo, destacados em vermelho itálico, devem ser preenchidos ou adotados pelo órgão ou entidade pública licitante, de acordo com as peculiaridades do objeto da licitação e critérios de oportunidade e conveniência, cuidando-se p</w:t>
            </w:r>
            <w:r>
              <w:rPr>
                <w:rFonts w:ascii="Arial" w:eastAsia="Arial" w:hAnsi="Arial" w:cs="Arial"/>
                <w:i/>
                <w:sz w:val="20"/>
              </w:rPr>
              <w:t xml:space="preserve">ara que sejam reproduzidas as mesmas definições nos demais instrumentos da licitação, para que não conflitem. </w:t>
            </w:r>
          </w:p>
          <w:p w:rsidR="006C145C" w:rsidRDefault="00C62E5A">
            <w:pPr>
              <w:spacing w:after="120" w:line="241" w:lineRule="auto"/>
              <w:ind w:right="67"/>
              <w:jc w:val="both"/>
            </w:pPr>
            <w:r>
              <w:rPr>
                <w:rFonts w:ascii="Arial" w:eastAsia="Arial" w:hAnsi="Arial" w:cs="Arial"/>
                <w:i/>
                <w:sz w:val="20"/>
              </w:rPr>
              <w:t xml:space="preserve">Alguns itens receberão notas explicativas destacadas para compreensão do agente ou setor responsável pela elaboração do Termo de Referência, que </w:t>
            </w:r>
            <w:r>
              <w:rPr>
                <w:rFonts w:ascii="Arial" w:eastAsia="Arial" w:hAnsi="Arial" w:cs="Arial"/>
                <w:i/>
                <w:sz w:val="20"/>
              </w:rPr>
              <w:t xml:space="preserve">deverão ser devidamente suprimidas quando da finalização do documento. </w:t>
            </w:r>
          </w:p>
          <w:p w:rsidR="006C145C" w:rsidRDefault="00C62E5A">
            <w:pPr>
              <w:spacing w:after="123" w:line="277" w:lineRule="auto"/>
              <w:ind w:right="65"/>
              <w:jc w:val="both"/>
            </w:pPr>
            <w:r>
              <w:rPr>
                <w:rFonts w:ascii="Arial" w:eastAsia="Arial" w:hAnsi="Arial" w:cs="Arial"/>
                <w:i/>
                <w:sz w:val="20"/>
              </w:rPr>
              <w:t>Os Órgãos Assessorados deverão manter as notas de rodapé dos modelos utilizados para a elaboração das minutas e demais anexos, a fim de que os Órgãos Consultivos, ao examinarem os documentos, estejam certos de que dos modelos são os corretos. A versão fina</w:t>
            </w:r>
            <w:r>
              <w:rPr>
                <w:rFonts w:ascii="Arial" w:eastAsia="Arial" w:hAnsi="Arial" w:cs="Arial"/>
                <w:i/>
                <w:sz w:val="20"/>
              </w:rPr>
              <w:t>l do texto, após aprovada pelo órgão consultivo, deverá excluir a referida nota.</w:t>
            </w:r>
            <w:r>
              <w:rPr>
                <w:rFonts w:ascii="Arial" w:eastAsia="Arial" w:hAnsi="Arial" w:cs="Arial"/>
                <w:b/>
                <w:i/>
                <w:sz w:val="20"/>
              </w:rPr>
              <w:t xml:space="preserve">  </w:t>
            </w:r>
          </w:p>
          <w:p w:rsidR="006C145C" w:rsidRDefault="00C62E5A">
            <w:pPr>
              <w:spacing w:after="120" w:line="277" w:lineRule="auto"/>
              <w:ind w:right="62"/>
              <w:jc w:val="both"/>
            </w:pPr>
            <w:r>
              <w:rPr>
                <w:rFonts w:ascii="Arial" w:eastAsia="Arial" w:hAnsi="Arial" w:cs="Arial"/>
                <w:b/>
                <w:i/>
                <w:sz w:val="20"/>
              </w:rPr>
              <w:t xml:space="preserve">Sistema de Cores: </w:t>
            </w:r>
            <w:r>
              <w:rPr>
                <w:rFonts w:ascii="Arial" w:eastAsia="Arial" w:hAnsi="Arial" w:cs="Arial"/>
                <w:i/>
                <w:sz w:val="20"/>
              </w:rPr>
              <w:t>Para facilitar o ajuste do Termo de Referência ao tipo de contratação, algumas cláusulas foram destacadas com cores distintas, devendo ser removidas ou man</w:t>
            </w:r>
            <w:r>
              <w:rPr>
                <w:rFonts w:ascii="Arial" w:eastAsia="Arial" w:hAnsi="Arial" w:cs="Arial"/>
                <w:i/>
                <w:sz w:val="20"/>
              </w:rPr>
              <w:t xml:space="preserve">tidas em cada caso da seguinte forma: </w:t>
            </w:r>
          </w:p>
          <w:tbl>
            <w:tblPr>
              <w:tblStyle w:val="TableGrid"/>
              <w:tblpPr w:vertAnchor="text" w:tblpX="112" w:tblpY="259"/>
              <w:tblOverlap w:val="never"/>
              <w:tblW w:w="499" w:type="dxa"/>
              <w:tblInd w:w="0" w:type="dxa"/>
              <w:tblCellMar>
                <w:top w:w="5" w:type="dxa"/>
                <w:left w:w="0" w:type="dxa"/>
                <w:bottom w:w="0" w:type="dxa"/>
                <w:right w:w="0" w:type="dxa"/>
              </w:tblCellMar>
              <w:tblLook w:val="04A0" w:firstRow="1" w:lastRow="0" w:firstColumn="1" w:lastColumn="0" w:noHBand="0" w:noVBand="1"/>
            </w:tblPr>
            <w:tblGrid>
              <w:gridCol w:w="501"/>
            </w:tblGrid>
            <w:tr w:rsidR="006C145C">
              <w:trPr>
                <w:trHeight w:val="233"/>
              </w:trPr>
              <w:tc>
                <w:tcPr>
                  <w:tcW w:w="499" w:type="dxa"/>
                  <w:tcBorders>
                    <w:top w:val="nil"/>
                    <w:left w:val="nil"/>
                    <w:bottom w:val="nil"/>
                    <w:right w:val="nil"/>
                  </w:tcBorders>
                  <w:shd w:val="clear" w:color="auto" w:fill="00FF00"/>
                </w:tcPr>
                <w:p w:rsidR="006C145C" w:rsidRDefault="00C62E5A">
                  <w:pPr>
                    <w:spacing w:after="0"/>
                    <w:jc w:val="both"/>
                  </w:pPr>
                  <w:r>
                    <w:rPr>
                      <w:rFonts w:ascii="Arial" w:eastAsia="Arial" w:hAnsi="Arial" w:cs="Arial"/>
                      <w:i/>
                      <w:sz w:val="20"/>
                    </w:rPr>
                    <w:t>verde</w:t>
                  </w:r>
                </w:p>
              </w:tc>
            </w:tr>
          </w:tbl>
          <w:p w:rsidR="006C145C" w:rsidRDefault="00C62E5A">
            <w:pPr>
              <w:numPr>
                <w:ilvl w:val="0"/>
                <w:numId w:val="61"/>
              </w:numPr>
              <w:spacing w:after="122" w:line="277" w:lineRule="auto"/>
              <w:jc w:val="both"/>
            </w:pPr>
            <w:r>
              <w:rPr>
                <w:rFonts w:ascii="Arial" w:eastAsia="Arial" w:hAnsi="Arial" w:cs="Arial"/>
                <w:i/>
                <w:sz w:val="20"/>
              </w:rPr>
              <w:t xml:space="preserve">Se não for permitida a participação de cooperativas, exclua todas as disposições destacadas em . Se for permitida a participação de cooperativas, elas devem ser mantidas. </w:t>
            </w:r>
          </w:p>
          <w:p w:rsidR="006C145C" w:rsidRDefault="00C62E5A">
            <w:pPr>
              <w:numPr>
                <w:ilvl w:val="0"/>
                <w:numId w:val="61"/>
              </w:numPr>
              <w:spacing w:after="120" w:line="277" w:lineRule="auto"/>
              <w:jc w:val="both"/>
            </w:pPr>
            <w:r>
              <w:rPr>
                <w:rFonts w:ascii="Arial" w:eastAsia="Arial" w:hAnsi="Arial" w:cs="Arial"/>
                <w:i/>
                <w:sz w:val="20"/>
              </w:rPr>
              <w:t>Se não for utilizado o sistema de regi</w:t>
            </w:r>
            <w:r>
              <w:rPr>
                <w:rFonts w:ascii="Arial" w:eastAsia="Arial" w:hAnsi="Arial" w:cs="Arial"/>
                <w:i/>
                <w:sz w:val="20"/>
              </w:rPr>
              <w:t xml:space="preserve">stro de preços, exclua todas as disposições destacadas em </w:t>
            </w:r>
            <w:r>
              <w:rPr>
                <w:rFonts w:ascii="Arial" w:eastAsia="Arial" w:hAnsi="Arial" w:cs="Arial"/>
                <w:i/>
                <w:sz w:val="20"/>
                <w:shd w:val="clear" w:color="auto" w:fill="00FFFF"/>
              </w:rPr>
              <w:t>azul</w:t>
            </w:r>
            <w:r>
              <w:rPr>
                <w:rFonts w:ascii="Arial" w:eastAsia="Arial" w:hAnsi="Arial" w:cs="Arial"/>
                <w:i/>
                <w:sz w:val="20"/>
              </w:rPr>
              <w:t xml:space="preserve">. Se for adotado o SRP, mantenha tais previsões </w:t>
            </w:r>
          </w:p>
          <w:tbl>
            <w:tblPr>
              <w:tblStyle w:val="TableGrid"/>
              <w:tblpPr w:vertAnchor="text" w:tblpX="5169" w:tblpY="259"/>
              <w:tblOverlap w:val="never"/>
              <w:tblW w:w="468" w:type="dxa"/>
              <w:tblInd w:w="0" w:type="dxa"/>
              <w:tblCellMar>
                <w:top w:w="5" w:type="dxa"/>
                <w:left w:w="0" w:type="dxa"/>
                <w:bottom w:w="0" w:type="dxa"/>
                <w:right w:w="2" w:type="dxa"/>
              </w:tblCellMar>
              <w:tblLook w:val="04A0" w:firstRow="1" w:lastRow="0" w:firstColumn="1" w:lastColumn="0" w:noHBand="0" w:noVBand="1"/>
            </w:tblPr>
            <w:tblGrid>
              <w:gridCol w:w="469"/>
            </w:tblGrid>
            <w:tr w:rsidR="006C145C">
              <w:trPr>
                <w:trHeight w:val="230"/>
              </w:trPr>
              <w:tc>
                <w:tcPr>
                  <w:tcW w:w="468" w:type="dxa"/>
                  <w:tcBorders>
                    <w:top w:val="nil"/>
                    <w:left w:val="nil"/>
                    <w:bottom w:val="nil"/>
                    <w:right w:val="nil"/>
                  </w:tcBorders>
                  <w:shd w:val="clear" w:color="auto" w:fill="D3D3D3"/>
                </w:tcPr>
                <w:p w:rsidR="006C145C" w:rsidRDefault="00C62E5A">
                  <w:pPr>
                    <w:spacing w:after="0"/>
                    <w:jc w:val="both"/>
                  </w:pPr>
                  <w:r>
                    <w:rPr>
                      <w:rFonts w:ascii="Arial" w:eastAsia="Arial" w:hAnsi="Arial" w:cs="Arial"/>
                      <w:i/>
                      <w:sz w:val="20"/>
                    </w:rPr>
                    <w:t>cinza</w:t>
                  </w:r>
                </w:p>
              </w:tc>
            </w:tr>
          </w:tbl>
          <w:p w:rsidR="006C145C" w:rsidRDefault="00C62E5A">
            <w:pPr>
              <w:numPr>
                <w:ilvl w:val="0"/>
                <w:numId w:val="61"/>
              </w:numPr>
              <w:spacing w:after="122" w:line="277" w:lineRule="auto"/>
              <w:jc w:val="both"/>
            </w:pPr>
            <w:r>
              <w:rPr>
                <w:rFonts w:ascii="Arial" w:eastAsia="Arial" w:hAnsi="Arial" w:cs="Arial"/>
                <w:i/>
                <w:sz w:val="20"/>
              </w:rPr>
              <w:t>Se não for exigida a subcontratação obrigatória de ME e EPP, prevista no artigo 7º do Decreto n. 8.538/2015, exclua todas as disposições destacadas em . Se for exigida subcontratação de ME e EPP, com fundamento no referido dispositivo, mantenha tais previs</w:t>
            </w:r>
            <w:r>
              <w:rPr>
                <w:rFonts w:ascii="Arial" w:eastAsia="Arial" w:hAnsi="Arial" w:cs="Arial"/>
                <w:i/>
                <w:sz w:val="20"/>
              </w:rPr>
              <w:t xml:space="preserve">ões. </w:t>
            </w:r>
          </w:p>
          <w:p w:rsidR="006C145C" w:rsidRDefault="00C62E5A">
            <w:pPr>
              <w:spacing w:after="139"/>
            </w:pPr>
            <w:r>
              <w:rPr>
                <w:rFonts w:ascii="Arial" w:eastAsia="Arial" w:hAnsi="Arial" w:cs="Arial"/>
                <w:i/>
                <w:sz w:val="20"/>
              </w:rPr>
              <w:t xml:space="preserve">As cláusulas facultativas estão em </w:t>
            </w:r>
            <w:r>
              <w:rPr>
                <w:rFonts w:ascii="Arial" w:eastAsia="Arial" w:hAnsi="Arial" w:cs="Arial"/>
                <w:i/>
                <w:color w:val="FF0000"/>
                <w:sz w:val="20"/>
              </w:rPr>
              <w:t>vermelho</w:t>
            </w:r>
            <w:r>
              <w:rPr>
                <w:rFonts w:ascii="Arial" w:eastAsia="Arial" w:hAnsi="Arial" w:cs="Arial"/>
                <w:i/>
                <w:sz w:val="20"/>
              </w:rPr>
              <w:t xml:space="preserve">, devendo ser consideradas individualmente. </w:t>
            </w:r>
          </w:p>
          <w:p w:rsidR="006C145C" w:rsidRDefault="00C62E5A">
            <w:pPr>
              <w:spacing w:after="98"/>
            </w:pPr>
            <w:r>
              <w:rPr>
                <w:rFonts w:ascii="Arial" w:eastAsia="Arial" w:hAnsi="Arial" w:cs="Arial"/>
                <w:b/>
                <w:i/>
                <w:sz w:val="20"/>
              </w:rPr>
              <w:t xml:space="preserve">ETAPA PRELIMINAR À ELABORAÇÃO DO TERMO DE REFERÊNCIA </w:t>
            </w:r>
          </w:p>
          <w:p w:rsidR="006C145C" w:rsidRDefault="00C62E5A">
            <w:pPr>
              <w:spacing w:after="121" w:line="241" w:lineRule="auto"/>
            </w:pPr>
            <w:r>
              <w:rPr>
                <w:rFonts w:ascii="Arial" w:eastAsia="Arial" w:hAnsi="Arial" w:cs="Arial"/>
                <w:i/>
                <w:sz w:val="20"/>
              </w:rPr>
              <w:t>Constitui-se em importante etapa que antecede o termo de referência, a elaboração de estudo técnico prelimin</w:t>
            </w:r>
            <w:r>
              <w:rPr>
                <w:rFonts w:ascii="Arial" w:eastAsia="Arial" w:hAnsi="Arial" w:cs="Arial"/>
                <w:i/>
                <w:sz w:val="20"/>
              </w:rPr>
              <w:t xml:space="preserve">ar ou anteprojeto.  </w:t>
            </w:r>
          </w:p>
          <w:p w:rsidR="006C145C" w:rsidRDefault="00C62E5A">
            <w:pPr>
              <w:spacing w:after="104"/>
            </w:pPr>
            <w:r>
              <w:rPr>
                <w:rFonts w:ascii="Arial" w:eastAsia="Arial" w:hAnsi="Arial" w:cs="Arial"/>
                <w:i/>
                <w:sz w:val="20"/>
              </w:rPr>
              <w:t xml:space="preserve">O estudo técnico preliminar encontra previsão na Lei nº 8.666, de 1993: </w:t>
            </w:r>
          </w:p>
          <w:p w:rsidR="006C145C" w:rsidRDefault="00C62E5A">
            <w:pPr>
              <w:spacing w:after="113" w:line="248" w:lineRule="auto"/>
              <w:ind w:right="56"/>
              <w:jc w:val="both"/>
            </w:pPr>
            <w:r>
              <w:rPr>
                <w:rFonts w:ascii="Arial" w:eastAsia="Arial" w:hAnsi="Arial" w:cs="Arial"/>
                <w:i/>
                <w:sz w:val="20"/>
              </w:rPr>
              <w:t>“Art. 6º Para os fins desta Lei, considera-se: (...) IX – Projeto Básico – conjunto de elementos necessários e suficientes, com nível de precisão adequado, para c</w:t>
            </w:r>
            <w:r>
              <w:rPr>
                <w:rFonts w:ascii="Arial" w:eastAsia="Arial" w:hAnsi="Arial" w:cs="Arial"/>
                <w:i/>
                <w:sz w:val="20"/>
              </w:rPr>
              <w:t xml:space="preserve">aracterizar a obra ou serviço, ou complexo de obras ou serviços objeto da licitação, elaborado com base nas indicações dos </w:t>
            </w:r>
            <w:r>
              <w:rPr>
                <w:rFonts w:ascii="Arial" w:eastAsia="Arial" w:hAnsi="Arial" w:cs="Arial"/>
                <w:i/>
                <w:sz w:val="20"/>
                <w:u w:val="single" w:color="000000"/>
              </w:rPr>
              <w:t>estudos</w:t>
            </w:r>
            <w:r>
              <w:rPr>
                <w:rFonts w:ascii="Arial" w:eastAsia="Arial" w:hAnsi="Arial" w:cs="Arial"/>
                <w:i/>
                <w:sz w:val="20"/>
              </w:rPr>
              <w:t xml:space="preserve"> </w:t>
            </w:r>
            <w:r>
              <w:rPr>
                <w:rFonts w:ascii="Arial" w:eastAsia="Arial" w:hAnsi="Arial" w:cs="Arial"/>
                <w:i/>
                <w:sz w:val="20"/>
                <w:u w:val="single" w:color="000000"/>
              </w:rPr>
              <w:t>técnicos preliminares</w:t>
            </w:r>
            <w:r>
              <w:rPr>
                <w:rFonts w:ascii="Arial" w:eastAsia="Arial" w:hAnsi="Arial" w:cs="Arial"/>
                <w:i/>
                <w:sz w:val="20"/>
              </w:rPr>
              <w:t xml:space="preserve">, que assegurem a viabilidade técnica e o adequado tratamento do impacto ambiental do empreendimento, e </w:t>
            </w:r>
            <w:r>
              <w:rPr>
                <w:rFonts w:ascii="Arial" w:eastAsia="Arial" w:hAnsi="Arial" w:cs="Arial"/>
                <w:i/>
                <w:sz w:val="20"/>
              </w:rPr>
              <w:t xml:space="preserve">que possibilite a avaliação do custo da obra e a definição dos métodos e do prazo de execução, devendo conter os seguintes elementos (...).” </w:t>
            </w:r>
          </w:p>
          <w:p w:rsidR="006C145C" w:rsidRDefault="00C62E5A">
            <w:pPr>
              <w:spacing w:after="120" w:line="241" w:lineRule="auto"/>
              <w:ind w:right="62"/>
              <w:jc w:val="both"/>
            </w:pPr>
            <w:r>
              <w:rPr>
                <w:rFonts w:ascii="Arial" w:eastAsia="Arial" w:hAnsi="Arial" w:cs="Arial"/>
                <w:i/>
                <w:sz w:val="20"/>
              </w:rPr>
              <w:t xml:space="preserve">A Instrução Normativa SEGES/MP nº 5, de 25/05/2017, dispõe que: Art. 24. Com base no documento que formaliza a demanda, a equipe de Planejamento da Contratação deve realizar os Estudos Preliminares, conforme as diretrizes constantes do Anexo III. </w:t>
            </w:r>
          </w:p>
          <w:p w:rsidR="006C145C" w:rsidRDefault="00C62E5A">
            <w:pPr>
              <w:spacing w:after="0"/>
            </w:pPr>
            <w:r>
              <w:rPr>
                <w:rFonts w:ascii="Arial" w:eastAsia="Arial" w:hAnsi="Arial" w:cs="Arial"/>
                <w:i/>
                <w:sz w:val="20"/>
              </w:rPr>
              <w:t>Também J</w:t>
            </w:r>
            <w:r>
              <w:rPr>
                <w:rFonts w:ascii="Arial" w:eastAsia="Arial" w:hAnsi="Arial" w:cs="Arial"/>
                <w:i/>
                <w:sz w:val="20"/>
              </w:rPr>
              <w:t xml:space="preserve">essé Torres Pereira Junior leciona que: </w:t>
            </w:r>
          </w:p>
        </w:tc>
      </w:tr>
    </w:tbl>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lastRenderedPageBreak/>
        <w:t>“Durante o estudo preliminar, avaliam-se questões que possibilitarão a elaboração de anteprojeto em conformidade com as necessidades administrativas e as características do objeto a licitar, ou a contratar de forma</w:t>
      </w:r>
      <w:r>
        <w:rPr>
          <w:rFonts w:ascii="Arial" w:eastAsia="Arial" w:hAnsi="Arial" w:cs="Arial"/>
          <w:i/>
          <w:sz w:val="20"/>
        </w:rPr>
        <w:t xml:space="preserve"> direta. Tal estudo leva em conta aspectos como: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a) adequação técnica; b) funcionalidade; c) requisitos ambientais; d) adequação às normas vigentes (requisitos de limites e áreas de ocupação, normas de urbanização, leis de proteção ambiental etc.); e) pos</w:t>
      </w:r>
      <w:r>
        <w:rPr>
          <w:rFonts w:ascii="Arial" w:eastAsia="Arial" w:hAnsi="Arial" w:cs="Arial"/>
          <w:i/>
          <w:sz w:val="20"/>
        </w:rPr>
        <w:t xml:space="preserve">sível movimento de terra decorrente da implantação, necessidade de estabilizar taludes, construir muros de arrimo ou fundações especiais; f) processo construtivo a ser empregado; g) possibilidade de racionalização do processo construtivo; h) existência de </w:t>
      </w:r>
      <w:r>
        <w:rPr>
          <w:rFonts w:ascii="Arial" w:eastAsia="Arial" w:hAnsi="Arial" w:cs="Arial"/>
          <w:i/>
          <w:sz w:val="20"/>
        </w:rPr>
        <w:t xml:space="preserve">fornecedores que deem respostas às soluções sob consideração; i) estimativa preliminar de custo e viabilidade econômico-financeira do objeto.” Políticas públicas nas licitações e contratações administrativas. Belo Horizonte: Fórum, 2ª ed., 2012, p. 154.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O</w:t>
      </w:r>
      <w:r>
        <w:rPr>
          <w:rFonts w:ascii="Arial" w:eastAsia="Arial" w:hAnsi="Arial" w:cs="Arial"/>
          <w:i/>
          <w:sz w:val="20"/>
        </w:rPr>
        <w:t xml:space="preserve"> mesmo autor também ensina sobre o anteprojeto: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 xml:space="preserve">“(...) Anteprojeto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Nesta fase, avaliam-se questões relativas à viabilidade da execução da obra ou da prestação do serviço, sob a ótica da racionalização das atividades desde os seus primeiros estágios de d</w:t>
      </w:r>
      <w:r>
        <w:rPr>
          <w:rFonts w:ascii="Arial" w:eastAsia="Arial" w:hAnsi="Arial" w:cs="Arial"/>
          <w:i/>
          <w:sz w:val="20"/>
        </w:rPr>
        <w:t xml:space="preserve">esenvolvimento.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 xml:space="preserve">Em geral, a elaboração de anteprojeto compreende as especificações e técnicas que serão empregadas, a definição das frentes de serviço, a sequência das atividades, o uso e as características dos equipamentos necessários.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 xml:space="preserve">O anteprojeto considerará as atividades associadas à execução, com o fim de evitar possíveis interferências externas.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O detalhamento destas questões depende das peculiaridades do empreendimento e dos processos executivos a serem adotados. O planejamento e a programação do projeto devem ser realistas e orientados quanto aos condicionamentos técnicos e de execução das taref</w:t>
      </w:r>
      <w:r>
        <w:rPr>
          <w:rFonts w:ascii="Arial" w:eastAsia="Arial" w:hAnsi="Arial" w:cs="Arial"/>
          <w:i/>
          <w:sz w:val="20"/>
        </w:rPr>
        <w:t>as.” Ibid., p. 154-155. As orientações do Tribunal de Contas da União, constantes em seu Manual intitulado “Obras públicas: recomendações básicas para a contratação e fiscalização de obras de edificações públicas”, 3ª edição, referentes à elaboração de est</w:t>
      </w:r>
      <w:r>
        <w:rPr>
          <w:rFonts w:ascii="Arial" w:eastAsia="Arial" w:hAnsi="Arial" w:cs="Arial"/>
          <w:i/>
          <w:sz w:val="20"/>
        </w:rPr>
        <w:t>udo técnico preliminar ou anteprojeto, podem ser estendidas à contratação de serviço de engenharia: “Os projetos para construção, reforma ou ampliação de um empreendimento serão elaborados em três etapas sucessivas: estudo preliminar ou anteprojeto – reali</w:t>
      </w:r>
      <w:r>
        <w:rPr>
          <w:rFonts w:ascii="Arial" w:eastAsia="Arial" w:hAnsi="Arial" w:cs="Arial"/>
          <w:i/>
          <w:sz w:val="20"/>
        </w:rPr>
        <w:t>zado na fase preliminar à licitação –, projeto básico e projeto executivo. Todos esses estudos e projetos deverão ser desenvolvidos de forma que guardem sintonia entre si, tenham consistência material e atendam às diretrizes gerais do programa de necessida</w:t>
      </w:r>
      <w:r>
        <w:rPr>
          <w:rFonts w:ascii="Arial" w:eastAsia="Arial" w:hAnsi="Arial" w:cs="Arial"/>
          <w:i/>
          <w:sz w:val="20"/>
        </w:rPr>
        <w:t xml:space="preserve">des e dos estudos de viabilidade”.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
        <w:ind w:left="-15" w:right="57"/>
      </w:pPr>
      <w:r>
        <w:rPr>
          <w:rFonts w:ascii="Arial" w:eastAsia="Arial" w:hAnsi="Arial" w:cs="Arial"/>
          <w:i/>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pStyle w:val="Ttulo3"/>
        <w:spacing w:after="174" w:line="249" w:lineRule="auto"/>
        <w:ind w:left="10" w:right="43"/>
      </w:pPr>
      <w:r>
        <w:t xml:space="preserve">MODELO DE TERMO DE REFERÊNCIA (PRESTAÇÃO DE SERVIÇO CONTÍNUO COM DEDICAÇÃO EXCLUSIVA DE MÃO DE OBRA)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25" w:line="249" w:lineRule="auto"/>
        <w:ind w:left="-5" w:right="57" w:hanging="10"/>
        <w:jc w:val="both"/>
      </w:pPr>
      <w:r>
        <w:rPr>
          <w:rFonts w:ascii="Arial" w:eastAsia="Arial" w:hAnsi="Arial" w:cs="Arial"/>
          <w:b/>
          <w:i/>
          <w:sz w:val="20"/>
        </w:rPr>
        <w:t>Nota explicativa</w:t>
      </w:r>
      <w:r>
        <w:rPr>
          <w:rFonts w:ascii="Arial" w:eastAsia="Arial" w:hAnsi="Arial" w:cs="Arial"/>
          <w:i/>
          <w:sz w:val="20"/>
        </w:rPr>
        <w:t xml:space="preserve">: O art. 20 da Instrução Normativa nº 05, de 26 de maio de 2017 prevê a fase de planejamento da </w:t>
      </w:r>
      <w:r>
        <w:rPr>
          <w:rFonts w:ascii="Arial" w:eastAsia="Arial" w:hAnsi="Arial" w:cs="Arial"/>
          <w:i/>
          <w:sz w:val="20"/>
        </w:rPr>
        <w:t>contratação que possui as seguintes etapas: Estudos preliminares, Gerenciamento de Riscos e Termo de Referência, podendo ser elaborados Estudos Preliminares e Gerenciamento de Riscos comuns para serviços de mesma natureza, semelhança ou afinidade (art. 20,</w:t>
      </w:r>
      <w:r>
        <w:rPr>
          <w:rFonts w:ascii="Arial" w:eastAsia="Arial" w:hAnsi="Arial" w:cs="Arial"/>
          <w:i/>
          <w:sz w:val="20"/>
        </w:rPr>
        <w:t xml:space="preserve"> §5). Assim, na elaboração do Termo de Referência deve ser observado o disposto no art. 28 anexo V da IN nº 05, de 2017. Por fim, de acordo com o art. 30, §2º da IN nº 5, de 2017, os documentos que compõem a fase de Planejamento da Contratação serão parte </w:t>
      </w:r>
      <w:r>
        <w:rPr>
          <w:rFonts w:ascii="Arial" w:eastAsia="Arial" w:hAnsi="Arial" w:cs="Arial"/>
          <w:i/>
          <w:sz w:val="20"/>
        </w:rPr>
        <w:t xml:space="preserve">integrante do processo administrativo da licitação.  </w:t>
      </w:r>
    </w:p>
    <w:p w:rsidR="006C145C" w:rsidRDefault="00C62E5A">
      <w:pPr>
        <w:spacing w:after="163"/>
        <w:ind w:left="14"/>
        <w:jc w:val="center"/>
      </w:pPr>
      <w:r>
        <w:rPr>
          <w:rFonts w:ascii="Arial" w:eastAsia="Arial" w:hAnsi="Arial" w:cs="Arial"/>
          <w:sz w:val="20"/>
        </w:rPr>
        <w:t xml:space="preserve"> </w:t>
      </w:r>
    </w:p>
    <w:p w:rsidR="006C145C" w:rsidRDefault="00C62E5A">
      <w:pPr>
        <w:pBdr>
          <w:top w:val="single" w:sz="4" w:space="0" w:color="1F497D"/>
          <w:left w:val="single" w:sz="4" w:space="0" w:color="1F497D"/>
          <w:right w:val="single" w:sz="4" w:space="0" w:color="1F497D"/>
        </w:pBdr>
        <w:shd w:val="clear" w:color="auto" w:fill="FFFFCC"/>
        <w:spacing w:after="111" w:line="250" w:lineRule="auto"/>
        <w:ind w:left="-5" w:right="51" w:hanging="10"/>
        <w:jc w:val="both"/>
      </w:pPr>
      <w:r>
        <w:rPr>
          <w:rFonts w:ascii="Arial" w:eastAsia="Arial" w:hAnsi="Arial" w:cs="Arial"/>
          <w:b/>
          <w:i/>
          <w:sz w:val="20"/>
        </w:rPr>
        <w:t>Nota explicativa</w:t>
      </w:r>
      <w:r>
        <w:rPr>
          <w:rFonts w:ascii="Arial" w:eastAsia="Arial" w:hAnsi="Arial" w:cs="Arial"/>
          <w:i/>
          <w:sz w:val="20"/>
        </w:rPr>
        <w:t xml:space="preserve">: </w:t>
      </w:r>
      <w:r>
        <w:rPr>
          <w:rFonts w:ascii="Arial" w:eastAsia="Arial" w:hAnsi="Arial" w:cs="Arial"/>
          <w:i/>
          <w:sz w:val="20"/>
        </w:rPr>
        <w:t xml:space="preserve">Importante perceber que não é necessariamente o objeto do contrato que define a condição do serviço como contínuo “COM” ou “SEM” dedicação exclusiva de mão de obra. Tal enquadramento é condicionado pelo modelo de execução contratual.  </w:t>
      </w:r>
    </w:p>
    <w:p w:rsidR="006C145C" w:rsidRDefault="00C62E5A">
      <w:pPr>
        <w:pBdr>
          <w:top w:val="single" w:sz="4" w:space="0" w:color="1F497D"/>
          <w:left w:val="single" w:sz="4" w:space="0" w:color="1F497D"/>
          <w:right w:val="single" w:sz="4" w:space="0" w:color="1F497D"/>
        </w:pBdr>
        <w:shd w:val="clear" w:color="auto" w:fill="FFFFCC"/>
        <w:spacing w:after="0" w:line="250" w:lineRule="auto"/>
        <w:ind w:left="-5" w:right="51" w:hanging="10"/>
        <w:jc w:val="both"/>
      </w:pPr>
      <w:r>
        <w:rPr>
          <w:rFonts w:ascii="Arial" w:eastAsia="Arial" w:hAnsi="Arial" w:cs="Arial"/>
          <w:i/>
          <w:sz w:val="20"/>
        </w:rPr>
        <w:t>Um mesmo serviço pod</w:t>
      </w:r>
      <w:r>
        <w:rPr>
          <w:rFonts w:ascii="Arial" w:eastAsia="Arial" w:hAnsi="Arial" w:cs="Arial"/>
          <w:i/>
          <w:sz w:val="20"/>
        </w:rPr>
        <w:t>e, dependendo da forma de execução, ser classificado como contínuo com dedicação exclusiva de mão de obra ou como contínuo sem dedicação exclusiva de mão de obra. Exemplo didático é o serviço de manutenção preventiva e corretiva de aparelhos de ar condicio</w:t>
      </w:r>
      <w:r>
        <w:rPr>
          <w:rFonts w:ascii="Arial" w:eastAsia="Arial" w:hAnsi="Arial" w:cs="Arial"/>
          <w:i/>
          <w:sz w:val="20"/>
        </w:rPr>
        <w:t xml:space="preserve">nado. </w:t>
      </w:r>
    </w:p>
    <w:p w:rsidR="006C145C" w:rsidRDefault="00C62E5A">
      <w:pPr>
        <w:pBdr>
          <w:top w:val="single" w:sz="4" w:space="0" w:color="1F497D"/>
          <w:left w:val="single" w:sz="4" w:space="0" w:color="1F497D"/>
          <w:right w:val="single" w:sz="4" w:space="0" w:color="1F497D"/>
        </w:pBdr>
        <w:shd w:val="clear" w:color="auto" w:fill="FFFFCC"/>
        <w:spacing w:after="111" w:line="250" w:lineRule="auto"/>
        <w:ind w:left="-5" w:right="51" w:hanging="10"/>
        <w:jc w:val="both"/>
      </w:pPr>
      <w:r>
        <w:rPr>
          <w:rFonts w:ascii="Arial" w:eastAsia="Arial" w:hAnsi="Arial" w:cs="Arial"/>
          <w:i/>
          <w:sz w:val="20"/>
        </w:rPr>
        <w:t xml:space="preserve">Em uma pequena unidade administrativa, detentora de poucos aparelhos, na qual o serviço de manutenção será executado eventualmente, não faz sentido a disposição diária de um trabalhador da </w:t>
      </w:r>
      <w:r>
        <w:rPr>
          <w:rFonts w:ascii="Arial" w:eastAsia="Arial" w:hAnsi="Arial" w:cs="Arial"/>
          <w:i/>
          <w:sz w:val="20"/>
        </w:rPr>
        <w:lastRenderedPageBreak/>
        <w:t>empresa terceirizada, que restará ocioso, pois a efetiva exe</w:t>
      </w:r>
      <w:r>
        <w:rPr>
          <w:rFonts w:ascii="Arial" w:eastAsia="Arial" w:hAnsi="Arial" w:cs="Arial"/>
          <w:i/>
          <w:sz w:val="20"/>
        </w:rPr>
        <w:t>cução da atividade contratada será realizada, apenas, quando provocada a demanda. Já em uma unidade administrativa de maior porte, na qual existam dezenas ou centenas de aparelhos, a constante necessidade de manutenção pode tornar mais econômica e vantajos</w:t>
      </w:r>
      <w:r>
        <w:rPr>
          <w:rFonts w:ascii="Arial" w:eastAsia="Arial" w:hAnsi="Arial" w:cs="Arial"/>
          <w:i/>
          <w:sz w:val="20"/>
        </w:rPr>
        <w:t xml:space="preserve">a a disposição de um ou mais trabalhadores da empresa, diariamente, no interior da organização pública. </w:t>
      </w:r>
    </w:p>
    <w:p w:rsidR="006C145C" w:rsidRDefault="00C62E5A">
      <w:pPr>
        <w:pBdr>
          <w:left w:val="single" w:sz="4" w:space="0" w:color="1F497D"/>
          <w:bottom w:val="single" w:sz="4" w:space="0" w:color="1F497D"/>
          <w:right w:val="single" w:sz="4" w:space="0" w:color="1F497D"/>
        </w:pBdr>
        <w:shd w:val="clear" w:color="auto" w:fill="FFFFCC"/>
        <w:spacing w:after="109" w:line="253" w:lineRule="auto"/>
        <w:ind w:left="-5" w:right="49" w:hanging="10"/>
        <w:jc w:val="both"/>
      </w:pPr>
      <w:r>
        <w:rPr>
          <w:rFonts w:ascii="Arial" w:eastAsia="Arial" w:hAnsi="Arial" w:cs="Arial"/>
          <w:i/>
          <w:sz w:val="20"/>
        </w:rPr>
        <w:t>Enfim, a opção pela disposição permanente do trabalhador fará com que um serviço, muitas vezes classificável como contínuo “sem” dedicação exclusiva de</w:t>
      </w:r>
      <w:r>
        <w:rPr>
          <w:rFonts w:ascii="Arial" w:eastAsia="Arial" w:hAnsi="Arial" w:cs="Arial"/>
          <w:i/>
          <w:sz w:val="20"/>
        </w:rPr>
        <w:t xml:space="preserve"> mão de obra, seja caracterizado como contínuo “com” dedicação exclusiva de mão de obra.  </w:t>
      </w:r>
    </w:p>
    <w:p w:rsidR="006C145C" w:rsidRDefault="00C62E5A">
      <w:pPr>
        <w:pBdr>
          <w:left w:val="single" w:sz="4" w:space="0" w:color="1F497D"/>
          <w:bottom w:val="single" w:sz="4" w:space="0" w:color="1F497D"/>
          <w:right w:val="single" w:sz="4" w:space="0" w:color="1F497D"/>
        </w:pBdr>
        <w:shd w:val="clear" w:color="auto" w:fill="FFFFCC"/>
        <w:spacing w:after="19" w:line="253" w:lineRule="auto"/>
        <w:ind w:left="-5" w:right="49" w:hanging="10"/>
        <w:jc w:val="both"/>
      </w:pPr>
      <w:r>
        <w:rPr>
          <w:rFonts w:ascii="Arial" w:eastAsia="Arial" w:hAnsi="Arial" w:cs="Arial"/>
          <w:i/>
          <w:sz w:val="20"/>
        </w:rPr>
        <w:t xml:space="preserve">Os “serviços COM dedicação exclusiva da mão de obra” exigem maior controle na aferição das propostas (inclusive, com planilha de custos apropriada) e na fiscalização dos contratos, para evitar responsabilizações trabalhistas em detrimento da Administração </w:t>
      </w:r>
      <w:r>
        <w:rPr>
          <w:rFonts w:ascii="Arial" w:eastAsia="Arial" w:hAnsi="Arial" w:cs="Arial"/>
          <w:i/>
          <w:sz w:val="20"/>
        </w:rPr>
        <w:t xml:space="preserve">Pública.  </w:t>
      </w:r>
    </w:p>
    <w:p w:rsidR="006C145C" w:rsidRDefault="00C62E5A">
      <w:pPr>
        <w:spacing w:after="137"/>
        <w:ind w:left="16"/>
        <w:jc w:val="center"/>
      </w:pPr>
      <w:r>
        <w:rPr>
          <w:rFonts w:ascii="Arial" w:eastAsia="Arial" w:hAnsi="Arial" w:cs="Arial"/>
          <w:i/>
          <w:color w:val="FF0000"/>
          <w:sz w:val="20"/>
        </w:rPr>
        <w:t xml:space="preserve"> </w:t>
      </w:r>
    </w:p>
    <w:p w:rsidR="006C145C" w:rsidRDefault="00C62E5A">
      <w:pPr>
        <w:spacing w:after="0"/>
        <w:ind w:left="102" w:right="147" w:hanging="10"/>
        <w:jc w:val="center"/>
      </w:pPr>
      <w:r>
        <w:rPr>
          <w:rFonts w:ascii="Arial" w:eastAsia="Arial" w:hAnsi="Arial" w:cs="Arial"/>
          <w:i/>
          <w:color w:val="FF0000"/>
          <w:sz w:val="20"/>
        </w:rPr>
        <w:t xml:space="preserve">ÓRGÃO OU ENTIDADE PÚBLICA  </w:t>
      </w:r>
    </w:p>
    <w:p w:rsidR="006C145C" w:rsidRDefault="00C62E5A">
      <w:pPr>
        <w:spacing w:after="2" w:line="254" w:lineRule="auto"/>
        <w:ind w:left="311" w:right="358" w:hanging="10"/>
        <w:jc w:val="center"/>
      </w:pPr>
      <w:r>
        <w:rPr>
          <w:rFonts w:ascii="Arial" w:eastAsia="Arial" w:hAnsi="Arial" w:cs="Arial"/>
          <w:sz w:val="20"/>
        </w:rPr>
        <w:t xml:space="preserve">PREGÃO Nº ....../20... </w:t>
      </w:r>
    </w:p>
    <w:p w:rsidR="006C145C" w:rsidRDefault="00C62E5A">
      <w:pPr>
        <w:spacing w:after="465" w:line="254" w:lineRule="auto"/>
        <w:ind w:left="311" w:right="361" w:hanging="10"/>
        <w:jc w:val="center"/>
      </w:pPr>
      <w:r>
        <w:rPr>
          <w:rFonts w:ascii="Arial" w:eastAsia="Arial" w:hAnsi="Arial" w:cs="Arial"/>
          <w:sz w:val="20"/>
        </w:rPr>
        <w:t xml:space="preserve">(Processo Administrativo n.°...........) </w:t>
      </w:r>
    </w:p>
    <w:p w:rsidR="006C145C" w:rsidRDefault="00C62E5A">
      <w:pPr>
        <w:pStyle w:val="Ttulo4"/>
        <w:tabs>
          <w:tab w:val="center" w:pos="531"/>
          <w:tab w:val="center" w:pos="1424"/>
        </w:tabs>
        <w:ind w:left="0" w:firstLine="0"/>
        <w:jc w:val="left"/>
      </w:pPr>
      <w:r>
        <w:rPr>
          <w:rFonts w:ascii="Calibri" w:eastAsia="Calibri" w:hAnsi="Calibri" w:cs="Calibri"/>
          <w:b w:val="0"/>
          <w:sz w:val="22"/>
        </w:rPr>
        <w:tab/>
      </w:r>
      <w:r>
        <w:t xml:space="preserve">1 </w:t>
      </w:r>
      <w:r>
        <w:tab/>
        <w:t xml:space="preserve">DO OBJETO </w:t>
      </w:r>
    </w:p>
    <w:p w:rsidR="006C145C" w:rsidRDefault="00C62E5A">
      <w:pPr>
        <w:spacing w:after="8" w:line="270" w:lineRule="auto"/>
        <w:ind w:left="1068" w:right="54" w:hanging="360"/>
        <w:jc w:val="both"/>
      </w:pPr>
      <w:r>
        <w:rPr>
          <w:rFonts w:ascii="Arial" w:eastAsia="Arial" w:hAnsi="Arial" w:cs="Arial"/>
          <w:sz w:val="20"/>
        </w:rPr>
        <w:t>1.1 Contratação de..........................................................., conforme condições, quantidades e exigências estabeleci</w:t>
      </w:r>
      <w:r>
        <w:rPr>
          <w:rFonts w:ascii="Arial" w:eastAsia="Arial" w:hAnsi="Arial" w:cs="Arial"/>
          <w:sz w:val="20"/>
        </w:rPr>
        <w:t xml:space="preserve">das neste instrumento: </w:t>
      </w:r>
    </w:p>
    <w:p w:rsidR="006C145C" w:rsidRDefault="00C62E5A">
      <w:pPr>
        <w:spacing w:after="0"/>
        <w:ind w:left="1068"/>
      </w:pPr>
      <w:r>
        <w:rPr>
          <w:rFonts w:ascii="Arial" w:eastAsia="Arial" w:hAnsi="Arial" w:cs="Arial"/>
          <w:sz w:val="20"/>
        </w:rPr>
        <w:t xml:space="preserve"> </w:t>
      </w:r>
    </w:p>
    <w:tbl>
      <w:tblPr>
        <w:tblStyle w:val="TableGrid"/>
        <w:tblW w:w="9244" w:type="dxa"/>
        <w:tblInd w:w="113" w:type="dxa"/>
        <w:tblCellMar>
          <w:top w:w="12" w:type="dxa"/>
          <w:left w:w="106" w:type="dxa"/>
          <w:bottom w:w="0" w:type="dxa"/>
          <w:right w:w="67" w:type="dxa"/>
        </w:tblCellMar>
        <w:tblLook w:val="04A0" w:firstRow="1" w:lastRow="0" w:firstColumn="1" w:lastColumn="0" w:noHBand="0" w:noVBand="1"/>
      </w:tblPr>
      <w:tblGrid>
        <w:gridCol w:w="852"/>
        <w:gridCol w:w="6124"/>
        <w:gridCol w:w="994"/>
        <w:gridCol w:w="1274"/>
      </w:tblGrid>
      <w:tr w:rsidR="006C145C">
        <w:trPr>
          <w:trHeight w:val="698"/>
        </w:trPr>
        <w:tc>
          <w:tcPr>
            <w:tcW w:w="8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82"/>
            </w:pPr>
            <w:r>
              <w:rPr>
                <w:rFonts w:ascii="Arial" w:eastAsia="Arial" w:hAnsi="Arial" w:cs="Arial"/>
                <w:color w:val="FF0000"/>
                <w:sz w:val="20"/>
              </w:rPr>
              <w:t xml:space="preserve">ITEM </w:t>
            </w:r>
          </w:p>
          <w:p w:rsidR="006C145C" w:rsidRDefault="00C62E5A">
            <w:pPr>
              <w:spacing w:after="0"/>
              <w:ind w:left="14"/>
              <w:jc w:val="center"/>
            </w:pPr>
            <w:r>
              <w:rPr>
                <w:rFonts w:ascii="Arial" w:eastAsia="Arial" w:hAnsi="Arial" w:cs="Arial"/>
                <w:color w:val="FF0000"/>
                <w:sz w:val="20"/>
              </w:rPr>
              <w:t xml:space="preserve"> </w:t>
            </w:r>
          </w:p>
        </w:tc>
        <w:tc>
          <w:tcPr>
            <w:tcW w:w="6124"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522" w:right="1510"/>
              <w:jc w:val="center"/>
            </w:pPr>
            <w:r>
              <w:rPr>
                <w:rFonts w:ascii="Arial" w:eastAsia="Arial" w:hAnsi="Arial" w:cs="Arial"/>
                <w:color w:val="FF0000"/>
                <w:sz w:val="20"/>
              </w:rPr>
              <w:t xml:space="preserve">DESCRIÇÃO/ ESPECIFICAÇÃO </w:t>
            </w:r>
          </w:p>
        </w:tc>
        <w:tc>
          <w:tcPr>
            <w:tcW w:w="994" w:type="dxa"/>
            <w:tcBorders>
              <w:top w:val="single" w:sz="4" w:space="0" w:color="000000"/>
              <w:left w:val="single" w:sz="4" w:space="0" w:color="000000"/>
              <w:bottom w:val="single" w:sz="4" w:space="0" w:color="000000"/>
              <w:right w:val="single" w:sz="4" w:space="0" w:color="000000"/>
            </w:tcBorders>
          </w:tcPr>
          <w:p w:rsidR="006C145C" w:rsidRDefault="00C62E5A">
            <w:pPr>
              <w:spacing w:after="0" w:line="241" w:lineRule="auto"/>
              <w:jc w:val="center"/>
            </w:pPr>
            <w:r>
              <w:rPr>
                <w:rFonts w:ascii="Arial" w:eastAsia="Arial" w:hAnsi="Arial" w:cs="Arial"/>
                <w:color w:val="FF0000"/>
                <w:sz w:val="20"/>
              </w:rPr>
              <w:t xml:space="preserve">Unidade de </w:t>
            </w:r>
          </w:p>
          <w:p w:rsidR="006C145C" w:rsidRDefault="00C62E5A">
            <w:pPr>
              <w:spacing w:after="0"/>
              <w:ind w:left="62"/>
            </w:pPr>
            <w:r>
              <w:rPr>
                <w:rFonts w:ascii="Arial" w:eastAsia="Arial" w:hAnsi="Arial" w:cs="Arial"/>
                <w:color w:val="FF0000"/>
                <w:sz w:val="20"/>
              </w:rPr>
              <w:t xml:space="preserve">Medida </w:t>
            </w:r>
          </w:p>
        </w:tc>
        <w:tc>
          <w:tcPr>
            <w:tcW w:w="1274"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2"/>
            </w:pPr>
            <w:r>
              <w:rPr>
                <w:rFonts w:ascii="Arial" w:eastAsia="Arial" w:hAnsi="Arial" w:cs="Arial"/>
                <w:color w:val="FF0000"/>
                <w:sz w:val="20"/>
              </w:rPr>
              <w:t xml:space="preserve">Quantidade </w:t>
            </w:r>
          </w:p>
        </w:tc>
      </w:tr>
      <w:tr w:rsidR="006C145C">
        <w:trPr>
          <w:trHeight w:val="396"/>
        </w:trPr>
        <w:tc>
          <w:tcPr>
            <w:tcW w:w="8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right="41"/>
              <w:jc w:val="center"/>
            </w:pPr>
            <w:r>
              <w:rPr>
                <w:rFonts w:ascii="Arial" w:eastAsia="Arial" w:hAnsi="Arial" w:cs="Arial"/>
                <w:color w:val="FF0000"/>
                <w:sz w:val="20"/>
              </w:rPr>
              <w:t xml:space="preserve">1 </w:t>
            </w:r>
          </w:p>
        </w:tc>
        <w:tc>
          <w:tcPr>
            <w:tcW w:w="6124"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color w:val="FF0000"/>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2"/>
            </w:pPr>
            <w:r>
              <w:rPr>
                <w:rFonts w:ascii="Arial" w:eastAsia="Arial" w:hAnsi="Arial" w:cs="Arial"/>
                <w:color w:val="FF0000"/>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color w:val="FF0000"/>
                <w:sz w:val="20"/>
              </w:rPr>
              <w:t xml:space="preserve"> </w:t>
            </w:r>
          </w:p>
        </w:tc>
      </w:tr>
      <w:tr w:rsidR="006C145C">
        <w:trPr>
          <w:trHeight w:val="394"/>
        </w:trPr>
        <w:tc>
          <w:tcPr>
            <w:tcW w:w="8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right="41"/>
              <w:jc w:val="center"/>
            </w:pPr>
            <w:r>
              <w:rPr>
                <w:rFonts w:ascii="Arial" w:eastAsia="Arial" w:hAnsi="Arial" w:cs="Arial"/>
                <w:color w:val="FF0000"/>
                <w:sz w:val="20"/>
              </w:rPr>
              <w:t xml:space="preserve">2 </w:t>
            </w:r>
          </w:p>
        </w:tc>
        <w:tc>
          <w:tcPr>
            <w:tcW w:w="6124"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color w:val="FF0000"/>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2"/>
            </w:pPr>
            <w:r>
              <w:rPr>
                <w:rFonts w:ascii="Arial" w:eastAsia="Arial" w:hAnsi="Arial" w:cs="Arial"/>
                <w:color w:val="FF0000"/>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color w:val="FF0000"/>
                <w:sz w:val="20"/>
              </w:rPr>
              <w:t xml:space="preserve"> </w:t>
            </w:r>
          </w:p>
        </w:tc>
      </w:tr>
      <w:tr w:rsidR="006C145C">
        <w:trPr>
          <w:trHeight w:val="394"/>
        </w:trPr>
        <w:tc>
          <w:tcPr>
            <w:tcW w:w="8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right="41"/>
              <w:jc w:val="center"/>
            </w:pPr>
            <w:r>
              <w:rPr>
                <w:rFonts w:ascii="Arial" w:eastAsia="Arial" w:hAnsi="Arial" w:cs="Arial"/>
                <w:color w:val="FF0000"/>
                <w:sz w:val="20"/>
              </w:rPr>
              <w:t xml:space="preserve">3 </w:t>
            </w:r>
          </w:p>
        </w:tc>
        <w:tc>
          <w:tcPr>
            <w:tcW w:w="6124"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color w:val="FF0000"/>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2"/>
            </w:pPr>
            <w:r>
              <w:rPr>
                <w:rFonts w:ascii="Arial" w:eastAsia="Arial" w:hAnsi="Arial" w:cs="Arial"/>
                <w:color w:val="FF0000"/>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color w:val="FF0000"/>
                <w:sz w:val="20"/>
              </w:rPr>
              <w:t xml:space="preserve"> </w:t>
            </w:r>
          </w:p>
        </w:tc>
      </w:tr>
      <w:tr w:rsidR="006C145C">
        <w:trPr>
          <w:trHeight w:val="396"/>
        </w:trPr>
        <w:tc>
          <w:tcPr>
            <w:tcW w:w="8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right="38"/>
              <w:jc w:val="center"/>
            </w:pPr>
            <w:r>
              <w:rPr>
                <w:rFonts w:ascii="Arial" w:eastAsia="Arial" w:hAnsi="Arial" w:cs="Arial"/>
                <w:color w:val="FF0000"/>
                <w:sz w:val="20"/>
              </w:rPr>
              <w:t xml:space="preserve">... </w:t>
            </w:r>
          </w:p>
        </w:tc>
        <w:tc>
          <w:tcPr>
            <w:tcW w:w="6124"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color w:val="FF0000"/>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2"/>
            </w:pPr>
            <w:r>
              <w:rPr>
                <w:rFonts w:ascii="Arial" w:eastAsia="Arial" w:hAnsi="Arial" w:cs="Arial"/>
                <w:color w:val="FF0000"/>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color w:val="FF0000"/>
                <w:sz w:val="20"/>
              </w:rPr>
              <w:t xml:space="preserve"> </w:t>
            </w:r>
          </w:p>
        </w:tc>
      </w:tr>
    </w:tbl>
    <w:p w:rsidR="006C145C" w:rsidRDefault="00C62E5A">
      <w:pPr>
        <w:pStyle w:val="Ttulo5"/>
        <w:spacing w:after="492" w:line="265" w:lineRule="auto"/>
        <w:ind w:left="279"/>
        <w:jc w:val="left"/>
      </w:pPr>
      <w:r>
        <w:rPr>
          <w:color w:val="FF0000"/>
          <w:u w:val="single" w:color="FF0000"/>
        </w:rPr>
        <w:t>OU</w:t>
      </w:r>
      <w:r>
        <w:rPr>
          <w:color w:val="FF0000"/>
        </w:rPr>
        <w:t xml:space="preserve"> </w:t>
      </w:r>
    </w:p>
    <w:p w:rsidR="006C145C" w:rsidRDefault="00C62E5A">
      <w:pPr>
        <w:spacing w:after="0"/>
        <w:ind w:left="283"/>
      </w:pPr>
      <w:r>
        <w:rPr>
          <w:rFonts w:ascii="Arial" w:eastAsia="Arial" w:hAnsi="Arial" w:cs="Arial"/>
          <w:b/>
          <w:color w:val="FF0000"/>
          <w:sz w:val="20"/>
        </w:rPr>
        <w:t xml:space="preserve"> </w:t>
      </w:r>
    </w:p>
    <w:tbl>
      <w:tblPr>
        <w:tblStyle w:val="TableGrid"/>
        <w:tblW w:w="9244" w:type="dxa"/>
        <w:tblInd w:w="113" w:type="dxa"/>
        <w:tblCellMar>
          <w:top w:w="12" w:type="dxa"/>
          <w:left w:w="106" w:type="dxa"/>
          <w:bottom w:w="0" w:type="dxa"/>
          <w:right w:w="67" w:type="dxa"/>
        </w:tblCellMar>
        <w:tblLook w:val="04A0" w:firstRow="1" w:lastRow="0" w:firstColumn="1" w:lastColumn="0" w:noHBand="0" w:noVBand="1"/>
      </w:tblPr>
      <w:tblGrid>
        <w:gridCol w:w="852"/>
        <w:gridCol w:w="4566"/>
        <w:gridCol w:w="991"/>
        <w:gridCol w:w="1277"/>
        <w:gridCol w:w="1558"/>
      </w:tblGrid>
      <w:tr w:rsidR="006C145C">
        <w:trPr>
          <w:trHeight w:val="1162"/>
        </w:trPr>
        <w:tc>
          <w:tcPr>
            <w:tcW w:w="8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82"/>
            </w:pPr>
            <w:r>
              <w:rPr>
                <w:rFonts w:ascii="Arial" w:eastAsia="Arial" w:hAnsi="Arial" w:cs="Arial"/>
                <w:color w:val="FF0000"/>
                <w:sz w:val="20"/>
              </w:rPr>
              <w:t xml:space="preserve">ITEM </w:t>
            </w:r>
          </w:p>
          <w:p w:rsidR="006C145C" w:rsidRDefault="00C62E5A">
            <w:pPr>
              <w:spacing w:after="0"/>
              <w:ind w:left="14"/>
              <w:jc w:val="center"/>
            </w:pPr>
            <w:r>
              <w:rPr>
                <w:rFonts w:ascii="Arial" w:eastAsia="Arial" w:hAnsi="Arial" w:cs="Arial"/>
                <w:color w:val="FF0000"/>
                <w:sz w:val="20"/>
              </w:rPr>
              <w:t xml:space="preserve"> </w:t>
            </w:r>
          </w:p>
        </w:tc>
        <w:tc>
          <w:tcPr>
            <w:tcW w:w="4566"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742" w:right="732"/>
              <w:jc w:val="center"/>
            </w:pPr>
            <w:r>
              <w:rPr>
                <w:rFonts w:ascii="Arial" w:eastAsia="Arial" w:hAnsi="Arial" w:cs="Arial"/>
                <w:color w:val="FF0000"/>
                <w:sz w:val="20"/>
              </w:rPr>
              <w:t xml:space="preserve">DESCRIÇÃO/ ESPECIFICAÇÃO </w:t>
            </w:r>
          </w:p>
        </w:tc>
        <w:tc>
          <w:tcPr>
            <w:tcW w:w="991" w:type="dxa"/>
            <w:tcBorders>
              <w:top w:val="single" w:sz="4" w:space="0" w:color="000000"/>
              <w:left w:val="single" w:sz="4" w:space="0" w:color="000000"/>
              <w:bottom w:val="single" w:sz="4" w:space="0" w:color="000000"/>
              <w:right w:val="single" w:sz="4" w:space="0" w:color="000000"/>
            </w:tcBorders>
          </w:tcPr>
          <w:p w:rsidR="006C145C" w:rsidRDefault="00C62E5A">
            <w:pPr>
              <w:spacing w:after="0" w:line="241" w:lineRule="auto"/>
              <w:jc w:val="center"/>
            </w:pPr>
            <w:r>
              <w:rPr>
                <w:rFonts w:ascii="Arial" w:eastAsia="Arial" w:hAnsi="Arial" w:cs="Arial"/>
                <w:color w:val="FF0000"/>
                <w:sz w:val="20"/>
              </w:rPr>
              <w:t xml:space="preserve">Unidade de </w:t>
            </w:r>
          </w:p>
          <w:p w:rsidR="006C145C" w:rsidRDefault="00C62E5A">
            <w:pPr>
              <w:spacing w:after="0"/>
              <w:ind w:left="60"/>
            </w:pPr>
            <w:r>
              <w:rPr>
                <w:rFonts w:ascii="Arial" w:eastAsia="Arial" w:hAnsi="Arial" w:cs="Arial"/>
                <w:color w:val="FF0000"/>
                <w:sz w:val="20"/>
              </w:rPr>
              <w:t xml:space="preserve">Medida </w:t>
            </w:r>
          </w:p>
        </w:tc>
        <w:tc>
          <w:tcPr>
            <w:tcW w:w="1277"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4"/>
            </w:pPr>
            <w:r>
              <w:rPr>
                <w:rFonts w:ascii="Arial" w:eastAsia="Arial" w:hAnsi="Arial" w:cs="Arial"/>
                <w:color w:val="FF0000"/>
                <w:sz w:val="20"/>
              </w:rPr>
              <w:t xml:space="preserve">Quantidade </w:t>
            </w:r>
          </w:p>
        </w:tc>
        <w:tc>
          <w:tcPr>
            <w:tcW w:w="1558" w:type="dxa"/>
            <w:tcBorders>
              <w:top w:val="single" w:sz="4" w:space="0" w:color="000000"/>
              <w:left w:val="single" w:sz="4" w:space="0" w:color="000000"/>
              <w:bottom w:val="single" w:sz="4" w:space="0" w:color="000000"/>
              <w:right w:val="single" w:sz="4" w:space="0" w:color="000000"/>
            </w:tcBorders>
          </w:tcPr>
          <w:p w:rsidR="006C145C" w:rsidRDefault="00C62E5A">
            <w:pPr>
              <w:spacing w:after="0" w:line="241" w:lineRule="auto"/>
              <w:jc w:val="center"/>
            </w:pPr>
            <w:r>
              <w:rPr>
                <w:rFonts w:ascii="Arial" w:eastAsia="Arial" w:hAnsi="Arial" w:cs="Arial"/>
                <w:color w:val="FF0000"/>
                <w:sz w:val="20"/>
              </w:rPr>
              <w:t xml:space="preserve">Valor Unitário Máximo </w:t>
            </w:r>
          </w:p>
          <w:p w:rsidR="006C145C" w:rsidRDefault="00C62E5A">
            <w:pPr>
              <w:spacing w:after="0"/>
              <w:ind w:right="40"/>
              <w:jc w:val="center"/>
            </w:pPr>
            <w:r>
              <w:rPr>
                <w:rFonts w:ascii="Arial" w:eastAsia="Arial" w:hAnsi="Arial" w:cs="Arial"/>
                <w:color w:val="FF0000"/>
                <w:sz w:val="20"/>
              </w:rPr>
              <w:t xml:space="preserve">Aceitável OU </w:t>
            </w:r>
          </w:p>
          <w:p w:rsidR="006C145C" w:rsidRDefault="00C62E5A">
            <w:pPr>
              <w:spacing w:after="0"/>
              <w:ind w:right="38"/>
              <w:jc w:val="center"/>
            </w:pPr>
            <w:r>
              <w:rPr>
                <w:rFonts w:ascii="Arial" w:eastAsia="Arial" w:hAnsi="Arial" w:cs="Arial"/>
                <w:color w:val="FF0000"/>
                <w:sz w:val="20"/>
              </w:rPr>
              <w:t xml:space="preserve">Valor de </w:t>
            </w:r>
          </w:p>
          <w:p w:rsidR="006C145C" w:rsidRDefault="00C62E5A">
            <w:pPr>
              <w:spacing w:after="0"/>
              <w:ind w:right="41"/>
              <w:jc w:val="center"/>
            </w:pPr>
            <w:r>
              <w:rPr>
                <w:rFonts w:ascii="Arial" w:eastAsia="Arial" w:hAnsi="Arial" w:cs="Arial"/>
                <w:color w:val="FF0000"/>
                <w:sz w:val="20"/>
              </w:rPr>
              <w:t xml:space="preserve">Referência </w:t>
            </w:r>
          </w:p>
        </w:tc>
      </w:tr>
      <w:tr w:rsidR="006C145C">
        <w:trPr>
          <w:trHeight w:val="394"/>
        </w:trPr>
        <w:tc>
          <w:tcPr>
            <w:tcW w:w="8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right="41"/>
              <w:jc w:val="center"/>
            </w:pPr>
            <w:r>
              <w:rPr>
                <w:rFonts w:ascii="Arial" w:eastAsia="Arial" w:hAnsi="Arial" w:cs="Arial"/>
                <w:color w:val="FF0000"/>
                <w:sz w:val="20"/>
              </w:rPr>
              <w:t xml:space="preserve">1 </w:t>
            </w:r>
          </w:p>
        </w:tc>
        <w:tc>
          <w:tcPr>
            <w:tcW w:w="4566"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color w:val="FF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color w:val="FF0000"/>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2"/>
            </w:pPr>
            <w:r>
              <w:rPr>
                <w:rFonts w:ascii="Arial" w:eastAsia="Arial" w:hAnsi="Arial" w:cs="Arial"/>
                <w:color w:val="FF0000"/>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2"/>
            </w:pPr>
            <w:r>
              <w:rPr>
                <w:rFonts w:ascii="Arial" w:eastAsia="Arial" w:hAnsi="Arial" w:cs="Arial"/>
                <w:color w:val="FF0000"/>
                <w:sz w:val="20"/>
              </w:rPr>
              <w:t xml:space="preserve"> </w:t>
            </w:r>
          </w:p>
        </w:tc>
      </w:tr>
      <w:tr w:rsidR="006C145C">
        <w:trPr>
          <w:trHeight w:val="394"/>
        </w:trPr>
        <w:tc>
          <w:tcPr>
            <w:tcW w:w="8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right="41"/>
              <w:jc w:val="center"/>
            </w:pPr>
            <w:r>
              <w:rPr>
                <w:rFonts w:ascii="Arial" w:eastAsia="Arial" w:hAnsi="Arial" w:cs="Arial"/>
                <w:color w:val="FF0000"/>
                <w:sz w:val="20"/>
              </w:rPr>
              <w:t xml:space="preserve">2 </w:t>
            </w:r>
          </w:p>
        </w:tc>
        <w:tc>
          <w:tcPr>
            <w:tcW w:w="4566"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color w:val="FF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color w:val="FF0000"/>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2"/>
            </w:pPr>
            <w:r>
              <w:rPr>
                <w:rFonts w:ascii="Arial" w:eastAsia="Arial" w:hAnsi="Arial" w:cs="Arial"/>
                <w:color w:val="FF0000"/>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2"/>
            </w:pPr>
            <w:r>
              <w:rPr>
                <w:rFonts w:ascii="Arial" w:eastAsia="Arial" w:hAnsi="Arial" w:cs="Arial"/>
                <w:color w:val="FF0000"/>
                <w:sz w:val="20"/>
              </w:rPr>
              <w:t xml:space="preserve"> </w:t>
            </w:r>
          </w:p>
        </w:tc>
      </w:tr>
      <w:tr w:rsidR="006C145C">
        <w:trPr>
          <w:trHeight w:val="396"/>
        </w:trPr>
        <w:tc>
          <w:tcPr>
            <w:tcW w:w="8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right="41"/>
              <w:jc w:val="center"/>
            </w:pPr>
            <w:r>
              <w:rPr>
                <w:rFonts w:ascii="Arial" w:eastAsia="Arial" w:hAnsi="Arial" w:cs="Arial"/>
                <w:color w:val="FF0000"/>
                <w:sz w:val="20"/>
              </w:rPr>
              <w:t xml:space="preserve">3 </w:t>
            </w:r>
          </w:p>
        </w:tc>
        <w:tc>
          <w:tcPr>
            <w:tcW w:w="4566"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color w:val="FF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color w:val="FF0000"/>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2"/>
            </w:pPr>
            <w:r>
              <w:rPr>
                <w:rFonts w:ascii="Arial" w:eastAsia="Arial" w:hAnsi="Arial" w:cs="Arial"/>
                <w:color w:val="FF0000"/>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2"/>
            </w:pPr>
            <w:r>
              <w:rPr>
                <w:rFonts w:ascii="Arial" w:eastAsia="Arial" w:hAnsi="Arial" w:cs="Arial"/>
                <w:color w:val="FF0000"/>
                <w:sz w:val="20"/>
              </w:rPr>
              <w:t xml:space="preserve"> </w:t>
            </w:r>
          </w:p>
        </w:tc>
      </w:tr>
      <w:tr w:rsidR="006C145C">
        <w:trPr>
          <w:trHeight w:val="394"/>
        </w:trPr>
        <w:tc>
          <w:tcPr>
            <w:tcW w:w="8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right="38"/>
              <w:jc w:val="center"/>
            </w:pPr>
            <w:r>
              <w:rPr>
                <w:rFonts w:ascii="Arial" w:eastAsia="Arial" w:hAnsi="Arial" w:cs="Arial"/>
                <w:color w:val="FF0000"/>
                <w:sz w:val="20"/>
              </w:rPr>
              <w:t xml:space="preserve">... </w:t>
            </w:r>
          </w:p>
        </w:tc>
        <w:tc>
          <w:tcPr>
            <w:tcW w:w="4566"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color w:val="FF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color w:val="FF0000"/>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2"/>
            </w:pPr>
            <w:r>
              <w:rPr>
                <w:rFonts w:ascii="Arial" w:eastAsia="Arial" w:hAnsi="Arial" w:cs="Arial"/>
                <w:color w:val="FF0000"/>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2"/>
            </w:pPr>
            <w:r>
              <w:rPr>
                <w:rFonts w:ascii="Arial" w:eastAsia="Arial" w:hAnsi="Arial" w:cs="Arial"/>
                <w:color w:val="FF0000"/>
                <w:sz w:val="20"/>
              </w:rPr>
              <w:t xml:space="preserve"> </w:t>
            </w:r>
          </w:p>
        </w:tc>
      </w:tr>
    </w:tbl>
    <w:p w:rsidR="006C145C" w:rsidRDefault="00C62E5A">
      <w:pPr>
        <w:spacing w:after="163"/>
      </w:pPr>
      <w:r>
        <w:rPr>
          <w:rFonts w:ascii="Arial" w:eastAsia="Arial" w:hAnsi="Arial" w:cs="Arial"/>
          <w:sz w:val="20"/>
        </w:rPr>
        <w:t xml:space="preserve"> </w:t>
      </w:r>
    </w:p>
    <w:p w:rsidR="006C145C" w:rsidRDefault="00C62E5A">
      <w:pPr>
        <w:pBdr>
          <w:top w:val="single" w:sz="4" w:space="0" w:color="000080"/>
          <w:left w:val="single" w:sz="4" w:space="0" w:color="000080"/>
          <w:right w:val="single" w:sz="4" w:space="0" w:color="000080"/>
        </w:pBdr>
        <w:shd w:val="clear" w:color="auto" w:fill="FFFFCC"/>
        <w:spacing w:after="35" w:line="241" w:lineRule="auto"/>
        <w:ind w:left="-5" w:right="60" w:hanging="10"/>
        <w:jc w:val="both"/>
      </w:pPr>
      <w:r>
        <w:rPr>
          <w:rFonts w:ascii="Arial" w:eastAsia="Arial" w:hAnsi="Arial" w:cs="Arial"/>
          <w:b/>
          <w:i/>
          <w:sz w:val="20"/>
        </w:rPr>
        <w:t>Nota explicativa</w:t>
      </w:r>
      <w:r>
        <w:rPr>
          <w:rFonts w:ascii="Arial" w:eastAsia="Arial" w:hAnsi="Arial" w:cs="Arial"/>
          <w:i/>
          <w:sz w:val="20"/>
        </w:rPr>
        <w:t xml:space="preserve">: </w:t>
      </w:r>
      <w:r>
        <w:rPr>
          <w:rFonts w:ascii="Arial" w:eastAsia="Arial" w:hAnsi="Arial" w:cs="Arial"/>
          <w:i/>
          <w:sz w:val="20"/>
        </w:rPr>
        <w:t>O art. 15 do Decreto nº 10.024/19 estabelece a possibilidade de a Administração adotar o orçamento estimado como uma informação sigilosa, devendo a tabela ser ajustada conforme a decisão tomada. Entretanto, nos casos em que for adotado o critério de julgam</w:t>
      </w:r>
      <w:r>
        <w:rPr>
          <w:rFonts w:ascii="Arial" w:eastAsia="Arial" w:hAnsi="Arial" w:cs="Arial"/>
          <w:i/>
          <w:sz w:val="20"/>
        </w:rPr>
        <w:t>ento pelo maior desconto, o valor estimado, o valor máximo aceitável ou o valor de referência para aplicação do desconto constará obrigatoriamente do instrumento convocatório. No mais, as tabelas deste documento são meramente ilustrativas; o órgão ou entid</w:t>
      </w:r>
      <w:r>
        <w:rPr>
          <w:rFonts w:ascii="Arial" w:eastAsia="Arial" w:hAnsi="Arial" w:cs="Arial"/>
          <w:i/>
          <w:sz w:val="20"/>
        </w:rPr>
        <w:t xml:space="preserve">ade deve elaborá-la da forma que melhor aprouver ao certame licitatório. </w:t>
      </w:r>
    </w:p>
    <w:p w:rsidR="006C145C" w:rsidRDefault="00C62E5A">
      <w:pPr>
        <w:spacing w:after="137"/>
      </w:pPr>
      <w:r>
        <w:rPr>
          <w:rFonts w:ascii="Arial" w:eastAsia="Arial" w:hAnsi="Arial" w:cs="Arial"/>
          <w:color w:val="FF0000"/>
          <w:sz w:val="20"/>
        </w:rPr>
        <w:lastRenderedPageBreak/>
        <w:t xml:space="preserve"> </w:t>
      </w:r>
    </w:p>
    <w:p w:rsidR="006C145C" w:rsidRDefault="00C62E5A">
      <w:pPr>
        <w:spacing w:after="0" w:line="269" w:lineRule="auto"/>
        <w:ind w:left="1779" w:right="54" w:hanging="720"/>
        <w:jc w:val="both"/>
      </w:pPr>
      <w:r>
        <w:rPr>
          <w:rFonts w:ascii="Arial" w:eastAsia="Arial" w:hAnsi="Arial" w:cs="Arial"/>
          <w:color w:val="FF0000"/>
          <w:sz w:val="20"/>
        </w:rPr>
        <w:t xml:space="preserve">1.1.1 Estimativas de consumo individualizadas, do órgão gerenciador e órgão(s) e entidade(s) participante(s) e não-participante(s): </w:t>
      </w:r>
    </w:p>
    <w:tbl>
      <w:tblPr>
        <w:tblStyle w:val="TableGrid"/>
        <w:tblW w:w="8961" w:type="dxa"/>
        <w:tblInd w:w="113" w:type="dxa"/>
        <w:tblCellMar>
          <w:top w:w="9" w:type="dxa"/>
          <w:left w:w="0" w:type="dxa"/>
          <w:bottom w:w="0" w:type="dxa"/>
          <w:right w:w="50" w:type="dxa"/>
        </w:tblCellMar>
        <w:tblLook w:val="04A0" w:firstRow="1" w:lastRow="0" w:firstColumn="1" w:lastColumn="0" w:noHBand="0" w:noVBand="1"/>
      </w:tblPr>
      <w:tblGrid>
        <w:gridCol w:w="852"/>
        <w:gridCol w:w="1471"/>
        <w:gridCol w:w="3095"/>
        <w:gridCol w:w="1133"/>
        <w:gridCol w:w="1277"/>
        <w:gridCol w:w="1133"/>
      </w:tblGrid>
      <w:tr w:rsidR="006C145C">
        <w:trPr>
          <w:trHeight w:val="470"/>
        </w:trPr>
        <w:tc>
          <w:tcPr>
            <w:tcW w:w="2323" w:type="dxa"/>
            <w:gridSpan w:val="2"/>
            <w:tcBorders>
              <w:top w:val="single" w:sz="4" w:space="0" w:color="000000"/>
              <w:left w:val="single" w:sz="4" w:space="0" w:color="000000"/>
              <w:bottom w:val="single" w:sz="4" w:space="0" w:color="000000"/>
              <w:right w:val="nil"/>
            </w:tcBorders>
          </w:tcPr>
          <w:p w:rsidR="006C145C" w:rsidRDefault="00C62E5A">
            <w:pPr>
              <w:spacing w:after="0"/>
              <w:ind w:left="110"/>
            </w:pPr>
            <w:r>
              <w:rPr>
                <w:rFonts w:ascii="Arial" w:eastAsia="Arial" w:hAnsi="Arial" w:cs="Arial"/>
                <w:b/>
                <w:i/>
                <w:color w:val="FF0000"/>
                <w:sz w:val="20"/>
                <w:u w:val="single" w:color="FF0000"/>
              </w:rPr>
              <w:t>Órgão gerenciador:</w:t>
            </w:r>
            <w:r>
              <w:rPr>
                <w:rFonts w:ascii="Arial" w:eastAsia="Arial" w:hAnsi="Arial" w:cs="Arial"/>
                <w:b/>
                <w:i/>
                <w:color w:val="FF0000"/>
                <w:sz w:val="20"/>
              </w:rPr>
              <w:t xml:space="preserve"> </w:t>
            </w:r>
          </w:p>
          <w:p w:rsidR="006C145C" w:rsidRDefault="00C62E5A">
            <w:pPr>
              <w:spacing w:after="0"/>
              <w:ind w:left="110"/>
            </w:pPr>
            <w:r>
              <w:rPr>
                <w:rFonts w:ascii="Arial" w:eastAsia="Arial" w:hAnsi="Arial" w:cs="Arial"/>
                <w:i/>
                <w:color w:val="FF0000"/>
                <w:sz w:val="20"/>
              </w:rPr>
              <w:t xml:space="preserve"> </w:t>
            </w:r>
          </w:p>
        </w:tc>
        <w:tc>
          <w:tcPr>
            <w:tcW w:w="3095" w:type="dxa"/>
            <w:tcBorders>
              <w:top w:val="single" w:sz="4" w:space="0" w:color="000000"/>
              <w:left w:val="nil"/>
              <w:bottom w:val="single" w:sz="4" w:space="0" w:color="000000"/>
              <w:right w:val="nil"/>
            </w:tcBorders>
          </w:tcPr>
          <w:p w:rsidR="006C145C" w:rsidRDefault="006C145C"/>
        </w:tc>
        <w:tc>
          <w:tcPr>
            <w:tcW w:w="1133" w:type="dxa"/>
            <w:tcBorders>
              <w:top w:val="single" w:sz="4" w:space="0" w:color="000000"/>
              <w:left w:val="nil"/>
              <w:bottom w:val="single" w:sz="4" w:space="0" w:color="000000"/>
              <w:right w:val="nil"/>
            </w:tcBorders>
          </w:tcPr>
          <w:p w:rsidR="006C145C" w:rsidRDefault="006C145C"/>
        </w:tc>
        <w:tc>
          <w:tcPr>
            <w:tcW w:w="1277" w:type="dxa"/>
            <w:tcBorders>
              <w:top w:val="single" w:sz="4" w:space="0" w:color="000000"/>
              <w:left w:val="nil"/>
              <w:bottom w:val="single" w:sz="4" w:space="0" w:color="000000"/>
              <w:right w:val="nil"/>
            </w:tcBorders>
          </w:tcPr>
          <w:p w:rsidR="006C145C" w:rsidRDefault="006C145C"/>
        </w:tc>
        <w:tc>
          <w:tcPr>
            <w:tcW w:w="1133" w:type="dxa"/>
            <w:tcBorders>
              <w:top w:val="single" w:sz="4" w:space="0" w:color="000000"/>
              <w:left w:val="nil"/>
              <w:bottom w:val="single" w:sz="4" w:space="0" w:color="000000"/>
              <w:right w:val="single" w:sz="4" w:space="0" w:color="000000"/>
            </w:tcBorders>
          </w:tcPr>
          <w:p w:rsidR="006C145C" w:rsidRDefault="006C145C"/>
        </w:tc>
      </w:tr>
      <w:tr w:rsidR="006C145C">
        <w:trPr>
          <w:trHeight w:val="931"/>
        </w:trPr>
        <w:tc>
          <w:tcPr>
            <w:tcW w:w="8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90"/>
            </w:pPr>
            <w:r>
              <w:rPr>
                <w:rFonts w:ascii="Arial" w:eastAsia="Arial" w:hAnsi="Arial" w:cs="Arial"/>
                <w:i/>
                <w:color w:val="FF0000"/>
                <w:sz w:val="20"/>
              </w:rPr>
              <w:t xml:space="preserve">ITEM </w:t>
            </w:r>
          </w:p>
          <w:p w:rsidR="006C145C" w:rsidRDefault="00C62E5A">
            <w:pPr>
              <w:spacing w:after="0"/>
              <w:ind w:left="108"/>
              <w:jc w:val="center"/>
            </w:pPr>
            <w:r>
              <w:rPr>
                <w:rFonts w:ascii="Arial" w:eastAsia="Arial" w:hAnsi="Arial" w:cs="Arial"/>
                <w:i/>
                <w:color w:val="FF0000"/>
                <w:sz w:val="20"/>
              </w:rPr>
              <w:t xml:space="preserve"> </w:t>
            </w:r>
          </w:p>
        </w:tc>
        <w:tc>
          <w:tcPr>
            <w:tcW w:w="1471" w:type="dxa"/>
            <w:tcBorders>
              <w:top w:val="single" w:sz="4" w:space="0" w:color="000000"/>
              <w:left w:val="single" w:sz="4" w:space="0" w:color="000000"/>
              <w:bottom w:val="single" w:sz="4" w:space="0" w:color="000000"/>
              <w:right w:val="nil"/>
            </w:tcBorders>
          </w:tcPr>
          <w:p w:rsidR="006C145C" w:rsidRDefault="006C145C"/>
        </w:tc>
        <w:tc>
          <w:tcPr>
            <w:tcW w:w="3095" w:type="dxa"/>
            <w:tcBorders>
              <w:top w:val="single" w:sz="4" w:space="0" w:color="000000"/>
              <w:left w:val="nil"/>
              <w:bottom w:val="single" w:sz="4" w:space="0" w:color="000000"/>
              <w:right w:val="single" w:sz="4" w:space="0" w:color="000000"/>
            </w:tcBorders>
          </w:tcPr>
          <w:p w:rsidR="006C145C" w:rsidRDefault="00C62E5A">
            <w:pPr>
              <w:spacing w:after="0"/>
              <w:ind w:firstLine="188"/>
            </w:pPr>
            <w:r>
              <w:rPr>
                <w:rFonts w:ascii="Arial" w:eastAsia="Arial" w:hAnsi="Arial" w:cs="Arial"/>
                <w:i/>
                <w:color w:val="FF0000"/>
                <w:sz w:val="20"/>
              </w:rPr>
              <w:t xml:space="preserve">DESCRIÇÃO/ </w:t>
            </w:r>
            <w:r>
              <w:rPr>
                <w:rFonts w:ascii="Arial" w:eastAsia="Arial" w:hAnsi="Arial" w:cs="Arial"/>
                <w:i/>
                <w:color w:val="FF0000"/>
                <w:sz w:val="20"/>
              </w:rPr>
              <w:t xml:space="preserve">ESPECIFICAÇÃO </w:t>
            </w:r>
          </w:p>
        </w:tc>
        <w:tc>
          <w:tcPr>
            <w:tcW w:w="1133" w:type="dxa"/>
            <w:tcBorders>
              <w:top w:val="single" w:sz="4" w:space="0" w:color="000000"/>
              <w:left w:val="single" w:sz="4" w:space="0" w:color="000000"/>
              <w:bottom w:val="single" w:sz="4" w:space="0" w:color="000000"/>
              <w:right w:val="single" w:sz="4" w:space="0" w:color="000000"/>
            </w:tcBorders>
          </w:tcPr>
          <w:p w:rsidR="006C145C" w:rsidRDefault="00C62E5A">
            <w:pPr>
              <w:spacing w:after="0" w:line="241" w:lineRule="auto"/>
              <w:ind w:left="84"/>
              <w:jc w:val="center"/>
            </w:pPr>
            <w:r>
              <w:rPr>
                <w:rFonts w:ascii="Arial" w:eastAsia="Arial" w:hAnsi="Arial" w:cs="Arial"/>
                <w:i/>
                <w:color w:val="FF0000"/>
                <w:sz w:val="20"/>
              </w:rPr>
              <w:t xml:space="preserve">Unidade de </w:t>
            </w:r>
          </w:p>
          <w:p w:rsidR="006C145C" w:rsidRDefault="00C62E5A">
            <w:pPr>
              <w:spacing w:after="0"/>
              <w:ind w:left="46"/>
              <w:jc w:val="center"/>
            </w:pPr>
            <w:r>
              <w:rPr>
                <w:rFonts w:ascii="Arial" w:eastAsia="Arial" w:hAnsi="Arial" w:cs="Arial"/>
                <w:i/>
                <w:color w:val="FF0000"/>
                <w:sz w:val="20"/>
              </w:rPr>
              <w:t xml:space="preserve">Medida </w:t>
            </w:r>
          </w:p>
        </w:tc>
        <w:tc>
          <w:tcPr>
            <w:tcW w:w="1277"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22"/>
            </w:pPr>
            <w:r>
              <w:rPr>
                <w:rFonts w:ascii="Arial" w:eastAsia="Arial" w:hAnsi="Arial" w:cs="Arial"/>
                <w:i/>
                <w:color w:val="FF0000"/>
                <w:sz w:val="20"/>
              </w:rPr>
              <w:t xml:space="preserve">Quantidade </w:t>
            </w:r>
          </w:p>
        </w:tc>
        <w:tc>
          <w:tcPr>
            <w:tcW w:w="1133"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50"/>
              <w:jc w:val="center"/>
            </w:pPr>
            <w:r>
              <w:rPr>
                <w:rFonts w:ascii="Arial" w:eastAsia="Arial" w:hAnsi="Arial" w:cs="Arial"/>
                <w:i/>
                <w:color w:val="FF0000"/>
                <w:sz w:val="20"/>
              </w:rPr>
              <w:t xml:space="preserve">Valor </w:t>
            </w:r>
          </w:p>
          <w:p w:rsidR="006C145C" w:rsidRDefault="00C62E5A">
            <w:pPr>
              <w:spacing w:after="0"/>
              <w:ind w:left="48"/>
              <w:jc w:val="center"/>
            </w:pPr>
            <w:r>
              <w:rPr>
                <w:rFonts w:ascii="Arial" w:eastAsia="Arial" w:hAnsi="Arial" w:cs="Arial"/>
                <w:i/>
                <w:color w:val="FF0000"/>
                <w:sz w:val="20"/>
              </w:rPr>
              <w:t xml:space="preserve">Máximo </w:t>
            </w:r>
          </w:p>
          <w:p w:rsidR="006C145C" w:rsidRDefault="00C62E5A">
            <w:pPr>
              <w:spacing w:after="0"/>
              <w:ind w:left="51"/>
              <w:jc w:val="center"/>
            </w:pPr>
            <w:r>
              <w:rPr>
                <w:rFonts w:ascii="Arial" w:eastAsia="Arial" w:hAnsi="Arial" w:cs="Arial"/>
                <w:i/>
                <w:color w:val="FF0000"/>
                <w:sz w:val="20"/>
              </w:rPr>
              <w:t xml:space="preserve">Unitário </w:t>
            </w:r>
          </w:p>
          <w:p w:rsidR="006C145C" w:rsidRDefault="00C62E5A">
            <w:pPr>
              <w:spacing w:after="0"/>
              <w:ind w:left="161"/>
            </w:pPr>
            <w:r>
              <w:rPr>
                <w:rFonts w:ascii="Arial" w:eastAsia="Arial" w:hAnsi="Arial" w:cs="Arial"/>
                <w:i/>
                <w:color w:val="FF0000"/>
                <w:sz w:val="20"/>
              </w:rPr>
              <w:t xml:space="preserve">Aceitável  </w:t>
            </w:r>
          </w:p>
        </w:tc>
      </w:tr>
      <w:tr w:rsidR="006C145C">
        <w:trPr>
          <w:trHeight w:val="394"/>
        </w:trPr>
        <w:tc>
          <w:tcPr>
            <w:tcW w:w="8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53"/>
              <w:jc w:val="center"/>
            </w:pPr>
            <w:r>
              <w:rPr>
                <w:rFonts w:ascii="Arial" w:eastAsia="Arial" w:hAnsi="Arial" w:cs="Arial"/>
                <w:i/>
                <w:color w:val="FF0000"/>
                <w:sz w:val="20"/>
              </w:rPr>
              <w:t xml:space="preserve">1 </w:t>
            </w:r>
          </w:p>
        </w:tc>
        <w:tc>
          <w:tcPr>
            <w:tcW w:w="1471" w:type="dxa"/>
            <w:tcBorders>
              <w:top w:val="single" w:sz="4" w:space="0" w:color="000000"/>
              <w:left w:val="single" w:sz="4" w:space="0" w:color="000000"/>
              <w:bottom w:val="single" w:sz="4" w:space="0" w:color="000000"/>
              <w:right w:val="nil"/>
            </w:tcBorders>
          </w:tcPr>
          <w:p w:rsidR="006C145C" w:rsidRDefault="00C62E5A">
            <w:pPr>
              <w:spacing w:after="0"/>
              <w:ind w:left="108"/>
            </w:pPr>
            <w:r>
              <w:rPr>
                <w:rFonts w:ascii="Arial" w:eastAsia="Arial" w:hAnsi="Arial" w:cs="Arial"/>
                <w:i/>
                <w:color w:val="FF0000"/>
                <w:sz w:val="20"/>
              </w:rPr>
              <w:t xml:space="preserve"> </w:t>
            </w:r>
          </w:p>
        </w:tc>
        <w:tc>
          <w:tcPr>
            <w:tcW w:w="3095" w:type="dxa"/>
            <w:tcBorders>
              <w:top w:val="single" w:sz="4" w:space="0" w:color="000000"/>
              <w:left w:val="nil"/>
              <w:bottom w:val="single" w:sz="4" w:space="0" w:color="000000"/>
              <w:right w:val="single" w:sz="4" w:space="0" w:color="000000"/>
            </w:tcBorders>
          </w:tcPr>
          <w:p w:rsidR="006C145C" w:rsidRDefault="006C145C"/>
        </w:tc>
        <w:tc>
          <w:tcPr>
            <w:tcW w:w="1133"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08"/>
            </w:pPr>
            <w:r>
              <w:rPr>
                <w:rFonts w:ascii="Arial" w:eastAsia="Arial" w:hAnsi="Arial" w:cs="Arial"/>
                <w:i/>
                <w:color w:val="FF0000"/>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10"/>
            </w:pPr>
            <w:r>
              <w:rPr>
                <w:rFonts w:ascii="Arial" w:eastAsia="Arial" w:hAnsi="Arial" w:cs="Arial"/>
                <w:i/>
                <w:color w:val="FF0000"/>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08"/>
            </w:pPr>
            <w:r>
              <w:rPr>
                <w:rFonts w:ascii="Arial" w:eastAsia="Arial" w:hAnsi="Arial" w:cs="Arial"/>
                <w:i/>
                <w:color w:val="FF0000"/>
                <w:sz w:val="20"/>
              </w:rPr>
              <w:t xml:space="preserve"> </w:t>
            </w:r>
          </w:p>
        </w:tc>
      </w:tr>
      <w:tr w:rsidR="006C145C">
        <w:trPr>
          <w:trHeight w:val="394"/>
        </w:trPr>
        <w:tc>
          <w:tcPr>
            <w:tcW w:w="8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53"/>
              <w:jc w:val="center"/>
            </w:pPr>
            <w:r>
              <w:rPr>
                <w:rFonts w:ascii="Arial" w:eastAsia="Arial" w:hAnsi="Arial" w:cs="Arial"/>
                <w:i/>
                <w:color w:val="FF0000"/>
                <w:sz w:val="20"/>
              </w:rPr>
              <w:t xml:space="preserve">2 </w:t>
            </w:r>
          </w:p>
        </w:tc>
        <w:tc>
          <w:tcPr>
            <w:tcW w:w="1471" w:type="dxa"/>
            <w:tcBorders>
              <w:top w:val="single" w:sz="4" w:space="0" w:color="000000"/>
              <w:left w:val="single" w:sz="4" w:space="0" w:color="000000"/>
              <w:bottom w:val="single" w:sz="4" w:space="0" w:color="000000"/>
              <w:right w:val="nil"/>
            </w:tcBorders>
          </w:tcPr>
          <w:p w:rsidR="006C145C" w:rsidRDefault="00C62E5A">
            <w:pPr>
              <w:spacing w:after="0"/>
              <w:ind w:left="108"/>
            </w:pPr>
            <w:r>
              <w:rPr>
                <w:rFonts w:ascii="Arial" w:eastAsia="Arial" w:hAnsi="Arial" w:cs="Arial"/>
                <w:i/>
                <w:color w:val="FF0000"/>
                <w:sz w:val="20"/>
              </w:rPr>
              <w:t xml:space="preserve"> </w:t>
            </w:r>
          </w:p>
        </w:tc>
        <w:tc>
          <w:tcPr>
            <w:tcW w:w="3095" w:type="dxa"/>
            <w:tcBorders>
              <w:top w:val="single" w:sz="4" w:space="0" w:color="000000"/>
              <w:left w:val="nil"/>
              <w:bottom w:val="single" w:sz="4" w:space="0" w:color="000000"/>
              <w:right w:val="single" w:sz="4" w:space="0" w:color="000000"/>
            </w:tcBorders>
          </w:tcPr>
          <w:p w:rsidR="006C145C" w:rsidRDefault="006C145C"/>
        </w:tc>
        <w:tc>
          <w:tcPr>
            <w:tcW w:w="1133"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08"/>
            </w:pPr>
            <w:r>
              <w:rPr>
                <w:rFonts w:ascii="Arial" w:eastAsia="Arial" w:hAnsi="Arial" w:cs="Arial"/>
                <w:i/>
                <w:color w:val="FF0000"/>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10"/>
            </w:pPr>
            <w:r>
              <w:rPr>
                <w:rFonts w:ascii="Arial" w:eastAsia="Arial" w:hAnsi="Arial" w:cs="Arial"/>
                <w:i/>
                <w:color w:val="FF0000"/>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08"/>
            </w:pPr>
            <w:r>
              <w:rPr>
                <w:rFonts w:ascii="Arial" w:eastAsia="Arial" w:hAnsi="Arial" w:cs="Arial"/>
                <w:i/>
                <w:color w:val="FF0000"/>
                <w:sz w:val="20"/>
              </w:rPr>
              <w:t xml:space="preserve"> </w:t>
            </w:r>
          </w:p>
        </w:tc>
      </w:tr>
      <w:tr w:rsidR="006C145C">
        <w:trPr>
          <w:trHeight w:val="396"/>
        </w:trPr>
        <w:tc>
          <w:tcPr>
            <w:tcW w:w="8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53"/>
              <w:jc w:val="center"/>
            </w:pPr>
            <w:r>
              <w:rPr>
                <w:rFonts w:ascii="Arial" w:eastAsia="Arial" w:hAnsi="Arial" w:cs="Arial"/>
                <w:i/>
                <w:color w:val="FF0000"/>
                <w:sz w:val="20"/>
              </w:rPr>
              <w:t xml:space="preserve">3 </w:t>
            </w:r>
          </w:p>
        </w:tc>
        <w:tc>
          <w:tcPr>
            <w:tcW w:w="1471" w:type="dxa"/>
            <w:tcBorders>
              <w:top w:val="single" w:sz="4" w:space="0" w:color="000000"/>
              <w:left w:val="single" w:sz="4" w:space="0" w:color="000000"/>
              <w:bottom w:val="single" w:sz="4" w:space="0" w:color="000000"/>
              <w:right w:val="nil"/>
            </w:tcBorders>
          </w:tcPr>
          <w:p w:rsidR="006C145C" w:rsidRDefault="00C62E5A">
            <w:pPr>
              <w:spacing w:after="0"/>
              <w:ind w:left="108"/>
            </w:pPr>
            <w:r>
              <w:rPr>
                <w:rFonts w:ascii="Arial" w:eastAsia="Arial" w:hAnsi="Arial" w:cs="Arial"/>
                <w:i/>
                <w:color w:val="FF0000"/>
                <w:sz w:val="20"/>
              </w:rPr>
              <w:t xml:space="preserve"> </w:t>
            </w:r>
          </w:p>
        </w:tc>
        <w:tc>
          <w:tcPr>
            <w:tcW w:w="3095" w:type="dxa"/>
            <w:tcBorders>
              <w:top w:val="single" w:sz="4" w:space="0" w:color="000000"/>
              <w:left w:val="nil"/>
              <w:bottom w:val="single" w:sz="4" w:space="0" w:color="000000"/>
              <w:right w:val="single" w:sz="4" w:space="0" w:color="000000"/>
            </w:tcBorders>
          </w:tcPr>
          <w:p w:rsidR="006C145C" w:rsidRDefault="006C145C"/>
        </w:tc>
        <w:tc>
          <w:tcPr>
            <w:tcW w:w="1133"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08"/>
            </w:pPr>
            <w:r>
              <w:rPr>
                <w:rFonts w:ascii="Arial" w:eastAsia="Arial" w:hAnsi="Arial" w:cs="Arial"/>
                <w:i/>
                <w:color w:val="FF0000"/>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10"/>
            </w:pPr>
            <w:r>
              <w:rPr>
                <w:rFonts w:ascii="Arial" w:eastAsia="Arial" w:hAnsi="Arial" w:cs="Arial"/>
                <w:i/>
                <w:color w:val="FF0000"/>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08"/>
            </w:pPr>
            <w:r>
              <w:rPr>
                <w:rFonts w:ascii="Arial" w:eastAsia="Arial" w:hAnsi="Arial" w:cs="Arial"/>
                <w:i/>
                <w:color w:val="FF0000"/>
                <w:sz w:val="20"/>
              </w:rPr>
              <w:t xml:space="preserve"> </w:t>
            </w:r>
          </w:p>
        </w:tc>
      </w:tr>
      <w:tr w:rsidR="006C145C">
        <w:trPr>
          <w:trHeight w:val="394"/>
        </w:trPr>
        <w:tc>
          <w:tcPr>
            <w:tcW w:w="8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55"/>
              <w:jc w:val="center"/>
            </w:pPr>
            <w:r>
              <w:rPr>
                <w:rFonts w:ascii="Arial" w:eastAsia="Arial" w:hAnsi="Arial" w:cs="Arial"/>
                <w:i/>
                <w:color w:val="FF0000"/>
                <w:sz w:val="20"/>
              </w:rPr>
              <w:t xml:space="preserve">... </w:t>
            </w:r>
          </w:p>
        </w:tc>
        <w:tc>
          <w:tcPr>
            <w:tcW w:w="1471" w:type="dxa"/>
            <w:tcBorders>
              <w:top w:val="single" w:sz="4" w:space="0" w:color="000000"/>
              <w:left w:val="single" w:sz="4" w:space="0" w:color="000000"/>
              <w:bottom w:val="single" w:sz="4" w:space="0" w:color="000000"/>
              <w:right w:val="nil"/>
            </w:tcBorders>
          </w:tcPr>
          <w:p w:rsidR="006C145C" w:rsidRDefault="00C62E5A">
            <w:pPr>
              <w:spacing w:after="0"/>
              <w:ind w:left="108"/>
            </w:pPr>
            <w:r>
              <w:rPr>
                <w:rFonts w:ascii="Arial" w:eastAsia="Arial" w:hAnsi="Arial" w:cs="Arial"/>
                <w:i/>
                <w:color w:val="FF0000"/>
                <w:sz w:val="20"/>
              </w:rPr>
              <w:t xml:space="preserve"> </w:t>
            </w:r>
          </w:p>
        </w:tc>
        <w:tc>
          <w:tcPr>
            <w:tcW w:w="3095" w:type="dxa"/>
            <w:tcBorders>
              <w:top w:val="single" w:sz="4" w:space="0" w:color="000000"/>
              <w:left w:val="nil"/>
              <w:bottom w:val="single" w:sz="4" w:space="0" w:color="000000"/>
              <w:right w:val="single" w:sz="4" w:space="0" w:color="000000"/>
            </w:tcBorders>
          </w:tcPr>
          <w:p w:rsidR="006C145C" w:rsidRDefault="006C145C"/>
        </w:tc>
        <w:tc>
          <w:tcPr>
            <w:tcW w:w="1133"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08"/>
            </w:pPr>
            <w:r>
              <w:rPr>
                <w:rFonts w:ascii="Arial" w:eastAsia="Arial" w:hAnsi="Arial" w:cs="Arial"/>
                <w:i/>
                <w:color w:val="FF0000"/>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10"/>
            </w:pPr>
            <w:r>
              <w:rPr>
                <w:rFonts w:ascii="Arial" w:eastAsia="Arial" w:hAnsi="Arial" w:cs="Arial"/>
                <w:i/>
                <w:color w:val="FF0000"/>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08"/>
            </w:pPr>
            <w:r>
              <w:rPr>
                <w:rFonts w:ascii="Arial" w:eastAsia="Arial" w:hAnsi="Arial" w:cs="Arial"/>
                <w:i/>
                <w:color w:val="FF0000"/>
                <w:sz w:val="20"/>
              </w:rPr>
              <w:t xml:space="preserve"> </w:t>
            </w:r>
          </w:p>
        </w:tc>
      </w:tr>
    </w:tbl>
    <w:p w:rsidR="006C145C" w:rsidRDefault="00C62E5A">
      <w:pPr>
        <w:spacing w:after="0"/>
      </w:pPr>
      <w:r>
        <w:rPr>
          <w:rFonts w:ascii="Arial" w:eastAsia="Arial" w:hAnsi="Arial" w:cs="Arial"/>
          <w:b/>
          <w:sz w:val="20"/>
        </w:rPr>
        <w:t xml:space="preserve"> </w:t>
      </w:r>
    </w:p>
    <w:tbl>
      <w:tblPr>
        <w:tblStyle w:val="TableGrid"/>
        <w:tblW w:w="8961" w:type="dxa"/>
        <w:tblInd w:w="113" w:type="dxa"/>
        <w:tblCellMar>
          <w:top w:w="9" w:type="dxa"/>
          <w:left w:w="0" w:type="dxa"/>
          <w:bottom w:w="0" w:type="dxa"/>
          <w:right w:w="50" w:type="dxa"/>
        </w:tblCellMar>
        <w:tblLook w:val="04A0" w:firstRow="1" w:lastRow="0" w:firstColumn="1" w:lastColumn="0" w:noHBand="0" w:noVBand="1"/>
      </w:tblPr>
      <w:tblGrid>
        <w:gridCol w:w="852"/>
        <w:gridCol w:w="1471"/>
        <w:gridCol w:w="3095"/>
        <w:gridCol w:w="1133"/>
        <w:gridCol w:w="1277"/>
        <w:gridCol w:w="1133"/>
      </w:tblGrid>
      <w:tr w:rsidR="006C145C">
        <w:trPr>
          <w:trHeight w:val="468"/>
        </w:trPr>
        <w:tc>
          <w:tcPr>
            <w:tcW w:w="2323" w:type="dxa"/>
            <w:gridSpan w:val="2"/>
            <w:tcBorders>
              <w:top w:val="single" w:sz="4" w:space="0" w:color="000000"/>
              <w:left w:val="single" w:sz="4" w:space="0" w:color="000000"/>
              <w:bottom w:val="single" w:sz="4" w:space="0" w:color="000000"/>
              <w:right w:val="nil"/>
            </w:tcBorders>
          </w:tcPr>
          <w:p w:rsidR="006C145C" w:rsidRDefault="00C62E5A">
            <w:pPr>
              <w:spacing w:after="0"/>
              <w:ind w:left="110" w:right="262"/>
            </w:pPr>
            <w:r>
              <w:rPr>
                <w:rFonts w:ascii="Arial" w:eastAsia="Arial" w:hAnsi="Arial" w:cs="Arial"/>
                <w:b/>
                <w:i/>
                <w:color w:val="FF0000"/>
                <w:sz w:val="20"/>
                <w:u w:val="single" w:color="FF0000"/>
              </w:rPr>
              <w:t>Órgão participante:</w:t>
            </w:r>
            <w:r>
              <w:rPr>
                <w:rFonts w:ascii="Arial" w:eastAsia="Arial" w:hAnsi="Arial" w:cs="Arial"/>
                <w:b/>
                <w:i/>
                <w:color w:val="FF0000"/>
                <w:sz w:val="20"/>
              </w:rPr>
              <w:t xml:space="preserve"> </w:t>
            </w:r>
            <w:r>
              <w:rPr>
                <w:rFonts w:ascii="Arial" w:eastAsia="Arial" w:hAnsi="Arial" w:cs="Arial"/>
                <w:i/>
                <w:color w:val="FF0000"/>
                <w:sz w:val="20"/>
              </w:rPr>
              <w:t xml:space="preserve"> </w:t>
            </w:r>
          </w:p>
        </w:tc>
        <w:tc>
          <w:tcPr>
            <w:tcW w:w="3095" w:type="dxa"/>
            <w:tcBorders>
              <w:top w:val="single" w:sz="4" w:space="0" w:color="000000"/>
              <w:left w:val="nil"/>
              <w:bottom w:val="single" w:sz="4" w:space="0" w:color="000000"/>
              <w:right w:val="nil"/>
            </w:tcBorders>
          </w:tcPr>
          <w:p w:rsidR="006C145C" w:rsidRDefault="006C145C"/>
        </w:tc>
        <w:tc>
          <w:tcPr>
            <w:tcW w:w="1133" w:type="dxa"/>
            <w:tcBorders>
              <w:top w:val="single" w:sz="4" w:space="0" w:color="000000"/>
              <w:left w:val="nil"/>
              <w:bottom w:val="single" w:sz="4" w:space="0" w:color="000000"/>
              <w:right w:val="nil"/>
            </w:tcBorders>
          </w:tcPr>
          <w:p w:rsidR="006C145C" w:rsidRDefault="006C145C"/>
        </w:tc>
        <w:tc>
          <w:tcPr>
            <w:tcW w:w="1277" w:type="dxa"/>
            <w:tcBorders>
              <w:top w:val="single" w:sz="4" w:space="0" w:color="000000"/>
              <w:left w:val="nil"/>
              <w:bottom w:val="single" w:sz="4" w:space="0" w:color="000000"/>
              <w:right w:val="nil"/>
            </w:tcBorders>
          </w:tcPr>
          <w:p w:rsidR="006C145C" w:rsidRDefault="006C145C"/>
        </w:tc>
        <w:tc>
          <w:tcPr>
            <w:tcW w:w="1133" w:type="dxa"/>
            <w:tcBorders>
              <w:top w:val="single" w:sz="4" w:space="0" w:color="000000"/>
              <w:left w:val="nil"/>
              <w:bottom w:val="single" w:sz="4" w:space="0" w:color="000000"/>
              <w:right w:val="single" w:sz="4" w:space="0" w:color="000000"/>
            </w:tcBorders>
          </w:tcPr>
          <w:p w:rsidR="006C145C" w:rsidRDefault="006C145C"/>
        </w:tc>
      </w:tr>
      <w:tr w:rsidR="006C145C">
        <w:trPr>
          <w:trHeight w:val="931"/>
        </w:trPr>
        <w:tc>
          <w:tcPr>
            <w:tcW w:w="8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90"/>
            </w:pPr>
            <w:r>
              <w:rPr>
                <w:rFonts w:ascii="Arial" w:eastAsia="Arial" w:hAnsi="Arial" w:cs="Arial"/>
                <w:i/>
                <w:color w:val="FF0000"/>
                <w:sz w:val="20"/>
              </w:rPr>
              <w:t xml:space="preserve">ITEM </w:t>
            </w:r>
          </w:p>
          <w:p w:rsidR="006C145C" w:rsidRDefault="00C62E5A">
            <w:pPr>
              <w:spacing w:after="0"/>
              <w:ind w:left="108"/>
              <w:jc w:val="center"/>
            </w:pPr>
            <w:r>
              <w:rPr>
                <w:rFonts w:ascii="Arial" w:eastAsia="Arial" w:hAnsi="Arial" w:cs="Arial"/>
                <w:i/>
                <w:color w:val="FF0000"/>
                <w:sz w:val="20"/>
              </w:rPr>
              <w:t xml:space="preserve"> </w:t>
            </w:r>
          </w:p>
        </w:tc>
        <w:tc>
          <w:tcPr>
            <w:tcW w:w="1471" w:type="dxa"/>
            <w:tcBorders>
              <w:top w:val="single" w:sz="4" w:space="0" w:color="000000"/>
              <w:left w:val="single" w:sz="4" w:space="0" w:color="000000"/>
              <w:bottom w:val="single" w:sz="4" w:space="0" w:color="000000"/>
              <w:right w:val="nil"/>
            </w:tcBorders>
          </w:tcPr>
          <w:p w:rsidR="006C145C" w:rsidRDefault="006C145C"/>
        </w:tc>
        <w:tc>
          <w:tcPr>
            <w:tcW w:w="3095" w:type="dxa"/>
            <w:tcBorders>
              <w:top w:val="single" w:sz="4" w:space="0" w:color="000000"/>
              <w:left w:val="nil"/>
              <w:bottom w:val="single" w:sz="4" w:space="0" w:color="000000"/>
              <w:right w:val="single" w:sz="4" w:space="0" w:color="000000"/>
            </w:tcBorders>
          </w:tcPr>
          <w:p w:rsidR="006C145C" w:rsidRDefault="00C62E5A">
            <w:pPr>
              <w:spacing w:after="0"/>
              <w:ind w:firstLine="188"/>
            </w:pPr>
            <w:r>
              <w:rPr>
                <w:rFonts w:ascii="Arial" w:eastAsia="Arial" w:hAnsi="Arial" w:cs="Arial"/>
                <w:i/>
                <w:color w:val="FF0000"/>
                <w:sz w:val="20"/>
              </w:rPr>
              <w:t xml:space="preserve">DESCRIÇÃO/ ESPECIFICAÇÃO </w:t>
            </w:r>
          </w:p>
        </w:tc>
        <w:tc>
          <w:tcPr>
            <w:tcW w:w="1133" w:type="dxa"/>
            <w:tcBorders>
              <w:top w:val="single" w:sz="4" w:space="0" w:color="000000"/>
              <w:left w:val="single" w:sz="4" w:space="0" w:color="000000"/>
              <w:bottom w:val="single" w:sz="4" w:space="0" w:color="000000"/>
              <w:right w:val="single" w:sz="4" w:space="0" w:color="000000"/>
            </w:tcBorders>
          </w:tcPr>
          <w:p w:rsidR="006C145C" w:rsidRDefault="00C62E5A">
            <w:pPr>
              <w:spacing w:after="0" w:line="241" w:lineRule="auto"/>
              <w:ind w:left="84"/>
              <w:jc w:val="center"/>
            </w:pPr>
            <w:r>
              <w:rPr>
                <w:rFonts w:ascii="Arial" w:eastAsia="Arial" w:hAnsi="Arial" w:cs="Arial"/>
                <w:i/>
                <w:color w:val="FF0000"/>
                <w:sz w:val="20"/>
              </w:rPr>
              <w:t xml:space="preserve">Unidade de </w:t>
            </w:r>
          </w:p>
          <w:p w:rsidR="006C145C" w:rsidRDefault="00C62E5A">
            <w:pPr>
              <w:spacing w:after="0"/>
              <w:ind w:left="46"/>
              <w:jc w:val="center"/>
            </w:pPr>
            <w:r>
              <w:rPr>
                <w:rFonts w:ascii="Arial" w:eastAsia="Arial" w:hAnsi="Arial" w:cs="Arial"/>
                <w:i/>
                <w:color w:val="FF0000"/>
                <w:sz w:val="20"/>
              </w:rPr>
              <w:t xml:space="preserve">Medida </w:t>
            </w:r>
          </w:p>
        </w:tc>
        <w:tc>
          <w:tcPr>
            <w:tcW w:w="1277"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22"/>
            </w:pPr>
            <w:r>
              <w:rPr>
                <w:rFonts w:ascii="Arial" w:eastAsia="Arial" w:hAnsi="Arial" w:cs="Arial"/>
                <w:i/>
                <w:color w:val="FF0000"/>
                <w:sz w:val="20"/>
              </w:rPr>
              <w:t xml:space="preserve">Quantidade </w:t>
            </w:r>
          </w:p>
        </w:tc>
        <w:tc>
          <w:tcPr>
            <w:tcW w:w="1133"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50"/>
              <w:jc w:val="center"/>
            </w:pPr>
            <w:r>
              <w:rPr>
                <w:rFonts w:ascii="Arial" w:eastAsia="Arial" w:hAnsi="Arial" w:cs="Arial"/>
                <w:i/>
                <w:color w:val="FF0000"/>
                <w:sz w:val="20"/>
              </w:rPr>
              <w:t xml:space="preserve">Valor </w:t>
            </w:r>
          </w:p>
          <w:p w:rsidR="006C145C" w:rsidRDefault="00C62E5A">
            <w:pPr>
              <w:spacing w:after="0"/>
              <w:ind w:left="48"/>
              <w:jc w:val="center"/>
            </w:pPr>
            <w:r>
              <w:rPr>
                <w:rFonts w:ascii="Arial" w:eastAsia="Arial" w:hAnsi="Arial" w:cs="Arial"/>
                <w:i/>
                <w:color w:val="FF0000"/>
                <w:sz w:val="20"/>
              </w:rPr>
              <w:t xml:space="preserve">Máximo </w:t>
            </w:r>
          </w:p>
          <w:p w:rsidR="006C145C" w:rsidRDefault="00C62E5A">
            <w:pPr>
              <w:spacing w:after="0"/>
              <w:ind w:left="51"/>
              <w:jc w:val="center"/>
            </w:pPr>
            <w:r>
              <w:rPr>
                <w:rFonts w:ascii="Arial" w:eastAsia="Arial" w:hAnsi="Arial" w:cs="Arial"/>
                <w:i/>
                <w:color w:val="FF0000"/>
                <w:sz w:val="20"/>
              </w:rPr>
              <w:t xml:space="preserve">Unitário </w:t>
            </w:r>
          </w:p>
          <w:p w:rsidR="006C145C" w:rsidRDefault="00C62E5A">
            <w:pPr>
              <w:spacing w:after="0"/>
              <w:ind w:left="161"/>
            </w:pPr>
            <w:r>
              <w:rPr>
                <w:rFonts w:ascii="Arial" w:eastAsia="Arial" w:hAnsi="Arial" w:cs="Arial"/>
                <w:i/>
                <w:color w:val="FF0000"/>
                <w:sz w:val="20"/>
              </w:rPr>
              <w:t xml:space="preserve">Aceitável  </w:t>
            </w:r>
          </w:p>
        </w:tc>
      </w:tr>
      <w:tr w:rsidR="006C145C">
        <w:trPr>
          <w:trHeight w:val="394"/>
        </w:trPr>
        <w:tc>
          <w:tcPr>
            <w:tcW w:w="8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53"/>
              <w:jc w:val="center"/>
            </w:pPr>
            <w:r>
              <w:rPr>
                <w:rFonts w:ascii="Arial" w:eastAsia="Arial" w:hAnsi="Arial" w:cs="Arial"/>
                <w:i/>
                <w:color w:val="FF0000"/>
                <w:sz w:val="20"/>
              </w:rPr>
              <w:t xml:space="preserve">1 </w:t>
            </w:r>
          </w:p>
        </w:tc>
        <w:tc>
          <w:tcPr>
            <w:tcW w:w="1471" w:type="dxa"/>
            <w:tcBorders>
              <w:top w:val="single" w:sz="4" w:space="0" w:color="000000"/>
              <w:left w:val="single" w:sz="4" w:space="0" w:color="000000"/>
              <w:bottom w:val="single" w:sz="4" w:space="0" w:color="000000"/>
              <w:right w:val="nil"/>
            </w:tcBorders>
          </w:tcPr>
          <w:p w:rsidR="006C145C" w:rsidRDefault="00C62E5A">
            <w:pPr>
              <w:spacing w:after="0"/>
              <w:ind w:left="108"/>
            </w:pPr>
            <w:r>
              <w:rPr>
                <w:rFonts w:ascii="Arial" w:eastAsia="Arial" w:hAnsi="Arial" w:cs="Arial"/>
                <w:i/>
                <w:color w:val="FF0000"/>
                <w:sz w:val="20"/>
              </w:rPr>
              <w:t xml:space="preserve"> </w:t>
            </w:r>
          </w:p>
        </w:tc>
        <w:tc>
          <w:tcPr>
            <w:tcW w:w="3095" w:type="dxa"/>
            <w:tcBorders>
              <w:top w:val="single" w:sz="4" w:space="0" w:color="000000"/>
              <w:left w:val="nil"/>
              <w:bottom w:val="single" w:sz="4" w:space="0" w:color="000000"/>
              <w:right w:val="single" w:sz="4" w:space="0" w:color="000000"/>
            </w:tcBorders>
          </w:tcPr>
          <w:p w:rsidR="006C145C" w:rsidRDefault="006C145C"/>
        </w:tc>
        <w:tc>
          <w:tcPr>
            <w:tcW w:w="1133"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08"/>
            </w:pPr>
            <w:r>
              <w:rPr>
                <w:rFonts w:ascii="Arial" w:eastAsia="Arial" w:hAnsi="Arial" w:cs="Arial"/>
                <w:i/>
                <w:color w:val="FF0000"/>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10"/>
            </w:pPr>
            <w:r>
              <w:rPr>
                <w:rFonts w:ascii="Arial" w:eastAsia="Arial" w:hAnsi="Arial" w:cs="Arial"/>
                <w:i/>
                <w:color w:val="FF0000"/>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08"/>
            </w:pPr>
            <w:r>
              <w:rPr>
                <w:rFonts w:ascii="Arial" w:eastAsia="Arial" w:hAnsi="Arial" w:cs="Arial"/>
                <w:i/>
                <w:color w:val="FF0000"/>
                <w:sz w:val="20"/>
              </w:rPr>
              <w:t xml:space="preserve"> </w:t>
            </w:r>
          </w:p>
        </w:tc>
      </w:tr>
      <w:tr w:rsidR="006C145C">
        <w:trPr>
          <w:trHeight w:val="396"/>
        </w:trPr>
        <w:tc>
          <w:tcPr>
            <w:tcW w:w="8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53"/>
              <w:jc w:val="center"/>
            </w:pPr>
            <w:r>
              <w:rPr>
                <w:rFonts w:ascii="Arial" w:eastAsia="Arial" w:hAnsi="Arial" w:cs="Arial"/>
                <w:i/>
                <w:color w:val="FF0000"/>
                <w:sz w:val="20"/>
              </w:rPr>
              <w:t xml:space="preserve">2 </w:t>
            </w:r>
          </w:p>
        </w:tc>
        <w:tc>
          <w:tcPr>
            <w:tcW w:w="1471" w:type="dxa"/>
            <w:tcBorders>
              <w:top w:val="single" w:sz="4" w:space="0" w:color="000000"/>
              <w:left w:val="single" w:sz="4" w:space="0" w:color="000000"/>
              <w:bottom w:val="single" w:sz="4" w:space="0" w:color="000000"/>
              <w:right w:val="nil"/>
            </w:tcBorders>
          </w:tcPr>
          <w:p w:rsidR="006C145C" w:rsidRDefault="00C62E5A">
            <w:pPr>
              <w:spacing w:after="0"/>
              <w:ind w:left="108"/>
            </w:pPr>
            <w:r>
              <w:rPr>
                <w:rFonts w:ascii="Arial" w:eastAsia="Arial" w:hAnsi="Arial" w:cs="Arial"/>
                <w:i/>
                <w:color w:val="FF0000"/>
                <w:sz w:val="20"/>
              </w:rPr>
              <w:t xml:space="preserve"> </w:t>
            </w:r>
          </w:p>
        </w:tc>
        <w:tc>
          <w:tcPr>
            <w:tcW w:w="3095" w:type="dxa"/>
            <w:tcBorders>
              <w:top w:val="single" w:sz="4" w:space="0" w:color="000000"/>
              <w:left w:val="nil"/>
              <w:bottom w:val="single" w:sz="4" w:space="0" w:color="000000"/>
              <w:right w:val="single" w:sz="4" w:space="0" w:color="000000"/>
            </w:tcBorders>
          </w:tcPr>
          <w:p w:rsidR="006C145C" w:rsidRDefault="006C145C"/>
        </w:tc>
        <w:tc>
          <w:tcPr>
            <w:tcW w:w="1133"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08"/>
            </w:pPr>
            <w:r>
              <w:rPr>
                <w:rFonts w:ascii="Arial" w:eastAsia="Arial" w:hAnsi="Arial" w:cs="Arial"/>
                <w:i/>
                <w:color w:val="FF0000"/>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10"/>
            </w:pPr>
            <w:r>
              <w:rPr>
                <w:rFonts w:ascii="Arial" w:eastAsia="Arial" w:hAnsi="Arial" w:cs="Arial"/>
                <w:i/>
                <w:color w:val="FF0000"/>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08"/>
            </w:pPr>
            <w:r>
              <w:rPr>
                <w:rFonts w:ascii="Arial" w:eastAsia="Arial" w:hAnsi="Arial" w:cs="Arial"/>
                <w:i/>
                <w:color w:val="FF0000"/>
                <w:sz w:val="20"/>
              </w:rPr>
              <w:t xml:space="preserve"> </w:t>
            </w:r>
          </w:p>
        </w:tc>
      </w:tr>
      <w:tr w:rsidR="006C145C">
        <w:trPr>
          <w:trHeight w:val="394"/>
        </w:trPr>
        <w:tc>
          <w:tcPr>
            <w:tcW w:w="8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53"/>
              <w:jc w:val="center"/>
            </w:pPr>
            <w:r>
              <w:rPr>
                <w:rFonts w:ascii="Arial" w:eastAsia="Arial" w:hAnsi="Arial" w:cs="Arial"/>
                <w:i/>
                <w:color w:val="FF0000"/>
                <w:sz w:val="20"/>
              </w:rPr>
              <w:t xml:space="preserve">3 </w:t>
            </w:r>
          </w:p>
        </w:tc>
        <w:tc>
          <w:tcPr>
            <w:tcW w:w="1471" w:type="dxa"/>
            <w:tcBorders>
              <w:top w:val="single" w:sz="4" w:space="0" w:color="000000"/>
              <w:left w:val="single" w:sz="4" w:space="0" w:color="000000"/>
              <w:bottom w:val="single" w:sz="4" w:space="0" w:color="000000"/>
              <w:right w:val="nil"/>
            </w:tcBorders>
          </w:tcPr>
          <w:p w:rsidR="006C145C" w:rsidRDefault="00C62E5A">
            <w:pPr>
              <w:spacing w:after="0"/>
              <w:ind w:left="108"/>
            </w:pPr>
            <w:r>
              <w:rPr>
                <w:rFonts w:ascii="Arial" w:eastAsia="Arial" w:hAnsi="Arial" w:cs="Arial"/>
                <w:i/>
                <w:color w:val="FF0000"/>
                <w:sz w:val="20"/>
              </w:rPr>
              <w:t xml:space="preserve"> </w:t>
            </w:r>
          </w:p>
        </w:tc>
        <w:tc>
          <w:tcPr>
            <w:tcW w:w="3095" w:type="dxa"/>
            <w:tcBorders>
              <w:top w:val="single" w:sz="4" w:space="0" w:color="000000"/>
              <w:left w:val="nil"/>
              <w:bottom w:val="single" w:sz="4" w:space="0" w:color="000000"/>
              <w:right w:val="single" w:sz="4" w:space="0" w:color="000000"/>
            </w:tcBorders>
          </w:tcPr>
          <w:p w:rsidR="006C145C" w:rsidRDefault="006C145C"/>
        </w:tc>
        <w:tc>
          <w:tcPr>
            <w:tcW w:w="1133"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08"/>
            </w:pPr>
            <w:r>
              <w:rPr>
                <w:rFonts w:ascii="Arial" w:eastAsia="Arial" w:hAnsi="Arial" w:cs="Arial"/>
                <w:i/>
                <w:color w:val="FF0000"/>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10"/>
            </w:pPr>
            <w:r>
              <w:rPr>
                <w:rFonts w:ascii="Arial" w:eastAsia="Arial" w:hAnsi="Arial" w:cs="Arial"/>
                <w:i/>
                <w:color w:val="FF0000"/>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08"/>
            </w:pPr>
            <w:r>
              <w:rPr>
                <w:rFonts w:ascii="Arial" w:eastAsia="Arial" w:hAnsi="Arial" w:cs="Arial"/>
                <w:i/>
                <w:color w:val="FF0000"/>
                <w:sz w:val="20"/>
              </w:rPr>
              <w:t xml:space="preserve"> </w:t>
            </w:r>
          </w:p>
        </w:tc>
      </w:tr>
      <w:tr w:rsidR="006C145C">
        <w:trPr>
          <w:trHeight w:val="394"/>
        </w:trPr>
        <w:tc>
          <w:tcPr>
            <w:tcW w:w="8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55"/>
              <w:jc w:val="center"/>
            </w:pPr>
            <w:r>
              <w:rPr>
                <w:rFonts w:ascii="Arial" w:eastAsia="Arial" w:hAnsi="Arial" w:cs="Arial"/>
                <w:i/>
                <w:color w:val="FF0000"/>
                <w:sz w:val="20"/>
              </w:rPr>
              <w:t xml:space="preserve">... </w:t>
            </w:r>
          </w:p>
        </w:tc>
        <w:tc>
          <w:tcPr>
            <w:tcW w:w="1471" w:type="dxa"/>
            <w:tcBorders>
              <w:top w:val="single" w:sz="4" w:space="0" w:color="000000"/>
              <w:left w:val="single" w:sz="4" w:space="0" w:color="000000"/>
              <w:bottom w:val="single" w:sz="4" w:space="0" w:color="000000"/>
              <w:right w:val="nil"/>
            </w:tcBorders>
          </w:tcPr>
          <w:p w:rsidR="006C145C" w:rsidRDefault="00C62E5A">
            <w:pPr>
              <w:spacing w:after="0"/>
              <w:ind w:left="108"/>
            </w:pPr>
            <w:r>
              <w:rPr>
                <w:rFonts w:ascii="Arial" w:eastAsia="Arial" w:hAnsi="Arial" w:cs="Arial"/>
                <w:i/>
                <w:color w:val="FF0000"/>
                <w:sz w:val="20"/>
              </w:rPr>
              <w:t xml:space="preserve"> </w:t>
            </w:r>
          </w:p>
        </w:tc>
        <w:tc>
          <w:tcPr>
            <w:tcW w:w="3095" w:type="dxa"/>
            <w:tcBorders>
              <w:top w:val="single" w:sz="4" w:space="0" w:color="000000"/>
              <w:left w:val="nil"/>
              <w:bottom w:val="single" w:sz="4" w:space="0" w:color="000000"/>
              <w:right w:val="single" w:sz="4" w:space="0" w:color="000000"/>
            </w:tcBorders>
          </w:tcPr>
          <w:p w:rsidR="006C145C" w:rsidRDefault="006C145C"/>
        </w:tc>
        <w:tc>
          <w:tcPr>
            <w:tcW w:w="1133"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08"/>
            </w:pPr>
            <w:r>
              <w:rPr>
                <w:rFonts w:ascii="Arial" w:eastAsia="Arial" w:hAnsi="Arial" w:cs="Arial"/>
                <w:i/>
                <w:color w:val="FF0000"/>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10"/>
            </w:pPr>
            <w:r>
              <w:rPr>
                <w:rFonts w:ascii="Arial" w:eastAsia="Arial" w:hAnsi="Arial" w:cs="Arial"/>
                <w:i/>
                <w:color w:val="FF0000"/>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08"/>
            </w:pPr>
            <w:r>
              <w:rPr>
                <w:rFonts w:ascii="Arial" w:eastAsia="Arial" w:hAnsi="Arial" w:cs="Arial"/>
                <w:i/>
                <w:color w:val="FF0000"/>
                <w:sz w:val="20"/>
              </w:rPr>
              <w:t xml:space="preserve"> </w:t>
            </w:r>
          </w:p>
        </w:tc>
      </w:tr>
    </w:tbl>
    <w:p w:rsidR="006C145C" w:rsidRDefault="00C62E5A">
      <w:pPr>
        <w:spacing w:after="9"/>
      </w:pPr>
      <w:r>
        <w:rPr>
          <w:rFonts w:ascii="Arial" w:eastAsia="Arial" w:hAnsi="Arial" w:cs="Arial"/>
          <w:sz w:val="20"/>
        </w:rPr>
        <w:t xml:space="preserve"> </w:t>
      </w:r>
    </w:p>
    <w:p w:rsidR="006C145C" w:rsidRDefault="00C62E5A">
      <w:pPr>
        <w:pBdr>
          <w:top w:val="single" w:sz="4" w:space="0" w:color="000080"/>
          <w:left w:val="single" w:sz="4" w:space="0" w:color="000080"/>
          <w:bottom w:val="single" w:sz="4" w:space="0" w:color="000080"/>
          <w:right w:val="single" w:sz="4" w:space="0" w:color="000080"/>
        </w:pBdr>
        <w:shd w:val="clear" w:color="auto" w:fill="FFFFCC"/>
        <w:spacing w:after="4" w:line="250" w:lineRule="auto"/>
        <w:ind w:left="7" w:right="52" w:hanging="10"/>
        <w:jc w:val="both"/>
      </w:pPr>
      <w:r>
        <w:rPr>
          <w:rFonts w:ascii="Arial" w:eastAsia="Arial" w:hAnsi="Arial" w:cs="Arial"/>
          <w:b/>
          <w:i/>
          <w:sz w:val="20"/>
        </w:rPr>
        <w:t>Nota Explicativa:</w:t>
      </w:r>
      <w:r>
        <w:rPr>
          <w:rFonts w:ascii="Arial" w:eastAsia="Arial" w:hAnsi="Arial" w:cs="Arial"/>
          <w:i/>
          <w:sz w:val="20"/>
        </w:rPr>
        <w:t xml:space="preserve"> Utilizar o subitem 1.1.1 acima no caso de registro de preços que conte com órgãos participantes, além do gerenciador. </w:t>
      </w:r>
    </w:p>
    <w:p w:rsidR="006C145C" w:rsidRDefault="00C62E5A">
      <w:pPr>
        <w:pBdr>
          <w:top w:val="single" w:sz="4" w:space="0" w:color="000080"/>
          <w:left w:val="single" w:sz="4" w:space="0" w:color="000080"/>
          <w:bottom w:val="single" w:sz="4" w:space="0" w:color="000080"/>
          <w:right w:val="single" w:sz="4" w:space="0" w:color="000080"/>
        </w:pBdr>
        <w:shd w:val="clear" w:color="auto" w:fill="FFFFCC"/>
        <w:spacing w:after="0"/>
        <w:ind w:left="-3" w:right="52"/>
      </w:pPr>
      <w:r>
        <w:rPr>
          <w:rFonts w:ascii="Arial" w:eastAsia="Arial" w:hAnsi="Arial" w:cs="Arial"/>
          <w:i/>
          <w:sz w:val="20"/>
        </w:rPr>
        <w:t xml:space="preserve"> </w:t>
      </w:r>
    </w:p>
    <w:p w:rsidR="006C145C" w:rsidRDefault="00C62E5A">
      <w:pPr>
        <w:pBdr>
          <w:top w:val="single" w:sz="4" w:space="0" w:color="000080"/>
          <w:left w:val="single" w:sz="4" w:space="0" w:color="000080"/>
          <w:bottom w:val="single" w:sz="4" w:space="0" w:color="000080"/>
          <w:right w:val="single" w:sz="4" w:space="0" w:color="000080"/>
        </w:pBdr>
        <w:shd w:val="clear" w:color="auto" w:fill="FFFFCC"/>
        <w:spacing w:after="4" w:line="250" w:lineRule="auto"/>
        <w:ind w:left="7" w:right="52" w:hanging="10"/>
        <w:jc w:val="both"/>
      </w:pPr>
      <w:r>
        <w:rPr>
          <w:rFonts w:ascii="Arial" w:eastAsia="Arial" w:hAnsi="Arial" w:cs="Arial"/>
          <w:i/>
          <w:sz w:val="20"/>
        </w:rPr>
        <w:t>O art. 6º do Decreto nº 7.892/13 preceitua que o órgão participante deve encaminhar ao órgão gerenciador, sua estimativa de consumo, local de entrega do objeto e, quando couber, o cronograma de contratação. No caso da existência de Órgão Participante, deve</w:t>
      </w:r>
      <w:r>
        <w:rPr>
          <w:rFonts w:ascii="Arial" w:eastAsia="Arial" w:hAnsi="Arial" w:cs="Arial"/>
          <w:i/>
          <w:sz w:val="20"/>
        </w:rPr>
        <w:t xml:space="preserve">-se atentar para as disposições do art. 6º, caput e §5º, do Decreto n. 7.892/13 e art. 24, §§ 5 e 6º da IN nº 5, de 2017. </w:t>
      </w:r>
    </w:p>
    <w:p w:rsidR="006C145C" w:rsidRDefault="00C62E5A">
      <w:pPr>
        <w:pBdr>
          <w:top w:val="single" w:sz="4" w:space="0" w:color="000080"/>
          <w:left w:val="single" w:sz="4" w:space="0" w:color="000080"/>
          <w:bottom w:val="single" w:sz="4" w:space="0" w:color="000080"/>
          <w:right w:val="single" w:sz="4" w:space="0" w:color="000080"/>
        </w:pBdr>
        <w:shd w:val="clear" w:color="auto" w:fill="FFFFCC"/>
        <w:spacing w:after="0"/>
        <w:ind w:left="-3" w:right="52"/>
      </w:pPr>
      <w:r>
        <w:rPr>
          <w:rFonts w:ascii="Arial" w:eastAsia="Arial" w:hAnsi="Arial" w:cs="Arial"/>
          <w:i/>
          <w:sz w:val="20"/>
        </w:rPr>
        <w:t xml:space="preserve"> </w:t>
      </w:r>
    </w:p>
    <w:p w:rsidR="006C145C" w:rsidRDefault="00C62E5A">
      <w:pPr>
        <w:pBdr>
          <w:top w:val="single" w:sz="4" w:space="0" w:color="000080"/>
          <w:left w:val="single" w:sz="4" w:space="0" w:color="000080"/>
          <w:bottom w:val="single" w:sz="4" w:space="0" w:color="000080"/>
          <w:right w:val="single" w:sz="4" w:space="0" w:color="000080"/>
        </w:pBdr>
        <w:shd w:val="clear" w:color="auto" w:fill="FFFFCC"/>
        <w:spacing w:after="4" w:line="250" w:lineRule="auto"/>
        <w:ind w:left="7" w:right="52" w:hanging="10"/>
        <w:jc w:val="both"/>
      </w:pPr>
      <w:r>
        <w:rPr>
          <w:rFonts w:ascii="Arial" w:eastAsia="Arial" w:hAnsi="Arial" w:cs="Arial"/>
          <w:i/>
          <w:sz w:val="20"/>
        </w:rPr>
        <w:t xml:space="preserve">No caso da existência de Órgão Participante, deve-se atentar para as disposições do art. 6º, caput e §5º, do Decreto n. 7.892/13 e </w:t>
      </w:r>
      <w:r>
        <w:rPr>
          <w:rFonts w:ascii="Arial" w:eastAsia="Arial" w:hAnsi="Arial" w:cs="Arial"/>
          <w:i/>
          <w:sz w:val="20"/>
        </w:rPr>
        <w:t xml:space="preserve">art. 24, §§ 5 e 6º da IN nº 5, de 2017, que tratam da produção de estudo preliminar específico dos órgãos/entidades participantes e não participantes. </w:t>
      </w:r>
    </w:p>
    <w:p w:rsidR="006C145C" w:rsidRDefault="00C62E5A">
      <w:pPr>
        <w:pBdr>
          <w:top w:val="single" w:sz="4" w:space="0" w:color="000080"/>
          <w:left w:val="single" w:sz="4" w:space="0" w:color="000080"/>
          <w:bottom w:val="single" w:sz="4" w:space="0" w:color="000080"/>
          <w:right w:val="single" w:sz="4" w:space="0" w:color="000080"/>
        </w:pBdr>
        <w:shd w:val="clear" w:color="auto" w:fill="FFFFCC"/>
        <w:spacing w:after="0"/>
        <w:ind w:left="-3" w:right="52"/>
      </w:pPr>
      <w:r>
        <w:rPr>
          <w:rFonts w:ascii="Arial" w:eastAsia="Arial" w:hAnsi="Arial" w:cs="Arial"/>
          <w:b/>
          <w:i/>
          <w:sz w:val="20"/>
        </w:rPr>
        <w:t xml:space="preserve"> </w:t>
      </w:r>
    </w:p>
    <w:p w:rsidR="006C145C" w:rsidRDefault="00C62E5A">
      <w:pPr>
        <w:pBdr>
          <w:top w:val="single" w:sz="4" w:space="0" w:color="000080"/>
          <w:left w:val="single" w:sz="4" w:space="0" w:color="000080"/>
          <w:bottom w:val="single" w:sz="4" w:space="0" w:color="000080"/>
          <w:right w:val="single" w:sz="4" w:space="0" w:color="000080"/>
        </w:pBdr>
        <w:shd w:val="clear" w:color="auto" w:fill="FFFFCC"/>
        <w:spacing w:after="4" w:line="250" w:lineRule="auto"/>
        <w:ind w:left="7" w:right="52" w:hanging="10"/>
        <w:jc w:val="both"/>
      </w:pPr>
      <w:r>
        <w:rPr>
          <w:rFonts w:ascii="Arial" w:eastAsia="Arial" w:hAnsi="Arial" w:cs="Arial"/>
          <w:b/>
          <w:i/>
          <w:sz w:val="20"/>
        </w:rPr>
        <w:t>Nota explicativa</w:t>
      </w:r>
      <w:r>
        <w:rPr>
          <w:rFonts w:ascii="Arial" w:eastAsia="Arial" w:hAnsi="Arial" w:cs="Arial"/>
          <w:i/>
          <w:sz w:val="20"/>
        </w:rPr>
        <w:t>: Deverão ser observadas pela Administração as orientações expedidas pela Secretaria d</w:t>
      </w:r>
      <w:r>
        <w:rPr>
          <w:rFonts w:ascii="Arial" w:eastAsia="Arial" w:hAnsi="Arial" w:cs="Arial"/>
          <w:i/>
          <w:sz w:val="20"/>
        </w:rPr>
        <w:t xml:space="preserve">e Gestão do Ministério do Planejamento, Desenvolvimento e Gestão </w:t>
      </w:r>
    </w:p>
    <w:p w:rsidR="006C145C" w:rsidRDefault="00C62E5A">
      <w:pPr>
        <w:pBdr>
          <w:top w:val="single" w:sz="4" w:space="0" w:color="000080"/>
          <w:left w:val="single" w:sz="4" w:space="0" w:color="000080"/>
          <w:bottom w:val="single" w:sz="4" w:space="0" w:color="000080"/>
          <w:right w:val="single" w:sz="4" w:space="0" w:color="000080"/>
        </w:pBdr>
        <w:shd w:val="clear" w:color="auto" w:fill="FFFFCC"/>
        <w:spacing w:after="0" w:line="241" w:lineRule="auto"/>
        <w:ind w:left="-3" w:right="52"/>
      </w:pPr>
      <w:hyperlink r:id="rId24" w:anchor="P6">
        <w:r>
          <w:rPr>
            <w:rFonts w:ascii="Arial" w:eastAsia="Arial" w:hAnsi="Arial" w:cs="Arial"/>
            <w:i/>
            <w:sz w:val="20"/>
          </w:rPr>
          <w:t>(</w:t>
        </w:r>
      </w:hyperlink>
      <w:hyperlink r:id="rId25" w:anchor="P6">
        <w:r>
          <w:rPr>
            <w:rFonts w:ascii="Arial" w:eastAsia="Arial" w:hAnsi="Arial" w:cs="Arial"/>
            <w:i/>
            <w:color w:val="000080"/>
            <w:sz w:val="20"/>
            <w:u w:val="single" w:color="000080"/>
          </w:rPr>
          <w:t>https://www.comprasgovernamentais.gov.br/index.php/orientacoes</w:t>
        </w:r>
      </w:hyperlink>
      <w:hyperlink r:id="rId26" w:anchor="P6">
        <w:r>
          <w:rPr>
            <w:rFonts w:ascii="Arial" w:eastAsia="Arial" w:hAnsi="Arial" w:cs="Arial"/>
            <w:i/>
            <w:color w:val="000080"/>
            <w:sz w:val="20"/>
            <w:u w:val="single" w:color="000080"/>
          </w:rPr>
          <w:t>-</w:t>
        </w:r>
      </w:hyperlink>
      <w:hyperlink r:id="rId27" w:anchor="P6">
        <w:r>
          <w:rPr>
            <w:rFonts w:ascii="Arial" w:eastAsia="Arial" w:hAnsi="Arial" w:cs="Arial"/>
            <w:i/>
            <w:color w:val="000080"/>
            <w:sz w:val="20"/>
            <w:u w:val="single" w:color="000080"/>
          </w:rPr>
          <w:t>e</w:t>
        </w:r>
      </w:hyperlink>
      <w:hyperlink r:id="rId28" w:anchor="P6">
        <w:r>
          <w:rPr>
            <w:rFonts w:ascii="Arial" w:eastAsia="Arial" w:hAnsi="Arial" w:cs="Arial"/>
            <w:i/>
            <w:color w:val="000080"/>
            <w:sz w:val="20"/>
            <w:u w:val="single" w:color="000080"/>
          </w:rPr>
          <w:t>-</w:t>
        </w:r>
      </w:hyperlink>
      <w:hyperlink r:id="rId29" w:anchor="P6">
        <w:r>
          <w:rPr>
            <w:rFonts w:ascii="Arial" w:eastAsia="Arial" w:hAnsi="Arial" w:cs="Arial"/>
            <w:i/>
            <w:color w:val="000080"/>
            <w:sz w:val="20"/>
            <w:u w:val="single" w:color="000080"/>
          </w:rPr>
          <w:t>procedimentos/orientacoes</w:t>
        </w:r>
      </w:hyperlink>
      <w:hyperlink r:id="rId30" w:anchor="P6"/>
      <w:hyperlink r:id="rId31" w:anchor="P6">
        <w:r>
          <w:rPr>
            <w:rFonts w:ascii="Arial" w:eastAsia="Arial" w:hAnsi="Arial" w:cs="Arial"/>
            <w:i/>
            <w:color w:val="000080"/>
            <w:sz w:val="20"/>
            <w:u w:val="single" w:color="000080"/>
          </w:rPr>
          <w:t>reformatrabalhista#P6</w:t>
        </w:r>
      </w:hyperlink>
      <w:hyperlink r:id="rId32" w:anchor="P6">
        <w:r>
          <w:rPr>
            <w:rFonts w:ascii="Arial" w:eastAsia="Arial" w:hAnsi="Arial" w:cs="Arial"/>
            <w:i/>
            <w:color w:val="000080"/>
            <w:sz w:val="20"/>
            <w:u w:val="single" w:color="000080"/>
          </w:rPr>
          <w:t>,</w:t>
        </w:r>
      </w:hyperlink>
      <w:r>
        <w:rPr>
          <w:rFonts w:ascii="Arial" w:eastAsia="Arial" w:hAnsi="Arial" w:cs="Arial"/>
          <w:i/>
          <w:color w:val="000080"/>
          <w:sz w:val="20"/>
          <w:u w:val="single" w:color="000080"/>
        </w:rPr>
        <w:t xml:space="preserve"> </w:t>
      </w:r>
      <w:r>
        <w:rPr>
          <w:rFonts w:ascii="Arial" w:eastAsia="Arial" w:hAnsi="Arial" w:cs="Arial"/>
          <w:i/>
          <w:sz w:val="20"/>
        </w:rPr>
        <w:t xml:space="preserve">Acesso em dezembro de 2018), dentre as quais exemplificamos: </w:t>
      </w:r>
    </w:p>
    <w:p w:rsidR="006C145C" w:rsidRDefault="00C62E5A">
      <w:pPr>
        <w:numPr>
          <w:ilvl w:val="0"/>
          <w:numId w:val="13"/>
        </w:numPr>
        <w:pBdr>
          <w:top w:val="single" w:sz="4" w:space="0" w:color="000080"/>
          <w:left w:val="single" w:sz="4" w:space="0" w:color="000080"/>
          <w:bottom w:val="single" w:sz="4" w:space="0" w:color="000080"/>
          <w:right w:val="single" w:sz="4" w:space="0" w:color="000080"/>
        </w:pBdr>
        <w:shd w:val="clear" w:color="auto" w:fill="FFFFCC"/>
        <w:spacing w:after="4" w:line="250" w:lineRule="auto"/>
        <w:ind w:left="120" w:right="52" w:hanging="123"/>
        <w:jc w:val="both"/>
      </w:pPr>
      <w:r>
        <w:rPr>
          <w:rFonts w:ascii="Arial" w:eastAsia="Arial" w:hAnsi="Arial" w:cs="Arial"/>
          <w:i/>
          <w:sz w:val="20"/>
        </w:rPr>
        <w:t xml:space="preserve">impactos da reforma trabalhista (Lei nº 13.467, de 13 de julho de 2017) nos contratos da Administração </w:t>
      </w:r>
    </w:p>
    <w:p w:rsidR="006C145C" w:rsidRDefault="00C62E5A">
      <w:pPr>
        <w:pBdr>
          <w:top w:val="single" w:sz="4" w:space="0" w:color="000080"/>
          <w:left w:val="single" w:sz="4" w:space="0" w:color="000080"/>
          <w:bottom w:val="single" w:sz="4" w:space="0" w:color="000080"/>
          <w:right w:val="single" w:sz="4" w:space="0" w:color="000080"/>
        </w:pBdr>
        <w:shd w:val="clear" w:color="auto" w:fill="FFFFCC"/>
        <w:spacing w:after="4" w:line="250" w:lineRule="auto"/>
        <w:ind w:left="7" w:right="52" w:hanging="10"/>
        <w:jc w:val="both"/>
      </w:pPr>
      <w:r>
        <w:rPr>
          <w:rFonts w:ascii="Arial" w:eastAsia="Arial" w:hAnsi="Arial" w:cs="Arial"/>
          <w:i/>
          <w:sz w:val="20"/>
        </w:rPr>
        <w:t xml:space="preserve">Pública; </w:t>
      </w:r>
    </w:p>
    <w:p w:rsidR="006C145C" w:rsidRDefault="00C62E5A">
      <w:pPr>
        <w:numPr>
          <w:ilvl w:val="0"/>
          <w:numId w:val="13"/>
        </w:numPr>
        <w:pBdr>
          <w:top w:val="single" w:sz="4" w:space="0" w:color="000080"/>
          <w:left w:val="single" w:sz="4" w:space="0" w:color="000080"/>
          <w:bottom w:val="single" w:sz="4" w:space="0" w:color="000080"/>
          <w:right w:val="single" w:sz="4" w:space="0" w:color="000080"/>
        </w:pBdr>
        <w:shd w:val="clear" w:color="auto" w:fill="FFFFCC"/>
        <w:spacing w:after="4" w:line="250" w:lineRule="auto"/>
        <w:ind w:left="120" w:right="52" w:hanging="123"/>
        <w:jc w:val="both"/>
      </w:pPr>
      <w:r>
        <w:rPr>
          <w:rFonts w:ascii="Arial" w:eastAsia="Arial" w:hAnsi="Arial" w:cs="Arial"/>
          <w:i/>
          <w:sz w:val="20"/>
        </w:rPr>
        <w:t xml:space="preserve">Terceirização; </w:t>
      </w:r>
    </w:p>
    <w:p w:rsidR="006C145C" w:rsidRDefault="00C62E5A">
      <w:pPr>
        <w:numPr>
          <w:ilvl w:val="0"/>
          <w:numId w:val="13"/>
        </w:numPr>
        <w:pBdr>
          <w:top w:val="single" w:sz="4" w:space="0" w:color="000080"/>
          <w:left w:val="single" w:sz="4" w:space="0" w:color="000080"/>
          <w:bottom w:val="single" w:sz="4" w:space="0" w:color="000080"/>
          <w:right w:val="single" w:sz="4" w:space="0" w:color="000080"/>
        </w:pBdr>
        <w:shd w:val="clear" w:color="auto" w:fill="FFFFCC"/>
        <w:spacing w:after="4" w:line="250" w:lineRule="auto"/>
        <w:ind w:left="120" w:right="52" w:hanging="123"/>
        <w:jc w:val="both"/>
      </w:pPr>
      <w:r>
        <w:rPr>
          <w:rFonts w:ascii="Arial" w:eastAsia="Arial" w:hAnsi="Arial" w:cs="Arial"/>
          <w:i/>
          <w:sz w:val="20"/>
        </w:rPr>
        <w:t>Orientação aos gestores quando houver na contratação de vigilância quantitativos de postos noturnos igual ou superior ao do no</w:t>
      </w:r>
      <w:r>
        <w:rPr>
          <w:rFonts w:ascii="Arial" w:eastAsia="Arial" w:hAnsi="Arial" w:cs="Arial"/>
          <w:i/>
          <w:sz w:val="20"/>
        </w:rPr>
        <w:t xml:space="preserve">turno; </w:t>
      </w:r>
    </w:p>
    <w:p w:rsidR="006C145C" w:rsidRDefault="00C62E5A">
      <w:pPr>
        <w:numPr>
          <w:ilvl w:val="0"/>
          <w:numId w:val="13"/>
        </w:numPr>
        <w:pBdr>
          <w:top w:val="single" w:sz="4" w:space="0" w:color="000080"/>
          <w:left w:val="single" w:sz="4" w:space="0" w:color="000080"/>
          <w:bottom w:val="single" w:sz="4" w:space="0" w:color="000080"/>
          <w:right w:val="single" w:sz="4" w:space="0" w:color="000080"/>
        </w:pBdr>
        <w:shd w:val="clear" w:color="auto" w:fill="FFFFCC"/>
        <w:spacing w:after="4" w:line="250" w:lineRule="auto"/>
        <w:ind w:left="120" w:right="52" w:hanging="123"/>
        <w:jc w:val="both"/>
      </w:pPr>
      <w:hyperlink r:id="rId33">
        <w:r>
          <w:rPr>
            <w:rFonts w:ascii="Arial" w:eastAsia="Arial" w:hAnsi="Arial" w:cs="Arial"/>
            <w:i/>
            <w:sz w:val="20"/>
          </w:rPr>
          <w:t>Orientação aos gestores para aplicação do Decreto nº 8.538/201</w:t>
        </w:r>
        <w:r>
          <w:rPr>
            <w:rFonts w:ascii="Arial" w:eastAsia="Arial" w:hAnsi="Arial" w:cs="Arial"/>
            <w:i/>
            <w:sz w:val="20"/>
          </w:rPr>
          <w:t>5;</w:t>
        </w:r>
      </w:hyperlink>
      <w:r>
        <w:rPr>
          <w:rFonts w:ascii="Arial" w:eastAsia="Arial" w:hAnsi="Arial" w:cs="Arial"/>
          <w:i/>
          <w:sz w:val="20"/>
        </w:rPr>
        <w:t xml:space="preserve"> e </w:t>
      </w:r>
    </w:p>
    <w:p w:rsidR="006C145C" w:rsidRDefault="00C62E5A">
      <w:pPr>
        <w:numPr>
          <w:ilvl w:val="0"/>
          <w:numId w:val="13"/>
        </w:numPr>
        <w:pBdr>
          <w:top w:val="single" w:sz="4" w:space="0" w:color="000080"/>
          <w:left w:val="single" w:sz="4" w:space="0" w:color="000080"/>
          <w:bottom w:val="single" w:sz="4" w:space="0" w:color="000080"/>
          <w:right w:val="single" w:sz="4" w:space="0" w:color="000080"/>
        </w:pBdr>
        <w:shd w:val="clear" w:color="auto" w:fill="FFFFCC"/>
        <w:spacing w:after="4" w:line="250" w:lineRule="auto"/>
        <w:ind w:left="121" w:right="26" w:hanging="123"/>
        <w:jc w:val="both"/>
      </w:pPr>
      <w:r>
        <w:rPr>
          <w:rFonts w:ascii="Arial" w:eastAsia="Arial" w:hAnsi="Arial" w:cs="Arial"/>
          <w:i/>
          <w:sz w:val="20"/>
        </w:rPr>
        <w:lastRenderedPageBreak/>
        <w:t xml:space="preserve">Orientações gerais para planilha de custos e formação de preços, entre outros. </w:t>
      </w:r>
    </w:p>
    <w:p w:rsidR="006C145C" w:rsidRDefault="00C62E5A">
      <w:pPr>
        <w:pBdr>
          <w:top w:val="single" w:sz="4" w:space="0" w:color="000080"/>
          <w:left w:val="single" w:sz="4" w:space="0" w:color="000080"/>
          <w:bottom w:val="single" w:sz="4" w:space="0" w:color="000080"/>
          <w:right w:val="single" w:sz="4" w:space="0" w:color="000080"/>
        </w:pBdr>
        <w:shd w:val="clear" w:color="auto" w:fill="FFFFCC"/>
        <w:spacing w:after="14"/>
        <w:ind w:left="-2" w:right="26"/>
      </w:pPr>
      <w:r>
        <w:rPr>
          <w:rFonts w:ascii="Arial" w:eastAsia="Arial" w:hAnsi="Arial" w:cs="Arial"/>
          <w:i/>
          <w:sz w:val="20"/>
        </w:rPr>
        <w:t xml:space="preserve"> </w:t>
      </w:r>
    </w:p>
    <w:p w:rsidR="006C145C" w:rsidRDefault="00C62E5A">
      <w:pPr>
        <w:spacing w:after="101"/>
      </w:pPr>
      <w:r>
        <w:rPr>
          <w:rFonts w:ascii="Arial" w:eastAsia="Arial" w:hAnsi="Arial" w:cs="Arial"/>
          <w:sz w:val="20"/>
        </w:rPr>
        <w:t xml:space="preserve"> </w:t>
      </w:r>
    </w:p>
    <w:p w:rsidR="006C145C" w:rsidRDefault="00C62E5A">
      <w:pPr>
        <w:numPr>
          <w:ilvl w:val="1"/>
          <w:numId w:val="14"/>
        </w:numPr>
        <w:spacing w:after="129" w:line="270" w:lineRule="auto"/>
        <w:ind w:right="56" w:hanging="360"/>
        <w:jc w:val="both"/>
      </w:pPr>
      <w:r>
        <w:rPr>
          <w:rFonts w:ascii="Arial" w:eastAsia="Arial" w:hAnsi="Arial" w:cs="Arial"/>
          <w:sz w:val="20"/>
        </w:rPr>
        <w:t>O objeto da licitação tem a natureza de serviço comum de</w:t>
      </w:r>
      <w:r>
        <w:rPr>
          <w:rFonts w:ascii="Arial" w:eastAsia="Arial" w:hAnsi="Arial" w:cs="Arial"/>
          <w:i/>
          <w:sz w:val="20"/>
        </w:rPr>
        <w:t xml:space="preserve"> </w:t>
      </w:r>
      <w:r>
        <w:rPr>
          <w:rFonts w:ascii="Arial" w:eastAsia="Arial" w:hAnsi="Arial" w:cs="Arial"/>
          <w:i/>
          <w:color w:val="FF0000"/>
          <w:sz w:val="20"/>
        </w:rPr>
        <w:t xml:space="preserve">______________. </w:t>
      </w:r>
    </w:p>
    <w:p w:rsidR="006C145C" w:rsidRDefault="00C62E5A">
      <w:pPr>
        <w:numPr>
          <w:ilvl w:val="1"/>
          <w:numId w:val="14"/>
        </w:numPr>
        <w:spacing w:after="129" w:line="270" w:lineRule="auto"/>
        <w:ind w:right="56" w:hanging="360"/>
        <w:jc w:val="both"/>
      </w:pPr>
      <w:r>
        <w:rPr>
          <w:rFonts w:ascii="Arial" w:eastAsia="Arial" w:hAnsi="Arial" w:cs="Arial"/>
          <w:sz w:val="20"/>
        </w:rPr>
        <w:t xml:space="preserve">Os quantitativos e respectivos códigos dos itens são os discriminados na tabela acima. </w:t>
      </w:r>
    </w:p>
    <w:p w:rsidR="006C145C" w:rsidRDefault="00C62E5A">
      <w:pPr>
        <w:numPr>
          <w:ilvl w:val="1"/>
          <w:numId w:val="14"/>
        </w:numPr>
        <w:spacing w:after="130" w:line="270" w:lineRule="auto"/>
        <w:ind w:right="56" w:hanging="360"/>
        <w:jc w:val="both"/>
      </w:pPr>
      <w:r>
        <w:rPr>
          <w:rFonts w:ascii="Arial" w:eastAsia="Arial" w:hAnsi="Arial" w:cs="Arial"/>
          <w:sz w:val="20"/>
        </w:rPr>
        <w:t>A presente contratação adotará como regime de execução a ...</w:t>
      </w:r>
      <w:r>
        <w:rPr>
          <w:rFonts w:ascii="Arial" w:eastAsia="Arial" w:hAnsi="Arial" w:cs="Arial"/>
          <w:i/>
          <w:sz w:val="20"/>
        </w:rPr>
        <w:t xml:space="preserve"> </w:t>
      </w:r>
      <w:r>
        <w:rPr>
          <w:rFonts w:ascii="Arial" w:eastAsia="Arial" w:hAnsi="Arial" w:cs="Arial"/>
          <w:i/>
          <w:color w:val="FF0000"/>
          <w:sz w:val="20"/>
        </w:rPr>
        <w:t xml:space="preserve">(Empreitada por Preço Unitário/Empreitada por Preço Global/Execução por Tarefa/Empreitada Integral) </w:t>
      </w:r>
    </w:p>
    <w:p w:rsidR="006C145C" w:rsidRDefault="00C62E5A">
      <w:pPr>
        <w:numPr>
          <w:ilvl w:val="1"/>
          <w:numId w:val="14"/>
        </w:numPr>
        <w:spacing w:after="130" w:line="270" w:lineRule="auto"/>
        <w:ind w:right="56" w:hanging="360"/>
        <w:jc w:val="both"/>
      </w:pPr>
      <w:r>
        <w:rPr>
          <w:rFonts w:ascii="Arial" w:eastAsia="Arial" w:hAnsi="Arial" w:cs="Arial"/>
          <w:i/>
          <w:color w:val="FF0000"/>
          <w:sz w:val="20"/>
        </w:rPr>
        <w:t xml:space="preserve">O contrato terá vigência pelo período de ____ (dias/meses), não sendo prorrogável na forma do </w:t>
      </w:r>
      <w:r>
        <w:rPr>
          <w:rFonts w:ascii="Arial" w:eastAsia="Arial" w:hAnsi="Arial" w:cs="Arial"/>
          <w:i/>
          <w:color w:val="FF0000"/>
          <w:sz w:val="20"/>
        </w:rPr>
        <w:t xml:space="preserve">art. 57, II, da Lei de Licitações </w:t>
      </w:r>
    </w:p>
    <w:p w:rsidR="006C145C" w:rsidRDefault="00C62E5A">
      <w:pPr>
        <w:pStyle w:val="Ttulo4"/>
        <w:spacing w:after="136" w:line="259" w:lineRule="auto"/>
        <w:ind w:left="435"/>
        <w:jc w:val="left"/>
      </w:pPr>
      <w:r>
        <w:rPr>
          <w:i/>
          <w:color w:val="FF0000"/>
        </w:rPr>
        <w:t xml:space="preserve">OU </w:t>
      </w:r>
    </w:p>
    <w:p w:rsidR="006C145C" w:rsidRDefault="00C62E5A">
      <w:pPr>
        <w:spacing w:after="130" w:line="270" w:lineRule="auto"/>
        <w:ind w:left="420" w:right="58" w:hanging="10"/>
        <w:jc w:val="both"/>
      </w:pPr>
      <w:r>
        <w:rPr>
          <w:rFonts w:ascii="Arial" w:eastAsia="Arial" w:hAnsi="Arial" w:cs="Arial"/>
          <w:i/>
          <w:color w:val="FF0000"/>
          <w:sz w:val="20"/>
        </w:rPr>
        <w:t xml:space="preserve">1.5.           O prazo de vigência do contrato é de _____ (meses, anos), podendo ser prorrogado por interesse das partes até o limite de 60 (sessenta) meses, com base no artigo 57, II, da Lei 8.666, de 1993 </w:t>
      </w:r>
    </w:p>
    <w:p w:rsidR="006C145C" w:rsidRDefault="00C62E5A">
      <w:pPr>
        <w:spacing w:after="6" w:line="270" w:lineRule="auto"/>
        <w:ind w:left="1068" w:right="54" w:hanging="360"/>
        <w:jc w:val="both"/>
      </w:pPr>
      <w:r>
        <w:rPr>
          <w:rFonts w:ascii="Arial" w:eastAsia="Arial" w:hAnsi="Arial" w:cs="Arial"/>
          <w:sz w:val="20"/>
        </w:rPr>
        <w:t xml:space="preserve">1.6   </w:t>
      </w:r>
      <w:r>
        <w:rPr>
          <w:rFonts w:ascii="Arial" w:eastAsia="Arial" w:hAnsi="Arial" w:cs="Arial"/>
          <w:b/>
          <w:sz w:val="20"/>
        </w:rPr>
        <w:t>Ser</w:t>
      </w:r>
      <w:r>
        <w:rPr>
          <w:rFonts w:ascii="Arial" w:eastAsia="Arial" w:hAnsi="Arial" w:cs="Arial"/>
          <w:b/>
          <w:sz w:val="20"/>
        </w:rPr>
        <w:t>viço Contínuo</w:t>
      </w:r>
      <w:r>
        <w:rPr>
          <w:rFonts w:ascii="Arial" w:eastAsia="Arial" w:hAnsi="Arial" w:cs="Arial"/>
          <w:sz w:val="20"/>
        </w:rPr>
        <w:t xml:space="preserve">: Informar se é contínuo ou não contínuo. Justificar motivadamente nos dois casos. Os serviços contínuos são aqueles que, pela sua essencialidade, visam atender a necessidade pública de forma permanente e contínua, de modo que sua interrupção </w:t>
      </w:r>
      <w:r>
        <w:rPr>
          <w:rFonts w:ascii="Arial" w:eastAsia="Arial" w:hAnsi="Arial" w:cs="Arial"/>
          <w:sz w:val="20"/>
        </w:rPr>
        <w:t>possa comprometer a prestação de um serviço público ou o cumprimento da missão institucional. Os serviços contínuos podem ter seus contratos prorrogados até o limite de 60 meses. Os serviços considerados não continuados são aqueles que impõem aos contratad</w:t>
      </w:r>
      <w:r>
        <w:rPr>
          <w:rFonts w:ascii="Arial" w:eastAsia="Arial" w:hAnsi="Arial" w:cs="Arial"/>
          <w:sz w:val="20"/>
        </w:rPr>
        <w:t xml:space="preserve">os o dever de realizar a prestação de um serviço específico em um período predeterminado, podendo ser prorrogado. (IN 05/2017 MPOG). </w:t>
      </w:r>
    </w:p>
    <w:p w:rsidR="006C145C" w:rsidRDefault="00C62E5A">
      <w:pPr>
        <w:spacing w:after="7" w:line="270" w:lineRule="auto"/>
        <w:ind w:left="1068" w:right="54" w:hanging="360"/>
        <w:jc w:val="both"/>
      </w:pPr>
      <w:r>
        <w:rPr>
          <w:rFonts w:ascii="Arial" w:eastAsia="Arial" w:hAnsi="Arial" w:cs="Arial"/>
          <w:sz w:val="20"/>
        </w:rPr>
        <w:t xml:space="preserve">1.7  </w:t>
      </w:r>
      <w:r>
        <w:rPr>
          <w:rFonts w:ascii="Arial" w:eastAsia="Arial" w:hAnsi="Arial" w:cs="Arial"/>
          <w:b/>
          <w:sz w:val="20"/>
        </w:rPr>
        <w:t>Grupo</w:t>
      </w:r>
      <w:r>
        <w:rPr>
          <w:rFonts w:ascii="Arial" w:eastAsia="Arial" w:hAnsi="Arial" w:cs="Arial"/>
          <w:sz w:val="20"/>
        </w:rPr>
        <w:t xml:space="preserve">: Deve estar informado se existe agrupamento de itens e em que disposição se encontra. Exemplo: Sim, 5 itens em um grupo único ou Sim, 4 grupos com 10 itens cada. </w:t>
      </w:r>
    </w:p>
    <w:p w:rsidR="006C145C" w:rsidRDefault="00C62E5A">
      <w:pPr>
        <w:spacing w:after="7" w:line="270" w:lineRule="auto"/>
        <w:ind w:left="1068" w:right="54" w:hanging="360"/>
        <w:jc w:val="both"/>
      </w:pPr>
      <w:r>
        <w:rPr>
          <w:rFonts w:ascii="Arial" w:eastAsia="Arial" w:hAnsi="Arial" w:cs="Arial"/>
          <w:sz w:val="20"/>
        </w:rPr>
        <w:t xml:space="preserve">1.8 </w:t>
      </w:r>
      <w:r>
        <w:rPr>
          <w:rFonts w:ascii="Arial" w:eastAsia="Arial" w:hAnsi="Arial" w:cs="Arial"/>
          <w:b/>
          <w:sz w:val="20"/>
        </w:rPr>
        <w:t>Justificativa de Agrupamento</w:t>
      </w:r>
      <w:r>
        <w:rPr>
          <w:rFonts w:ascii="Arial" w:eastAsia="Arial" w:hAnsi="Arial" w:cs="Arial"/>
          <w:sz w:val="20"/>
        </w:rPr>
        <w:t>: Em caso de agrupamento deve estar informada a justificativ</w:t>
      </w:r>
      <w:r>
        <w:rPr>
          <w:rFonts w:ascii="Arial" w:eastAsia="Arial" w:hAnsi="Arial" w:cs="Arial"/>
          <w:sz w:val="20"/>
        </w:rPr>
        <w:t xml:space="preserve">a do agrupamento. </w:t>
      </w:r>
    </w:p>
    <w:p w:rsidR="006C145C" w:rsidRDefault="00C62E5A">
      <w:pPr>
        <w:spacing w:after="6" w:line="270" w:lineRule="auto"/>
        <w:ind w:left="1068" w:right="54" w:hanging="360"/>
        <w:jc w:val="both"/>
      </w:pPr>
      <w:r>
        <w:rPr>
          <w:rFonts w:ascii="Arial" w:eastAsia="Arial" w:hAnsi="Arial" w:cs="Arial"/>
          <w:sz w:val="20"/>
        </w:rPr>
        <w:t xml:space="preserve">1.9 </w:t>
      </w:r>
      <w:r>
        <w:rPr>
          <w:rFonts w:ascii="Arial" w:eastAsia="Arial" w:hAnsi="Arial" w:cs="Arial"/>
          <w:b/>
          <w:sz w:val="20"/>
        </w:rPr>
        <w:t>Aplicabilidade das margens de preferência previstas no art. 5º do Decreto nº 7.174, de 12 de maio de 2010 (contratação de bens e serviços de informática e automação):</w:t>
      </w:r>
      <w:r>
        <w:rPr>
          <w:rFonts w:ascii="Arial" w:eastAsia="Arial" w:hAnsi="Arial" w:cs="Arial"/>
          <w:sz w:val="20"/>
        </w:rPr>
        <w:t xml:space="preserve"> Deve estar informado se é aplicável ou não a as margens de preferê</w:t>
      </w:r>
      <w:r>
        <w:rPr>
          <w:rFonts w:ascii="Arial" w:eastAsia="Arial" w:hAnsi="Arial" w:cs="Arial"/>
          <w:sz w:val="20"/>
        </w:rPr>
        <w:t xml:space="preserve">ncia previstas no Art. 5º do Decreto nº 7.174, de 12 de maio de 2010 (contratação de bens e serviços de informática e automação). É necessário conter a justificativa. </w:t>
      </w:r>
    </w:p>
    <w:p w:rsidR="006C145C" w:rsidRDefault="00C62E5A">
      <w:pPr>
        <w:spacing w:after="6" w:line="270" w:lineRule="auto"/>
        <w:ind w:left="1068" w:right="54" w:hanging="360"/>
        <w:jc w:val="both"/>
      </w:pPr>
      <w:r>
        <w:rPr>
          <w:rFonts w:ascii="Arial" w:eastAsia="Arial" w:hAnsi="Arial" w:cs="Arial"/>
          <w:sz w:val="20"/>
        </w:rPr>
        <w:t xml:space="preserve">1.10 </w:t>
      </w:r>
      <w:r>
        <w:rPr>
          <w:rFonts w:ascii="Arial" w:eastAsia="Arial" w:hAnsi="Arial" w:cs="Arial"/>
          <w:b/>
          <w:sz w:val="20"/>
        </w:rPr>
        <w:t>Participação de Consórcios ou Empresas Estrangeiras</w:t>
      </w:r>
      <w:r>
        <w:rPr>
          <w:rFonts w:ascii="Arial" w:eastAsia="Arial" w:hAnsi="Arial" w:cs="Arial"/>
          <w:sz w:val="20"/>
        </w:rPr>
        <w:t>: Deve estar informado se permit</w:t>
      </w:r>
      <w:r>
        <w:rPr>
          <w:rFonts w:ascii="Arial" w:eastAsia="Arial" w:hAnsi="Arial" w:cs="Arial"/>
          <w:sz w:val="20"/>
        </w:rPr>
        <w:t xml:space="preserve">e participação de Consórcios ou empresas estrangeiras. A resposta deve ser justificada. </w:t>
      </w:r>
    </w:p>
    <w:p w:rsidR="006C145C" w:rsidRDefault="00C62E5A">
      <w:pPr>
        <w:tabs>
          <w:tab w:val="center" w:pos="1016"/>
          <w:tab w:val="center" w:pos="4042"/>
        </w:tabs>
        <w:spacing w:after="14" w:line="270" w:lineRule="auto"/>
      </w:pPr>
      <w:r>
        <w:tab/>
      </w:r>
      <w:r>
        <w:rPr>
          <w:rFonts w:ascii="Arial" w:eastAsia="Arial" w:hAnsi="Arial" w:cs="Arial"/>
          <w:sz w:val="20"/>
        </w:rPr>
        <w:t xml:space="preserve">1.11 </w:t>
      </w:r>
      <w:r>
        <w:rPr>
          <w:rFonts w:ascii="Arial" w:eastAsia="Arial" w:hAnsi="Arial" w:cs="Arial"/>
          <w:sz w:val="20"/>
        </w:rPr>
        <w:tab/>
      </w:r>
      <w:r>
        <w:rPr>
          <w:rFonts w:ascii="Arial" w:eastAsia="Arial" w:hAnsi="Arial" w:cs="Arial"/>
          <w:b/>
          <w:sz w:val="20"/>
        </w:rPr>
        <w:t>Tipo de licitação</w:t>
      </w:r>
      <w:r>
        <w:rPr>
          <w:rFonts w:ascii="Arial" w:eastAsia="Arial" w:hAnsi="Arial" w:cs="Arial"/>
          <w:sz w:val="20"/>
        </w:rPr>
        <w:t xml:space="preserve">: Por se tratar de pregão: Menor preço. </w:t>
      </w:r>
    </w:p>
    <w:p w:rsidR="006C145C" w:rsidRDefault="00C62E5A">
      <w:pPr>
        <w:spacing w:after="7" w:line="270" w:lineRule="auto"/>
        <w:ind w:left="1068" w:right="54" w:hanging="360"/>
        <w:jc w:val="both"/>
      </w:pPr>
      <w:r>
        <w:rPr>
          <w:rFonts w:ascii="Arial" w:eastAsia="Arial" w:hAnsi="Arial" w:cs="Arial"/>
          <w:sz w:val="20"/>
        </w:rPr>
        <w:t xml:space="preserve">1.12  </w:t>
      </w:r>
      <w:r>
        <w:rPr>
          <w:rFonts w:ascii="Arial" w:eastAsia="Arial" w:hAnsi="Arial" w:cs="Arial"/>
          <w:b/>
          <w:sz w:val="20"/>
        </w:rPr>
        <w:t>Relação de Índices Contábeis</w:t>
      </w:r>
      <w:r>
        <w:rPr>
          <w:rFonts w:ascii="Arial" w:eastAsia="Arial" w:hAnsi="Arial" w:cs="Arial"/>
          <w:sz w:val="20"/>
        </w:rPr>
        <w:t xml:space="preserve">: </w:t>
      </w:r>
      <w:r>
        <w:rPr>
          <w:rFonts w:ascii="Arial" w:eastAsia="Arial" w:hAnsi="Arial" w:cs="Arial"/>
          <w:sz w:val="20"/>
        </w:rPr>
        <w:t xml:space="preserve">Declaro que concordo com a utilização da relação de Índices Contábeis exigidas no edital padrão para fins de qualificação econômico-financeira. A supressão ou inclusão de índices do edital padrão exige justificativa técnica. </w:t>
      </w:r>
    </w:p>
    <w:p w:rsidR="006C145C" w:rsidRDefault="00C62E5A">
      <w:pPr>
        <w:spacing w:after="8" w:line="270" w:lineRule="auto"/>
        <w:ind w:left="1068" w:right="54" w:hanging="360"/>
        <w:jc w:val="both"/>
      </w:pPr>
      <w:r>
        <w:rPr>
          <w:rFonts w:ascii="Arial" w:eastAsia="Arial" w:hAnsi="Arial" w:cs="Arial"/>
          <w:sz w:val="20"/>
        </w:rPr>
        <w:t xml:space="preserve">1.13 </w:t>
      </w:r>
      <w:r>
        <w:rPr>
          <w:rFonts w:ascii="Arial" w:eastAsia="Arial" w:hAnsi="Arial" w:cs="Arial"/>
          <w:b/>
          <w:sz w:val="20"/>
        </w:rPr>
        <w:t>Exclusividade/Benefício M</w:t>
      </w:r>
      <w:r>
        <w:rPr>
          <w:rFonts w:ascii="Arial" w:eastAsia="Arial" w:hAnsi="Arial" w:cs="Arial"/>
          <w:b/>
          <w:sz w:val="20"/>
        </w:rPr>
        <w:t>E/EPP</w:t>
      </w:r>
      <w:r>
        <w:rPr>
          <w:rFonts w:ascii="Arial" w:eastAsia="Arial" w:hAnsi="Arial" w:cs="Arial"/>
          <w:sz w:val="20"/>
        </w:rPr>
        <w:t xml:space="preserve">: Deve ser informado se é aplicável ou não. Justificar motivadamente nos dois casos. </w:t>
      </w:r>
    </w:p>
    <w:p w:rsidR="006C145C" w:rsidRDefault="00C62E5A">
      <w:pPr>
        <w:spacing w:after="129" w:line="270" w:lineRule="auto"/>
        <w:ind w:left="1068" w:right="54" w:hanging="360"/>
        <w:jc w:val="both"/>
      </w:pPr>
      <w:r>
        <w:rPr>
          <w:rFonts w:ascii="Arial" w:eastAsia="Arial" w:hAnsi="Arial" w:cs="Arial"/>
          <w:sz w:val="20"/>
        </w:rPr>
        <w:t xml:space="preserve">1.14 </w:t>
      </w:r>
      <w:r>
        <w:rPr>
          <w:rFonts w:ascii="Arial" w:eastAsia="Arial" w:hAnsi="Arial" w:cs="Arial"/>
          <w:b/>
          <w:sz w:val="20"/>
        </w:rPr>
        <w:t>Sustentabilidade</w:t>
      </w:r>
      <w:r>
        <w:rPr>
          <w:rFonts w:ascii="Arial" w:eastAsia="Arial" w:hAnsi="Arial" w:cs="Arial"/>
          <w:sz w:val="20"/>
        </w:rPr>
        <w:t>: A Administração deve observar o Decreto 7746/12, que regulamentou o artigo 3, “caput”, da Lei 8.666/93, a Lei 12.305/10 – Política Nacional de</w:t>
      </w:r>
      <w:r>
        <w:rPr>
          <w:rFonts w:ascii="Arial" w:eastAsia="Arial" w:hAnsi="Arial" w:cs="Arial"/>
          <w:sz w:val="20"/>
        </w:rPr>
        <w:t xml:space="preserve"> Resíduos Sólidos, a Instrução Normativa SLTI/MP n. 1, de 19/01/10, e a legislação e normas ambientais, no que incidentes. Indicamos a consulta ao Guia Nacional de Licitações Sustentáveis, disponibilizado pela Consultoria-Geral da União. </w:t>
      </w:r>
    </w:p>
    <w:p w:rsidR="006C145C" w:rsidRDefault="00C62E5A">
      <w:pPr>
        <w:spacing w:after="129" w:line="270" w:lineRule="auto"/>
        <w:ind w:left="1426" w:right="54" w:hanging="8"/>
        <w:jc w:val="both"/>
      </w:pPr>
      <w:r>
        <w:rPr>
          <w:rFonts w:ascii="Arial" w:eastAsia="Arial" w:hAnsi="Arial" w:cs="Arial"/>
          <w:sz w:val="20"/>
        </w:rPr>
        <w:t>1.14.1 Uma vez ex</w:t>
      </w:r>
      <w:r>
        <w:rPr>
          <w:rFonts w:ascii="Arial" w:eastAsia="Arial" w:hAnsi="Arial" w:cs="Arial"/>
          <w:sz w:val="20"/>
        </w:rPr>
        <w:t>igido qualquer requisito ambiental na especificação do objeto, deve ser prevista a forma de comprovação de seu respectivo cumprimento na fase de aceitação da proposta, por meio da apresentação de certificação emitida por instituição pública oficial ou inst</w:t>
      </w:r>
      <w:r>
        <w:rPr>
          <w:rFonts w:ascii="Arial" w:eastAsia="Arial" w:hAnsi="Arial" w:cs="Arial"/>
          <w:sz w:val="20"/>
        </w:rPr>
        <w:t xml:space="preserve">ituição credenciada, ou por outro meio de prova que ateste que o serviço fornecido atende às exigências (§ 1° do art. 5° da citada Instrução Normativa). </w:t>
      </w:r>
    </w:p>
    <w:p w:rsidR="006C145C" w:rsidRDefault="00C62E5A">
      <w:pPr>
        <w:spacing w:after="129" w:line="270" w:lineRule="auto"/>
        <w:ind w:left="1068" w:right="54" w:hanging="360"/>
        <w:jc w:val="both"/>
      </w:pPr>
      <w:r>
        <w:rPr>
          <w:rFonts w:ascii="Arial" w:eastAsia="Arial" w:hAnsi="Arial" w:cs="Arial"/>
          <w:sz w:val="20"/>
        </w:rPr>
        <w:lastRenderedPageBreak/>
        <w:t xml:space="preserve">1.15 </w:t>
      </w:r>
      <w:r>
        <w:rPr>
          <w:rFonts w:ascii="Arial" w:eastAsia="Arial" w:hAnsi="Arial" w:cs="Arial"/>
          <w:b/>
          <w:sz w:val="20"/>
        </w:rPr>
        <w:t>Contato do responsável</w:t>
      </w:r>
      <w:r>
        <w:rPr>
          <w:rFonts w:ascii="Arial" w:eastAsia="Arial" w:hAnsi="Arial" w:cs="Arial"/>
          <w:sz w:val="20"/>
        </w:rPr>
        <w:t>: Deve ser informado o endereço eletrônico e telefone (ramal) do responsáve</w:t>
      </w:r>
      <w:r>
        <w:rPr>
          <w:rFonts w:ascii="Arial" w:eastAsia="Arial" w:hAnsi="Arial" w:cs="Arial"/>
          <w:sz w:val="20"/>
        </w:rPr>
        <w:t xml:space="preserve">l pela elaboração do Termo de Referência. </w:t>
      </w:r>
    </w:p>
    <w:p w:rsidR="006C145C" w:rsidRDefault="00C62E5A">
      <w:pPr>
        <w:spacing w:after="163"/>
        <w:ind w:left="425"/>
      </w:pPr>
      <w:r>
        <w:rPr>
          <w:rFonts w:ascii="Arial" w:eastAsia="Arial" w:hAnsi="Arial" w:cs="Arial"/>
          <w:b/>
          <w:i/>
          <w:sz w:val="20"/>
        </w:rPr>
        <w:t xml:space="preserve"> </w:t>
      </w:r>
    </w:p>
    <w:p w:rsidR="006C145C" w:rsidRDefault="00C62E5A">
      <w:pPr>
        <w:pBdr>
          <w:top w:val="single" w:sz="4" w:space="0" w:color="000080"/>
          <w:left w:val="single" w:sz="4" w:space="0" w:color="000080"/>
          <w:bottom w:val="single" w:sz="4" w:space="0" w:color="000080"/>
          <w:right w:val="single" w:sz="4" w:space="0" w:color="000080"/>
        </w:pBdr>
        <w:shd w:val="clear" w:color="auto" w:fill="FFFFCC"/>
        <w:spacing w:after="0"/>
        <w:ind w:left="-3" w:right="52"/>
      </w:pPr>
      <w:r>
        <w:rPr>
          <w:rFonts w:ascii="Arial" w:eastAsia="Arial" w:hAnsi="Arial" w:cs="Arial"/>
          <w:b/>
          <w:i/>
          <w:sz w:val="20"/>
        </w:rPr>
        <w:t>Nota explicativa 1</w:t>
      </w:r>
      <w:r>
        <w:rPr>
          <w:rFonts w:ascii="Arial" w:eastAsia="Arial" w:hAnsi="Arial" w:cs="Arial"/>
          <w:i/>
          <w:sz w:val="20"/>
        </w:rPr>
        <w:t xml:space="preserve">: </w:t>
      </w:r>
      <w:r>
        <w:rPr>
          <w:rFonts w:ascii="Arial" w:eastAsia="Arial" w:hAnsi="Arial" w:cs="Arial"/>
          <w:b/>
          <w:i/>
          <w:sz w:val="20"/>
        </w:rPr>
        <w:t xml:space="preserve">Indicação da possibilidade ou não de prorrogação. </w:t>
      </w:r>
    </w:p>
    <w:p w:rsidR="006C145C" w:rsidRDefault="00C62E5A">
      <w:pPr>
        <w:pBdr>
          <w:top w:val="single" w:sz="4" w:space="0" w:color="000080"/>
          <w:left w:val="single" w:sz="4" w:space="0" w:color="000080"/>
          <w:bottom w:val="single" w:sz="4" w:space="0" w:color="000080"/>
          <w:right w:val="single" w:sz="4" w:space="0" w:color="000080"/>
        </w:pBdr>
        <w:shd w:val="clear" w:color="auto" w:fill="FFFFCC"/>
        <w:spacing w:after="4" w:line="250" w:lineRule="auto"/>
        <w:ind w:left="7" w:right="52" w:hanging="10"/>
        <w:jc w:val="both"/>
      </w:pPr>
      <w:r>
        <w:rPr>
          <w:rFonts w:ascii="Arial" w:eastAsia="Arial" w:hAnsi="Arial" w:cs="Arial"/>
          <w:i/>
          <w:sz w:val="20"/>
        </w:rPr>
        <w:t>A indicação da possibilidade ou não de prorrogação no TR é exigência expressa do art. 30, I da IN 05/2017 –</w:t>
      </w:r>
      <w:r>
        <w:rPr>
          <w:rFonts w:ascii="Arial" w:eastAsia="Arial" w:hAnsi="Arial" w:cs="Arial"/>
          <w:i/>
          <w:sz w:val="20"/>
        </w:rPr>
        <w:t xml:space="preserve">MP/SEGES e disposição 2.1 “a.3”, de seu anexo V. </w:t>
      </w:r>
    </w:p>
    <w:p w:rsidR="006C145C" w:rsidRDefault="00C62E5A">
      <w:pPr>
        <w:pBdr>
          <w:top w:val="single" w:sz="4" w:space="0" w:color="000080"/>
          <w:left w:val="single" w:sz="4" w:space="0" w:color="000080"/>
          <w:bottom w:val="single" w:sz="4" w:space="0" w:color="000080"/>
          <w:right w:val="single" w:sz="4" w:space="0" w:color="000080"/>
        </w:pBdr>
        <w:shd w:val="clear" w:color="auto" w:fill="FFFFCC"/>
        <w:spacing w:after="170" w:line="250" w:lineRule="auto"/>
        <w:ind w:left="7" w:right="52" w:hanging="10"/>
        <w:jc w:val="both"/>
      </w:pPr>
      <w:r>
        <w:rPr>
          <w:rFonts w:ascii="Arial" w:eastAsia="Arial" w:hAnsi="Arial" w:cs="Arial"/>
          <w:i/>
          <w:sz w:val="20"/>
        </w:rPr>
        <w:t>Nos contratos que se amoldem nas hipóteses do art. 57 do Lei nº 8.666/93, dos cita-se, em especial, os de serviços contínuos e os contemplados nas metas do Plano Plurianual, é possível a prorrogação do cont</w:t>
      </w:r>
      <w:r>
        <w:rPr>
          <w:rFonts w:ascii="Arial" w:eastAsia="Arial" w:hAnsi="Arial" w:cs="Arial"/>
          <w:i/>
          <w:sz w:val="20"/>
        </w:rPr>
        <w:t xml:space="preserve">rato enquanto regra, até o limite previsto na lei (sendo o de 60 meses o mais comum, referente aos serviços continuados). Assim, as duas alternativas acima servem para o órgão ou entidade escolher qual se amolda à natureza do que se deseja contratar. </w:t>
      </w:r>
    </w:p>
    <w:p w:rsidR="006C145C" w:rsidRDefault="00C62E5A">
      <w:pPr>
        <w:pBdr>
          <w:top w:val="single" w:sz="4" w:space="0" w:color="1F497D"/>
          <w:left w:val="single" w:sz="4" w:space="0" w:color="1F497D"/>
          <w:right w:val="single" w:sz="4" w:space="0" w:color="1F497D"/>
        </w:pBdr>
        <w:shd w:val="clear" w:color="auto" w:fill="FFFFCC"/>
        <w:spacing w:after="111" w:line="250" w:lineRule="auto"/>
        <w:ind w:left="-5" w:right="51" w:hanging="10"/>
        <w:jc w:val="both"/>
      </w:pPr>
      <w:r>
        <w:rPr>
          <w:rFonts w:ascii="Arial" w:eastAsia="Arial" w:hAnsi="Arial" w:cs="Arial"/>
          <w:b/>
          <w:i/>
          <w:sz w:val="20"/>
        </w:rPr>
        <w:t>Nota explicativa 2</w:t>
      </w:r>
      <w:r>
        <w:rPr>
          <w:rFonts w:ascii="Arial" w:eastAsia="Arial" w:hAnsi="Arial" w:cs="Arial"/>
          <w:i/>
          <w:sz w:val="20"/>
        </w:rPr>
        <w:t xml:space="preserve">: A tabela acima é meramente ilustrativa; o órgão ou entidade deve elaborá-la da forma que melhor aprouver ao certame licitatório. </w:t>
      </w:r>
    </w:p>
    <w:p w:rsidR="006C145C" w:rsidRDefault="00C62E5A">
      <w:pPr>
        <w:pBdr>
          <w:top w:val="single" w:sz="4" w:space="0" w:color="1F497D"/>
          <w:left w:val="single" w:sz="4" w:space="0" w:color="1F497D"/>
          <w:right w:val="single" w:sz="4" w:space="0" w:color="1F497D"/>
        </w:pBdr>
        <w:shd w:val="clear" w:color="auto" w:fill="FFFFCC"/>
        <w:spacing w:after="111" w:line="250" w:lineRule="auto"/>
        <w:ind w:left="-5" w:right="51" w:hanging="10"/>
        <w:jc w:val="both"/>
      </w:pPr>
      <w:r>
        <w:rPr>
          <w:rFonts w:ascii="Arial" w:eastAsia="Arial" w:hAnsi="Arial" w:cs="Arial"/>
          <w:b/>
          <w:i/>
          <w:sz w:val="20"/>
        </w:rPr>
        <w:t>Descrição do Objeto:</w:t>
      </w:r>
      <w:r>
        <w:rPr>
          <w:rFonts w:ascii="Arial" w:eastAsia="Arial" w:hAnsi="Arial" w:cs="Arial"/>
          <w:i/>
          <w:sz w:val="20"/>
        </w:rPr>
        <w:t xml:space="preserve"> o objeto deve ser descrito de forma detalhada, com todas as especificações necessária</w:t>
      </w:r>
      <w:r>
        <w:rPr>
          <w:rFonts w:ascii="Arial" w:eastAsia="Arial" w:hAnsi="Arial" w:cs="Arial"/>
          <w:i/>
          <w:sz w:val="20"/>
        </w:rPr>
        <w:t>s e suficientes para garantir a qualidade da contração, cuidando-se para que não sejam admitidas, previstas ou incluídas condições que comprometam, restrinjam ou frustrem o caráter competitivo da licitação ou, ainda, impertinentes ou irrelevantes para o es</w:t>
      </w:r>
      <w:r>
        <w:rPr>
          <w:rFonts w:ascii="Arial" w:eastAsia="Arial" w:hAnsi="Arial" w:cs="Arial"/>
          <w:i/>
          <w:sz w:val="20"/>
        </w:rPr>
        <w:t xml:space="preserve">pecífico objeto do contrato. </w:t>
      </w:r>
    </w:p>
    <w:p w:rsidR="006C145C" w:rsidRDefault="00C62E5A">
      <w:pPr>
        <w:pBdr>
          <w:top w:val="single" w:sz="4" w:space="0" w:color="1F497D"/>
          <w:left w:val="single" w:sz="4" w:space="0" w:color="1F497D"/>
          <w:right w:val="single" w:sz="4" w:space="0" w:color="1F497D"/>
        </w:pBdr>
        <w:shd w:val="clear" w:color="auto" w:fill="FFFFCC"/>
        <w:spacing w:after="111" w:line="250" w:lineRule="auto"/>
        <w:ind w:left="-5" w:right="51" w:hanging="10"/>
        <w:jc w:val="both"/>
      </w:pPr>
      <w:r>
        <w:rPr>
          <w:rFonts w:ascii="Arial" w:eastAsia="Arial" w:hAnsi="Arial" w:cs="Arial"/>
          <w:b/>
          <w:i/>
          <w:sz w:val="20"/>
        </w:rPr>
        <w:t xml:space="preserve">Divisão da licitação em lotes: </w:t>
      </w:r>
      <w:r>
        <w:rPr>
          <w:rFonts w:ascii="Arial" w:eastAsia="Arial" w:hAnsi="Arial" w:cs="Arial"/>
          <w:i/>
          <w:sz w:val="20"/>
        </w:rPr>
        <w:t>de acordo com o art. 8º, caput, do decreto nº 7.892/13, o órgão gerenciador poderá dividir a quantidade total de um determinado item em diferentes lotes, quando técnica e economicamente viável, v</w:t>
      </w:r>
      <w:r>
        <w:rPr>
          <w:rFonts w:ascii="Arial" w:eastAsia="Arial" w:hAnsi="Arial" w:cs="Arial"/>
          <w:i/>
          <w:sz w:val="20"/>
        </w:rPr>
        <w:t>isando maior competitividade, observada a quantidade mínima, o prazo e o local de prestação de serviços. No caso de serviços, a divisão considerará a unidade de medida adotada para aferição dos produtos e resultados, e será observada a demanda específica d</w:t>
      </w:r>
      <w:r>
        <w:rPr>
          <w:rFonts w:ascii="Arial" w:eastAsia="Arial" w:hAnsi="Arial" w:cs="Arial"/>
          <w:i/>
          <w:sz w:val="20"/>
        </w:rPr>
        <w:t xml:space="preserve">e cada órgão ou entidade participante do certame (art. 8º, §2º, do Decreto nº 7.892/13).     </w:t>
      </w:r>
    </w:p>
    <w:p w:rsidR="006C145C" w:rsidRDefault="00C62E5A">
      <w:pPr>
        <w:pBdr>
          <w:top w:val="single" w:sz="4" w:space="0" w:color="1F497D"/>
          <w:left w:val="single" w:sz="4" w:space="0" w:color="1F497D"/>
          <w:right w:val="single" w:sz="4" w:space="0" w:color="1F497D"/>
        </w:pBdr>
        <w:shd w:val="clear" w:color="auto" w:fill="FFFFCC"/>
        <w:spacing w:after="111" w:line="250" w:lineRule="auto"/>
        <w:ind w:left="-5" w:right="51" w:hanging="10"/>
        <w:jc w:val="both"/>
      </w:pPr>
      <w:r>
        <w:rPr>
          <w:rFonts w:ascii="Arial" w:eastAsia="Arial" w:hAnsi="Arial" w:cs="Arial"/>
          <w:b/>
          <w:i/>
          <w:sz w:val="20"/>
        </w:rPr>
        <w:t xml:space="preserve">Consolidação do consumo encaminhado pelos órgãos e entidades participantes: </w:t>
      </w:r>
      <w:r>
        <w:rPr>
          <w:rFonts w:ascii="Arial" w:eastAsia="Arial" w:hAnsi="Arial" w:cs="Arial"/>
          <w:i/>
          <w:sz w:val="20"/>
        </w:rPr>
        <w:t>Os arts. 5º, inciso II, e 6º, caput, do decreto nº 7.892/13, estabelecem a competência</w:t>
      </w:r>
      <w:r>
        <w:rPr>
          <w:rFonts w:ascii="Arial" w:eastAsia="Arial" w:hAnsi="Arial" w:cs="Arial"/>
          <w:i/>
          <w:sz w:val="20"/>
        </w:rPr>
        <w:t xml:space="preserve"> do órgão gerenciador para consolidar as informações relativas às estimativas individual e total de consumo, local de entrega e cronograma de contratação, encaminhados pelos órgãos e entidades participantes, promovendo a adequação do termo de referência pa</w:t>
      </w:r>
      <w:r>
        <w:rPr>
          <w:rFonts w:ascii="Arial" w:eastAsia="Arial" w:hAnsi="Arial" w:cs="Arial"/>
          <w:i/>
          <w:sz w:val="20"/>
        </w:rPr>
        <w:t>ra atender aos requisitos de padronização e racionalização. O mesmo art. 5º, no inciso IV, também atribui a competência ao órgão gerenciador de consolidar os dados referentes às pesquisas de preços realizadas pelos órgãos e entidades participantes.</w:t>
      </w:r>
      <w:r>
        <w:rPr>
          <w:rFonts w:ascii="Arial" w:eastAsia="Arial" w:hAnsi="Arial" w:cs="Arial"/>
          <w:b/>
          <w:i/>
          <w:sz w:val="20"/>
        </w:rPr>
        <w:t xml:space="preserve"> </w:t>
      </w:r>
    </w:p>
    <w:p w:rsidR="006C145C" w:rsidRDefault="00C62E5A">
      <w:pPr>
        <w:pBdr>
          <w:top w:val="single" w:sz="4" w:space="0" w:color="1F497D"/>
          <w:left w:val="single" w:sz="4" w:space="0" w:color="1F497D"/>
          <w:right w:val="single" w:sz="4" w:space="0" w:color="1F497D"/>
        </w:pBdr>
        <w:shd w:val="clear" w:color="auto" w:fill="FFFFCC"/>
        <w:spacing w:after="111" w:line="250" w:lineRule="auto"/>
        <w:ind w:left="-5" w:right="51" w:hanging="10"/>
        <w:jc w:val="both"/>
      </w:pPr>
      <w:r>
        <w:rPr>
          <w:rFonts w:ascii="Arial" w:eastAsia="Arial" w:hAnsi="Arial" w:cs="Arial"/>
          <w:b/>
          <w:i/>
          <w:sz w:val="20"/>
        </w:rPr>
        <w:t>Valore</w:t>
      </w:r>
      <w:r>
        <w:rPr>
          <w:rFonts w:ascii="Arial" w:eastAsia="Arial" w:hAnsi="Arial" w:cs="Arial"/>
          <w:b/>
          <w:i/>
          <w:sz w:val="20"/>
        </w:rPr>
        <w:t>s</w:t>
      </w:r>
      <w:r>
        <w:rPr>
          <w:rFonts w:ascii="Arial" w:eastAsia="Arial" w:hAnsi="Arial" w:cs="Arial"/>
          <w:i/>
          <w:sz w:val="20"/>
        </w:rPr>
        <w:t>: O art. 3º, III, Lei nº 10.520/2002 determina que a Administração elabore na fase preparatória do pregão um orçamento dos bens ou serviços a serem licitados. Entretanto, o art. 4º, III, da referida Lei não exige que a Administração faça constar no edital</w:t>
      </w:r>
      <w:r>
        <w:rPr>
          <w:rFonts w:ascii="Arial" w:eastAsia="Arial" w:hAnsi="Arial" w:cs="Arial"/>
          <w:i/>
          <w:sz w:val="20"/>
        </w:rPr>
        <w:t xml:space="preserve"> o orçamento estimado da contratação. </w:t>
      </w:r>
    </w:p>
    <w:p w:rsidR="006C145C" w:rsidRDefault="00C62E5A">
      <w:pPr>
        <w:pBdr>
          <w:top w:val="single" w:sz="4" w:space="0" w:color="1F497D"/>
          <w:left w:val="single" w:sz="4" w:space="0" w:color="1F497D"/>
          <w:right w:val="single" w:sz="4" w:space="0" w:color="1F497D"/>
        </w:pBdr>
        <w:shd w:val="clear" w:color="auto" w:fill="FFFFCC"/>
        <w:spacing w:after="111" w:line="250" w:lineRule="auto"/>
        <w:ind w:left="-5" w:right="51" w:hanging="10"/>
        <w:jc w:val="both"/>
      </w:pPr>
      <w:r>
        <w:rPr>
          <w:rFonts w:ascii="Arial" w:eastAsia="Arial" w:hAnsi="Arial" w:cs="Arial"/>
          <w:i/>
          <w:sz w:val="20"/>
        </w:rPr>
        <w:t>O TCU, por sua vez, entende que é possível dispensar a publicação do orçamento estimado da contratação no edital do pregão, com a possibilidade de os interessados terem acesso ao documento mediante requerimento (Acórd</w:t>
      </w:r>
      <w:r>
        <w:rPr>
          <w:rFonts w:ascii="Arial" w:eastAsia="Arial" w:hAnsi="Arial" w:cs="Arial"/>
          <w:i/>
          <w:sz w:val="20"/>
        </w:rPr>
        <w:t>ão nº 394/2009 – Plenário – TCU. Acórdão nº 1513/2013 – Plenário – TCU). O novo regulamento do Pregão Eletrônico (Decreto n. 10.024, de 2019) previu a possibilidade do sigilo do orçamento estimado (art. 15, caput), que será divulgado imediatamente após o e</w:t>
      </w:r>
      <w:r>
        <w:rPr>
          <w:rFonts w:ascii="Arial" w:eastAsia="Arial" w:hAnsi="Arial" w:cs="Arial"/>
          <w:i/>
          <w:sz w:val="20"/>
        </w:rPr>
        <w:t xml:space="preserve">ncerramento do envio de lances (art. 15, §2°), sem prejuízo da divulgação do detalhamento dos quantitativos e das demais informações necessárias à elaboração das propostas. </w:t>
      </w:r>
    </w:p>
    <w:p w:rsidR="006C145C" w:rsidRDefault="00C62E5A">
      <w:pPr>
        <w:pBdr>
          <w:top w:val="single" w:sz="4" w:space="0" w:color="1F497D"/>
          <w:left w:val="single" w:sz="4" w:space="0" w:color="1F497D"/>
          <w:right w:val="single" w:sz="4" w:space="0" w:color="1F497D"/>
        </w:pBdr>
        <w:shd w:val="clear" w:color="auto" w:fill="FFFFCC"/>
        <w:spacing w:after="111" w:line="250" w:lineRule="auto"/>
        <w:ind w:left="-5" w:right="51" w:hanging="10"/>
        <w:jc w:val="both"/>
      </w:pPr>
      <w:r>
        <w:rPr>
          <w:rFonts w:ascii="Arial" w:eastAsia="Arial" w:hAnsi="Arial" w:cs="Arial"/>
          <w:i/>
          <w:sz w:val="20"/>
        </w:rPr>
        <w:t>Cumpre destacar que antes mesmo do Decreto n. 10.024, de 2019, o TCU já havia reco</w:t>
      </w:r>
      <w:r>
        <w:rPr>
          <w:rFonts w:ascii="Arial" w:eastAsia="Arial" w:hAnsi="Arial" w:cs="Arial"/>
          <w:i/>
          <w:sz w:val="20"/>
        </w:rPr>
        <w:t>nhecido a possibilidade de manter sigiloso o orçamento estimado até a finalização da fase de lances, com o objetivo de obter a proposta mais vantajosa. (Acórdão nº 2080/2012 – Plenário – TCU; Acórdão nº 2150/2015 – Plenário).Esse entendimento foi reforçado</w:t>
      </w:r>
      <w:r>
        <w:rPr>
          <w:rFonts w:ascii="Arial" w:eastAsia="Arial" w:hAnsi="Arial" w:cs="Arial"/>
          <w:i/>
          <w:sz w:val="20"/>
        </w:rPr>
        <w:t xml:space="preserve"> no Acórdão nº 903/2019 – Plenário-TCU, que apontou que a divulgação dos preços de referência no edital dos pregões de compra de medicamentos prejudica a obtenção da proposta mais vantajosa para a Administração. </w:t>
      </w:r>
    </w:p>
    <w:p w:rsidR="006C145C" w:rsidRDefault="00C62E5A">
      <w:pPr>
        <w:pBdr>
          <w:top w:val="single" w:sz="4" w:space="0" w:color="1F497D"/>
          <w:left w:val="single" w:sz="4" w:space="0" w:color="1F497D"/>
          <w:right w:val="single" w:sz="4" w:space="0" w:color="1F497D"/>
        </w:pBdr>
        <w:shd w:val="clear" w:color="auto" w:fill="FFFFCC"/>
        <w:spacing w:after="111" w:line="250" w:lineRule="auto"/>
        <w:ind w:left="-5" w:right="51" w:hanging="10"/>
        <w:jc w:val="both"/>
      </w:pPr>
      <w:r>
        <w:rPr>
          <w:rFonts w:ascii="Arial" w:eastAsia="Arial" w:hAnsi="Arial" w:cs="Arial"/>
          <w:b/>
          <w:i/>
          <w:sz w:val="20"/>
        </w:rPr>
        <w:t>Limpeza, Conservação e Vigilância</w:t>
      </w:r>
      <w:r>
        <w:rPr>
          <w:rFonts w:ascii="Arial" w:eastAsia="Arial" w:hAnsi="Arial" w:cs="Arial"/>
          <w:i/>
          <w:sz w:val="20"/>
        </w:rPr>
        <w:t xml:space="preserve">: O preço </w:t>
      </w:r>
      <w:r>
        <w:rPr>
          <w:rFonts w:ascii="Arial" w:eastAsia="Arial" w:hAnsi="Arial" w:cs="Arial"/>
          <w:i/>
          <w:sz w:val="20"/>
        </w:rPr>
        <w:t xml:space="preserve">máximo aceitável nos contratos de limpeza, conservação e vigilância deverá estar limitado aos valores máximos indicados pela SEGES/MP, em portarias específicas, de acordo com a região onde serão prestados os serviços. </w:t>
      </w:r>
    </w:p>
    <w:p w:rsidR="006C145C" w:rsidRDefault="00C62E5A">
      <w:pPr>
        <w:pBdr>
          <w:top w:val="single" w:sz="4" w:space="0" w:color="1F497D"/>
          <w:left w:val="single" w:sz="4" w:space="0" w:color="1F497D"/>
          <w:right w:val="single" w:sz="4" w:space="0" w:color="1F497D"/>
        </w:pBdr>
        <w:shd w:val="clear" w:color="auto" w:fill="FFFFCC"/>
        <w:spacing w:after="111" w:line="250" w:lineRule="auto"/>
        <w:ind w:left="-5" w:right="51" w:hanging="10"/>
        <w:jc w:val="both"/>
      </w:pPr>
      <w:r>
        <w:rPr>
          <w:rFonts w:ascii="Arial" w:eastAsia="Arial" w:hAnsi="Arial" w:cs="Arial"/>
          <w:b/>
          <w:i/>
          <w:sz w:val="20"/>
        </w:rPr>
        <w:t>Descrição:</w:t>
      </w:r>
      <w:r>
        <w:rPr>
          <w:rFonts w:ascii="Arial" w:eastAsia="Arial" w:hAnsi="Arial" w:cs="Arial"/>
          <w:i/>
          <w:sz w:val="20"/>
        </w:rPr>
        <w:t xml:space="preserve"> Esclarecido esse ponto, a </w:t>
      </w:r>
      <w:r>
        <w:rPr>
          <w:rFonts w:ascii="Arial" w:eastAsia="Arial" w:hAnsi="Arial" w:cs="Arial"/>
          <w:i/>
          <w:sz w:val="20"/>
        </w:rPr>
        <w:t xml:space="preserve">recomendação mais importante é descrever detalhadamente o objeto a ser contratado, com todas as especificações necessárias e suficientes para garantir a qualidade da contração. Deve-se levar em consideração as normas técnicas eventualmente existentes, </w:t>
      </w:r>
    </w:p>
    <w:p w:rsidR="006C145C" w:rsidRDefault="006C145C">
      <w:pPr>
        <w:spacing w:after="0"/>
        <w:ind w:left="-1590" w:right="1610"/>
      </w:pPr>
    </w:p>
    <w:tbl>
      <w:tblPr>
        <w:tblStyle w:val="TableGrid"/>
        <w:tblW w:w="9297" w:type="dxa"/>
        <w:tblInd w:w="0" w:type="dxa"/>
        <w:tblCellMar>
          <w:top w:w="5" w:type="dxa"/>
          <w:left w:w="112" w:type="dxa"/>
          <w:bottom w:w="0" w:type="dxa"/>
          <w:right w:w="57" w:type="dxa"/>
        </w:tblCellMar>
        <w:tblLook w:val="04A0" w:firstRow="1" w:lastRow="0" w:firstColumn="1" w:lastColumn="0" w:noHBand="0" w:noVBand="1"/>
      </w:tblPr>
      <w:tblGrid>
        <w:gridCol w:w="9297"/>
      </w:tblGrid>
      <w:tr w:rsidR="006C145C">
        <w:trPr>
          <w:trHeight w:val="13755"/>
        </w:trPr>
        <w:tc>
          <w:tcPr>
            <w:tcW w:w="9297" w:type="dxa"/>
            <w:tcBorders>
              <w:top w:val="nil"/>
              <w:left w:val="single" w:sz="4" w:space="0" w:color="1F497D"/>
              <w:bottom w:val="single" w:sz="4" w:space="0" w:color="1F497D"/>
              <w:right w:val="single" w:sz="4" w:space="0" w:color="1F497D"/>
            </w:tcBorders>
            <w:shd w:val="clear" w:color="auto" w:fill="FFFFCC"/>
          </w:tcPr>
          <w:p w:rsidR="006C145C" w:rsidRDefault="00C62E5A">
            <w:pPr>
              <w:spacing w:after="121" w:line="240" w:lineRule="auto"/>
              <w:jc w:val="both"/>
            </w:pPr>
            <w:r>
              <w:rPr>
                <w:rFonts w:ascii="Arial" w:eastAsia="Arial" w:hAnsi="Arial" w:cs="Arial"/>
                <w:i/>
                <w:sz w:val="20"/>
              </w:rPr>
              <w:t>el</w:t>
            </w:r>
            <w:r>
              <w:rPr>
                <w:rFonts w:ascii="Arial" w:eastAsia="Arial" w:hAnsi="Arial" w:cs="Arial"/>
                <w:i/>
                <w:sz w:val="20"/>
              </w:rPr>
              <w:t xml:space="preserve">aboradas pela Associação Brasileira de Normas Técnicas – ABNT, quanto a requisitos mínimos de qualidade, utilidade, resistência e segurança, nos termos da Lei n° 4.150, de 1962. </w:t>
            </w:r>
          </w:p>
          <w:p w:rsidR="006C145C" w:rsidRDefault="00C62E5A">
            <w:pPr>
              <w:spacing w:after="0" w:line="241" w:lineRule="auto"/>
              <w:ind w:right="58"/>
              <w:jc w:val="both"/>
            </w:pPr>
            <w:r>
              <w:rPr>
                <w:rFonts w:ascii="Arial" w:eastAsia="Arial" w:hAnsi="Arial" w:cs="Arial"/>
                <w:b/>
                <w:i/>
                <w:sz w:val="20"/>
              </w:rPr>
              <w:t>Regime de Execução:</w:t>
            </w:r>
            <w:r>
              <w:rPr>
                <w:rFonts w:ascii="Arial" w:eastAsia="Arial" w:hAnsi="Arial" w:cs="Arial"/>
                <w:i/>
                <w:sz w:val="20"/>
              </w:rPr>
              <w:t xml:space="preserve"> Deve-se observar que o regime de execução por preço unitá</w:t>
            </w:r>
            <w:r>
              <w:rPr>
                <w:rFonts w:ascii="Arial" w:eastAsia="Arial" w:hAnsi="Arial" w:cs="Arial"/>
                <w:i/>
                <w:sz w:val="20"/>
              </w:rPr>
              <w:t>rio destina-se aos serviços que devam ser realizados em quantidade e podem ser mensurados por unidades de medida, cujo valor total do contrato é o resultante da multiplicação do preço unitário pela quantidade e tipos de unidades contratadas. Portanto, é es</w:t>
            </w:r>
            <w:r>
              <w:rPr>
                <w:rFonts w:ascii="Arial" w:eastAsia="Arial" w:hAnsi="Arial" w:cs="Arial"/>
                <w:i/>
                <w:sz w:val="20"/>
              </w:rPr>
              <w:t>pecialmente aplicável aos contratos que podem ser divididos em unidades autônomas independentes que compõem o objeto integral pretendido pela Administração. Não se exige o mesmo nível de precisão da empreitada por preço global/integral, em razão da impreci</w:t>
            </w:r>
            <w:r>
              <w:rPr>
                <w:rFonts w:ascii="Arial" w:eastAsia="Arial" w:hAnsi="Arial" w:cs="Arial"/>
                <w:i/>
                <w:sz w:val="20"/>
              </w:rPr>
              <w:t>são inerente à própria natureza do objeto contratado que está sujeito a variações, especialmente nos quantitativos, em razão de fatores supervenientes ou inicialmente não totalmente conhecidos. Assim, pode-se afirmar que a conveniência de se adotar o regim</w:t>
            </w:r>
            <w:r>
              <w:rPr>
                <w:rFonts w:ascii="Arial" w:eastAsia="Arial" w:hAnsi="Arial" w:cs="Arial"/>
                <w:i/>
                <w:sz w:val="20"/>
              </w:rPr>
              <w:t xml:space="preserve">e de empreitada por preço global diminui à medida que se eleva o nível de incerteza sobre o objeto a ser contratado (Ver TCU, Ac n. </w:t>
            </w:r>
          </w:p>
          <w:p w:rsidR="006C145C" w:rsidRDefault="00C62E5A">
            <w:pPr>
              <w:spacing w:after="101"/>
            </w:pPr>
            <w:r>
              <w:rPr>
                <w:rFonts w:ascii="Arial" w:eastAsia="Arial" w:hAnsi="Arial" w:cs="Arial"/>
                <w:i/>
                <w:sz w:val="20"/>
              </w:rPr>
              <w:t xml:space="preserve">1.977/2013-Plenário, Item 29). </w:t>
            </w:r>
          </w:p>
          <w:p w:rsidR="006C145C" w:rsidRDefault="00C62E5A">
            <w:pPr>
              <w:spacing w:after="103"/>
            </w:pPr>
            <w:r>
              <w:rPr>
                <w:rFonts w:ascii="Arial" w:eastAsia="Arial" w:hAnsi="Arial" w:cs="Arial"/>
                <w:i/>
                <w:sz w:val="20"/>
              </w:rPr>
              <w:t xml:space="preserve">Acerca da escolha do regime de execução, o Tribunal de Contas da União orienta que:  </w:t>
            </w:r>
          </w:p>
          <w:p w:rsidR="006C145C" w:rsidRDefault="00C62E5A">
            <w:pPr>
              <w:numPr>
                <w:ilvl w:val="0"/>
                <w:numId w:val="62"/>
              </w:numPr>
              <w:spacing w:after="119" w:line="242" w:lineRule="auto"/>
              <w:ind w:right="31"/>
              <w:jc w:val="both"/>
            </w:pPr>
            <w:r>
              <w:rPr>
                <w:rFonts w:ascii="Arial" w:eastAsia="Arial" w:hAnsi="Arial" w:cs="Arial"/>
                <w:i/>
                <w:sz w:val="20"/>
                <w:u w:val="single" w:color="000000"/>
              </w:rPr>
              <w:t>a escolha do regime de execução contratual pelo gestor deve estar fundamentada nos autos do</w:t>
            </w:r>
            <w:r>
              <w:rPr>
                <w:rFonts w:ascii="Arial" w:eastAsia="Arial" w:hAnsi="Arial" w:cs="Arial"/>
                <w:i/>
                <w:sz w:val="20"/>
              </w:rPr>
              <w:t xml:space="preserve"> </w:t>
            </w:r>
            <w:r>
              <w:rPr>
                <w:rFonts w:ascii="Arial" w:eastAsia="Arial" w:hAnsi="Arial" w:cs="Arial"/>
                <w:i/>
                <w:sz w:val="20"/>
                <w:u w:val="single" w:color="000000"/>
              </w:rPr>
              <w:t>processo licitatório, em prestígio ao definido no art. 50 da Lei nº 9.784/1999;</w:t>
            </w:r>
            <w:r>
              <w:rPr>
                <w:rFonts w:ascii="Arial" w:eastAsia="Arial" w:hAnsi="Arial" w:cs="Arial"/>
                <w:i/>
                <w:sz w:val="20"/>
              </w:rPr>
              <w:t xml:space="preserve">  </w:t>
            </w:r>
          </w:p>
          <w:p w:rsidR="006C145C" w:rsidRDefault="00C62E5A">
            <w:pPr>
              <w:numPr>
                <w:ilvl w:val="0"/>
                <w:numId w:val="62"/>
              </w:numPr>
              <w:spacing w:after="120" w:line="241" w:lineRule="auto"/>
              <w:ind w:right="31"/>
              <w:jc w:val="both"/>
            </w:pPr>
            <w:r>
              <w:rPr>
                <w:rFonts w:ascii="Arial" w:eastAsia="Arial" w:hAnsi="Arial" w:cs="Arial"/>
                <w:i/>
                <w:sz w:val="20"/>
              </w:rPr>
              <w:t xml:space="preserve">a empreitada por preço global, em regra, em razão de a liquidação de despesas não </w:t>
            </w:r>
            <w:r>
              <w:rPr>
                <w:rFonts w:ascii="Arial" w:eastAsia="Arial" w:hAnsi="Arial" w:cs="Arial"/>
                <w:i/>
                <w:sz w:val="20"/>
              </w:rPr>
              <w:t>envolver, necessariamente, a medição unitária dos quantitativos de cada serviço na planilha orçamentária, nos termos do art. 6º, inciso VIII, alínea “a”, da Lei nº 8.666/1993, deve ser adotada quando for possível definir previamente no projeto, com boa mar</w:t>
            </w:r>
            <w:r>
              <w:rPr>
                <w:rFonts w:ascii="Arial" w:eastAsia="Arial" w:hAnsi="Arial" w:cs="Arial"/>
                <w:i/>
                <w:sz w:val="20"/>
              </w:rPr>
              <w:t>gem de precisão, as quantidades dos serviços a serem posteriormente executados na fase contratual; enquanto que a empreitada por preço unitário deve ser preferida nos casos em que os objetos, por sua natureza, possuam uma imprecisão inerente de quantitativ</w:t>
            </w:r>
            <w:r>
              <w:rPr>
                <w:rFonts w:ascii="Arial" w:eastAsia="Arial" w:hAnsi="Arial" w:cs="Arial"/>
                <w:i/>
                <w:sz w:val="20"/>
              </w:rPr>
              <w:t xml:space="preserve">os em seus itens orçamentários;  </w:t>
            </w:r>
          </w:p>
          <w:p w:rsidR="006C145C" w:rsidRDefault="00C62E5A">
            <w:pPr>
              <w:spacing w:after="121" w:line="241" w:lineRule="auto"/>
              <w:ind w:right="56"/>
              <w:jc w:val="both"/>
            </w:pPr>
            <w:r>
              <w:rPr>
                <w:rFonts w:ascii="Arial" w:eastAsia="Arial" w:hAnsi="Arial" w:cs="Arial"/>
                <w:b/>
                <w:i/>
                <w:sz w:val="20"/>
              </w:rPr>
              <w:t>Parcelamento (divisão em Grupos e Itens)</w:t>
            </w:r>
            <w:r>
              <w:rPr>
                <w:rFonts w:ascii="Arial" w:eastAsia="Arial" w:hAnsi="Arial" w:cs="Arial"/>
                <w:i/>
                <w:sz w:val="20"/>
              </w:rPr>
              <w:t>: A regra a ser observada pela Administração nas licitações é a do parcelamento do objeto, conforme disposto no § 1º do art. 23 da Lei nº 8.666, de 1993, mas é imprescindível que a divisão do objeto seja técnica e economicamente viável e não represente per</w:t>
            </w:r>
            <w:r>
              <w:rPr>
                <w:rFonts w:ascii="Arial" w:eastAsia="Arial" w:hAnsi="Arial" w:cs="Arial"/>
                <w:i/>
                <w:sz w:val="20"/>
              </w:rPr>
              <w:t>da de economia de escala (Súmula 247 do TCU). O órgão licitante poderá dividir a pretensão contratual em itens ou em lotes (grupo de itens), quando técnica e economicamente viável, visando maior competitividade, observada a quantidade mínima, o prazo e o l</w:t>
            </w:r>
            <w:r>
              <w:rPr>
                <w:rFonts w:ascii="Arial" w:eastAsia="Arial" w:hAnsi="Arial" w:cs="Arial"/>
                <w:i/>
                <w:sz w:val="20"/>
              </w:rPr>
              <w:t xml:space="preserve">ocal de entrega. </w:t>
            </w:r>
          </w:p>
          <w:p w:rsidR="006C145C" w:rsidRDefault="00C62E5A">
            <w:pPr>
              <w:spacing w:after="114" w:line="249" w:lineRule="auto"/>
              <w:ind w:right="65"/>
              <w:jc w:val="both"/>
            </w:pPr>
            <w:r>
              <w:rPr>
                <w:rFonts w:ascii="Arial" w:eastAsia="Arial" w:hAnsi="Arial" w:cs="Arial"/>
                <w:i/>
                <w:sz w:val="20"/>
              </w:rPr>
              <w:t>Por ser o parcelamento a regra, deve haver justificativa quando este não for adotado. Acórdão/TCU 1214/2013-Plenário “deve ser evitado o parcelamento de serviços não especializados, a exemplo de limpeza, copeiragem, garçom, sendo objeto d</w:t>
            </w:r>
            <w:r>
              <w:rPr>
                <w:rFonts w:ascii="Arial" w:eastAsia="Arial" w:hAnsi="Arial" w:cs="Arial"/>
                <w:i/>
                <w:sz w:val="20"/>
              </w:rPr>
              <w:t xml:space="preserve">e parcelamento os serviços em que reste comprovado que as empresas atuam no mercado de forma segmentada por especialização, a exemplo de manutenção predial, ar condicionado, telefonia, serviços de engenharia em geral, áudio e vídeo, informática;”  </w:t>
            </w:r>
          </w:p>
          <w:p w:rsidR="006C145C" w:rsidRDefault="00C62E5A">
            <w:pPr>
              <w:spacing w:after="114" w:line="248" w:lineRule="auto"/>
              <w:ind w:right="62"/>
              <w:jc w:val="both"/>
            </w:pPr>
            <w:r>
              <w:rPr>
                <w:rFonts w:ascii="Arial" w:eastAsia="Arial" w:hAnsi="Arial" w:cs="Arial"/>
                <w:i/>
                <w:sz w:val="20"/>
              </w:rPr>
              <w:t>A IN SE</w:t>
            </w:r>
            <w:r>
              <w:rPr>
                <w:rFonts w:ascii="Arial" w:eastAsia="Arial" w:hAnsi="Arial" w:cs="Arial"/>
                <w:i/>
                <w:sz w:val="20"/>
              </w:rPr>
              <w:t>GES/MP n. 05/2017 prevê que os Estudos Preliminares da Licitação devem conter as justificativas para o parcelamento ou não da solução quando necessária para individualização do objeto (art. 24, § 1º, VIII). Já seu Anexo III, item 3.8, consigna que o “parce</w:t>
            </w:r>
            <w:r>
              <w:rPr>
                <w:rFonts w:ascii="Arial" w:eastAsia="Arial" w:hAnsi="Arial" w:cs="Arial"/>
                <w:i/>
                <w:sz w:val="20"/>
              </w:rPr>
              <w:t>lamento da solução é a regra devendo a licitação ser realizada por item, sempre que o objeto for divisível, desde que se verifique não haver prejuízo para o conjunto da solução ou perda de economia de escala, visando propiciar a ampla participação de licit</w:t>
            </w:r>
            <w:r>
              <w:rPr>
                <w:rFonts w:ascii="Arial" w:eastAsia="Arial" w:hAnsi="Arial" w:cs="Arial"/>
                <w:i/>
                <w:sz w:val="20"/>
              </w:rPr>
              <w:t xml:space="preserve">antes que, embora não disponham de capacidade para execução da totalidade do objeto, possam fazê-lo com relação a itens ou unidades autônomas”. </w:t>
            </w:r>
          </w:p>
          <w:p w:rsidR="006C145C" w:rsidRDefault="00C62E5A">
            <w:pPr>
              <w:spacing w:after="123" w:line="241" w:lineRule="auto"/>
              <w:ind w:right="59"/>
              <w:jc w:val="both"/>
            </w:pPr>
            <w:r>
              <w:rPr>
                <w:rFonts w:ascii="Arial" w:eastAsia="Arial" w:hAnsi="Arial" w:cs="Arial"/>
                <w:b/>
                <w:i/>
                <w:sz w:val="20"/>
              </w:rPr>
              <w:t xml:space="preserve">Agrupamentos de Itens: </w:t>
            </w:r>
            <w:r>
              <w:rPr>
                <w:rFonts w:ascii="Arial" w:eastAsia="Arial" w:hAnsi="Arial" w:cs="Arial"/>
                <w:i/>
                <w:sz w:val="20"/>
              </w:rPr>
              <w:t xml:space="preserve">Caso existente mais de um item em razão do parcelamento, a regra deve ser que cada item </w:t>
            </w:r>
            <w:r>
              <w:rPr>
                <w:rFonts w:ascii="Arial" w:eastAsia="Arial" w:hAnsi="Arial" w:cs="Arial"/>
                <w:i/>
                <w:sz w:val="20"/>
              </w:rPr>
              <w:t>seja adjudicado de forma individualizada, permitindo que empresas distintas sejam contratadas. Excepcionalmente e de forma motivada, é possível prever o agrupamento de itens, adotando-se a adjudicação pelo preço global do grupo. Recomenda-se adotar a adjud</w:t>
            </w:r>
            <w:r>
              <w:rPr>
                <w:rFonts w:ascii="Arial" w:eastAsia="Arial" w:hAnsi="Arial" w:cs="Arial"/>
                <w:i/>
                <w:sz w:val="20"/>
              </w:rPr>
              <w:t xml:space="preserve">icação por preço global de grupos de itens apenas se for indispensável para a modelagem contratual desenhada nos estudos preliminares, sempre de forma justificada. </w:t>
            </w:r>
          </w:p>
          <w:p w:rsidR="006C145C" w:rsidRDefault="00C62E5A">
            <w:pPr>
              <w:spacing w:after="0"/>
              <w:ind w:right="60"/>
              <w:jc w:val="both"/>
            </w:pPr>
            <w:r>
              <w:rPr>
                <w:rFonts w:ascii="Arial" w:eastAsia="Arial" w:hAnsi="Arial" w:cs="Arial"/>
                <w:b/>
                <w:i/>
                <w:sz w:val="20"/>
              </w:rPr>
              <w:t>Adjudicação por preço global de grupo de itens em Licitações pelo Sistema de Registro de Pr</w:t>
            </w:r>
            <w:r>
              <w:rPr>
                <w:rFonts w:ascii="Arial" w:eastAsia="Arial" w:hAnsi="Arial" w:cs="Arial"/>
                <w:b/>
                <w:i/>
                <w:sz w:val="20"/>
              </w:rPr>
              <w:t xml:space="preserve">eços: </w:t>
            </w:r>
            <w:r>
              <w:rPr>
                <w:rFonts w:ascii="Arial" w:eastAsia="Arial" w:hAnsi="Arial" w:cs="Arial"/>
                <w:i/>
                <w:sz w:val="20"/>
              </w:rPr>
              <w:t>Em adição à orientação anterior, no caso de se optar, em licitações por SRP, pelo agrupamento de itens e sua adjudicação pelo preço global do grupo, o TCU possui entendimento no sentido de só ser admitida, em tais casos, a contratação dos itens nas h</w:t>
            </w:r>
            <w:r>
              <w:rPr>
                <w:rFonts w:ascii="Arial" w:eastAsia="Arial" w:hAnsi="Arial" w:cs="Arial"/>
                <w:i/>
                <w:sz w:val="20"/>
              </w:rPr>
              <w:t xml:space="preserve">ipóteses de contratação da totalidade dos itens de grupo, respeitadas as proporções de quantitativos definidos no certame; ou </w:t>
            </w:r>
            <w:r>
              <w:rPr>
                <w:rFonts w:ascii="Arial" w:eastAsia="Arial" w:hAnsi="Arial" w:cs="Arial"/>
                <w:i/>
                <w:sz w:val="20"/>
              </w:rPr>
              <w:lastRenderedPageBreak/>
              <w:t>contratação de item isolado para o qual o preço unitário adjudicado ao vencedor seja o menor preço válido ofertado para o mesmo it</w:t>
            </w:r>
            <w:r>
              <w:rPr>
                <w:rFonts w:ascii="Arial" w:eastAsia="Arial" w:hAnsi="Arial" w:cs="Arial"/>
                <w:i/>
                <w:sz w:val="20"/>
              </w:rPr>
              <w:t xml:space="preserve">em na fase de lances. </w:t>
            </w:r>
          </w:p>
        </w:tc>
      </w:tr>
    </w:tbl>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lastRenderedPageBreak/>
        <w:t xml:space="preserve">Tal restrição só não se aplicaria se a área demandante justificar expressamente, se for o caso, os motivos pelos quais seria inexequível ou inviável, dentro do modelo de execução do contrato, a demanda proporcional ou total de todos os itens do respectivo </w:t>
      </w:r>
      <w:r>
        <w:rPr>
          <w:rFonts w:ascii="Arial" w:eastAsia="Arial" w:hAnsi="Arial" w:cs="Arial"/>
          <w:i/>
          <w:sz w:val="20"/>
        </w:rPr>
        <w:t xml:space="preserve">grupo. Essa justificativa deve ser expressa e clara para que a área de licitações possa ajustar a ata de registro de preços em conformidade com a situação.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8" w:line="249" w:lineRule="auto"/>
        <w:ind w:left="-5" w:right="57" w:hanging="10"/>
        <w:jc w:val="both"/>
      </w:pPr>
      <w:r>
        <w:rPr>
          <w:rFonts w:ascii="Arial" w:eastAsia="Arial" w:hAnsi="Arial" w:cs="Arial"/>
          <w:b/>
          <w:sz w:val="20"/>
        </w:rPr>
        <w:t>Sustentabilidade:</w:t>
      </w:r>
      <w:r>
        <w:rPr>
          <w:rFonts w:ascii="Arial" w:eastAsia="Arial" w:hAnsi="Arial" w:cs="Arial"/>
          <w:sz w:val="20"/>
        </w:rPr>
        <w:t xml:space="preserve"> </w:t>
      </w:r>
      <w:r>
        <w:rPr>
          <w:rFonts w:ascii="Arial" w:eastAsia="Arial" w:hAnsi="Arial" w:cs="Arial"/>
          <w:i/>
          <w:sz w:val="20"/>
        </w:rPr>
        <w:t xml:space="preserve">A Administração deve observar o Decreto 7746/12, que regulamentou o artigo 3,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“c</w:t>
      </w:r>
      <w:r>
        <w:rPr>
          <w:rFonts w:ascii="Arial" w:eastAsia="Arial" w:hAnsi="Arial" w:cs="Arial"/>
          <w:i/>
          <w:sz w:val="20"/>
        </w:rPr>
        <w:t>aput”, da Lei 8.666/93, a Lei 12.305/10 – Política Nacional de Resíduos Sólidos, a Instrução Normativa SLTI/MP n. 1, de 19/01/10, e a legislação e normas ambientais, no que incidentes. Indicamos a consulta ao Guia Nacional de Licitações Sustentáveis, dispo</w:t>
      </w:r>
      <w:r>
        <w:rPr>
          <w:rFonts w:ascii="Arial" w:eastAsia="Arial" w:hAnsi="Arial" w:cs="Arial"/>
          <w:i/>
          <w:sz w:val="20"/>
        </w:rPr>
        <w:t xml:space="preserve">nibilizado pela Consultoria-Geral da União.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503" w:line="249" w:lineRule="auto"/>
        <w:ind w:left="-5" w:right="57" w:hanging="10"/>
        <w:jc w:val="both"/>
      </w:pPr>
      <w:r>
        <w:rPr>
          <w:rFonts w:ascii="Arial" w:eastAsia="Arial" w:hAnsi="Arial" w:cs="Arial"/>
          <w:i/>
          <w:sz w:val="20"/>
        </w:rPr>
        <w:t>Uma vez exigido qualquer requisito ambiental na especificação do objeto, deve ser prevista a forma de comprovação de seu respectivo cumprimento na fase de aceitação da proposta, por meio da apresentação de certificação emitida por instituição pública ofici</w:t>
      </w:r>
      <w:r>
        <w:rPr>
          <w:rFonts w:ascii="Arial" w:eastAsia="Arial" w:hAnsi="Arial" w:cs="Arial"/>
          <w:i/>
          <w:sz w:val="20"/>
        </w:rPr>
        <w:t xml:space="preserve">al ou instituição credenciada, ou por outro meio de prova que ateste que o serviço fornecido atende às exigências (§ 1° do art. 5° da citada Instrução Normativa). </w:t>
      </w:r>
    </w:p>
    <w:p w:rsidR="006C145C" w:rsidRDefault="00C62E5A">
      <w:pPr>
        <w:pStyle w:val="Ttulo5"/>
        <w:tabs>
          <w:tab w:val="center" w:pos="2542"/>
        </w:tabs>
        <w:ind w:left="0" w:firstLine="0"/>
        <w:jc w:val="left"/>
      </w:pPr>
      <w:r>
        <w:t xml:space="preserve">2 </w:t>
      </w:r>
      <w:r>
        <w:tab/>
        <w:t xml:space="preserve">JUSTIFICATIVA E OBJETIVO DA CONTRATAÇÃO </w:t>
      </w:r>
    </w:p>
    <w:p w:rsidR="006C145C" w:rsidRDefault="00C62E5A">
      <w:pPr>
        <w:spacing w:after="129" w:line="270" w:lineRule="auto"/>
        <w:ind w:left="716" w:right="54" w:hanging="360"/>
        <w:jc w:val="both"/>
      </w:pPr>
      <w:r>
        <w:rPr>
          <w:rFonts w:ascii="Arial" w:eastAsia="Arial" w:hAnsi="Arial" w:cs="Arial"/>
          <w:b/>
          <w:sz w:val="20"/>
        </w:rPr>
        <w:t xml:space="preserve">2.1 </w:t>
      </w:r>
      <w:r>
        <w:rPr>
          <w:rFonts w:ascii="Arial" w:eastAsia="Arial" w:hAnsi="Arial" w:cs="Arial"/>
          <w:sz w:val="20"/>
        </w:rPr>
        <w:t>A Justificativa e objetivo da contratação en</w:t>
      </w:r>
      <w:r>
        <w:rPr>
          <w:rFonts w:ascii="Arial" w:eastAsia="Arial" w:hAnsi="Arial" w:cs="Arial"/>
          <w:sz w:val="20"/>
        </w:rPr>
        <w:t>contra-se pormenorizada em Tópico específico dos Estudos Preliminares, apêndice desse Termo de Referência.</w:t>
      </w:r>
      <w:r>
        <w:rPr>
          <w:rFonts w:ascii="Arial" w:eastAsia="Arial" w:hAnsi="Arial" w:cs="Arial"/>
          <w:b/>
          <w:color w:val="FF0000"/>
          <w:sz w:val="20"/>
        </w:rPr>
        <w:t xml:space="preserve"> </w:t>
      </w:r>
    </w:p>
    <w:p w:rsidR="006C145C" w:rsidRDefault="00C62E5A">
      <w:pPr>
        <w:spacing w:after="163"/>
        <w:ind w:left="432"/>
      </w:pPr>
      <w:r>
        <w:rPr>
          <w:rFonts w:ascii="Arial" w:eastAsia="Arial" w:hAnsi="Arial" w:cs="Arial"/>
          <w:sz w:val="20"/>
        </w:rPr>
        <w:t xml:space="preserve"> </w:t>
      </w:r>
    </w:p>
    <w:p w:rsidR="006C145C" w:rsidRDefault="00C62E5A">
      <w:pPr>
        <w:pBdr>
          <w:top w:val="single" w:sz="4" w:space="0" w:color="1F497D"/>
          <w:left w:val="single" w:sz="4" w:space="0" w:color="1F497D"/>
          <w:right w:val="single" w:sz="4" w:space="0" w:color="1F497D"/>
        </w:pBdr>
        <w:shd w:val="clear" w:color="auto" w:fill="FFFFCC"/>
        <w:spacing w:after="111" w:line="250" w:lineRule="auto"/>
        <w:ind w:left="-5" w:right="51" w:hanging="10"/>
        <w:jc w:val="both"/>
      </w:pPr>
      <w:r>
        <w:rPr>
          <w:rFonts w:ascii="Arial" w:eastAsia="Arial" w:hAnsi="Arial" w:cs="Arial"/>
          <w:b/>
          <w:i/>
          <w:sz w:val="20"/>
        </w:rPr>
        <w:t>Nota Explicativa:</w:t>
      </w:r>
      <w:r>
        <w:rPr>
          <w:rFonts w:ascii="Arial" w:eastAsia="Arial" w:hAnsi="Arial" w:cs="Arial"/>
          <w:i/>
          <w:sz w:val="20"/>
        </w:rPr>
        <w:t xml:space="preserve"> O art. 20 da Instrução Normativa nº 05, de 26 de maio de 2017 prevê a fase de planejamento da contratação que possui as seguinte</w:t>
      </w:r>
      <w:r>
        <w:rPr>
          <w:rFonts w:ascii="Arial" w:eastAsia="Arial" w:hAnsi="Arial" w:cs="Arial"/>
          <w:i/>
          <w:sz w:val="20"/>
        </w:rPr>
        <w:t>s etapas: Estudos Preliminares, Gerenciamento de Riscos e Termo de Referência, podendo ser elaborados Estudos Preliminares e Gerenciamento de Riscos comuns para serviços de mesma natureza, semelhança ou afinidade (art. 20, §5). Assim, na elaboração do Term</w:t>
      </w:r>
      <w:r>
        <w:rPr>
          <w:rFonts w:ascii="Arial" w:eastAsia="Arial" w:hAnsi="Arial" w:cs="Arial"/>
          <w:i/>
          <w:sz w:val="20"/>
        </w:rPr>
        <w:t>o de Referência deve ser observado o disposto no art. 28 e anexo V da IN nº 05, de 2017, cuja disposição 2.2, intitulada “Fundamentação da Contratação”, determina na sua letra “a” que os Estudos Preliminares sejam anexos do TR. São os Estudos Preliminares,</w:t>
      </w:r>
      <w:r>
        <w:rPr>
          <w:rFonts w:ascii="Arial" w:eastAsia="Arial" w:hAnsi="Arial" w:cs="Arial"/>
          <w:i/>
          <w:sz w:val="20"/>
        </w:rPr>
        <w:t xml:space="preserve"> portanto, que conterão o material e a explicação da justificativa da contratação.  </w:t>
      </w:r>
    </w:p>
    <w:p w:rsidR="006C145C" w:rsidRDefault="00C62E5A">
      <w:pPr>
        <w:pBdr>
          <w:top w:val="single" w:sz="4" w:space="0" w:color="1F497D"/>
          <w:left w:val="single" w:sz="4" w:space="0" w:color="1F497D"/>
          <w:right w:val="single" w:sz="4" w:space="0" w:color="1F497D"/>
        </w:pBdr>
        <w:shd w:val="clear" w:color="auto" w:fill="FFFFCC"/>
        <w:spacing w:after="111" w:line="250" w:lineRule="auto"/>
        <w:ind w:left="-5" w:right="51" w:hanging="10"/>
        <w:jc w:val="both"/>
      </w:pPr>
      <w:r>
        <w:rPr>
          <w:rFonts w:ascii="Arial" w:eastAsia="Arial" w:hAnsi="Arial" w:cs="Arial"/>
          <w:i/>
          <w:sz w:val="20"/>
        </w:rPr>
        <w:t>Conforme previsto na Súmula 177 do TCU, a justificativa há de ser clara, precisa e suficiente, sendo vedadas justificativas genéricas, incapazes de demonstrar de forma cab</w:t>
      </w:r>
      <w:r>
        <w:rPr>
          <w:rFonts w:ascii="Arial" w:eastAsia="Arial" w:hAnsi="Arial" w:cs="Arial"/>
          <w:i/>
          <w:sz w:val="20"/>
        </w:rPr>
        <w:t xml:space="preserve">al a necessidade da Administração.  </w:t>
      </w:r>
    </w:p>
    <w:p w:rsidR="006C145C" w:rsidRDefault="00C62E5A">
      <w:pPr>
        <w:pBdr>
          <w:top w:val="single" w:sz="4" w:space="0" w:color="1F497D"/>
          <w:left w:val="single" w:sz="4" w:space="0" w:color="1F497D"/>
          <w:right w:val="single" w:sz="4" w:space="0" w:color="1F497D"/>
        </w:pBdr>
        <w:shd w:val="clear" w:color="auto" w:fill="FFFFCC"/>
        <w:spacing w:after="111" w:line="250" w:lineRule="auto"/>
        <w:ind w:left="-5" w:right="51" w:hanging="10"/>
        <w:jc w:val="both"/>
      </w:pPr>
      <w:r>
        <w:rPr>
          <w:rFonts w:ascii="Arial" w:eastAsia="Arial" w:hAnsi="Arial" w:cs="Arial"/>
          <w:i/>
          <w:sz w:val="20"/>
        </w:rPr>
        <w:t xml:space="preserve">A justificativa da contratação também deve vir dos estudos preliminares (que deverão ser anexo do TR, quando for possível a sua divulgação. Quando não permitida – Lei n. 12.527, de 2011 – deverá ser anexo do TR extrato </w:t>
      </w:r>
      <w:r>
        <w:rPr>
          <w:rFonts w:ascii="Arial" w:eastAsia="Arial" w:hAnsi="Arial" w:cs="Arial"/>
          <w:i/>
          <w:sz w:val="20"/>
        </w:rPr>
        <w:t>das partes não sigilosas), havendo de ser clara, precisa e suficiente, sendo vedadas justificativas genéricas, incapazes de demonstrar de forma cabal a necessidade da Administração. Deve a Administração justificar: a) a necessidade da contratação do serviç</w:t>
      </w:r>
      <w:r>
        <w:rPr>
          <w:rFonts w:ascii="Arial" w:eastAsia="Arial" w:hAnsi="Arial" w:cs="Arial"/>
          <w:i/>
          <w:sz w:val="20"/>
        </w:rPr>
        <w:t xml:space="preserve">o; </w:t>
      </w:r>
    </w:p>
    <w:p w:rsidR="006C145C" w:rsidRDefault="00C62E5A">
      <w:pPr>
        <w:numPr>
          <w:ilvl w:val="0"/>
          <w:numId w:val="15"/>
        </w:numPr>
        <w:pBdr>
          <w:top w:val="single" w:sz="4" w:space="0" w:color="1F497D"/>
          <w:left w:val="single" w:sz="4" w:space="0" w:color="1F497D"/>
          <w:right w:val="single" w:sz="4" w:space="0" w:color="1F497D"/>
        </w:pBdr>
        <w:shd w:val="clear" w:color="auto" w:fill="FFFFCC"/>
        <w:spacing w:after="111" w:line="250" w:lineRule="auto"/>
        <w:ind w:left="217" w:right="51" w:hanging="232"/>
        <w:jc w:val="both"/>
      </w:pPr>
      <w:r>
        <w:rPr>
          <w:rFonts w:ascii="Arial" w:eastAsia="Arial" w:hAnsi="Arial" w:cs="Arial"/>
          <w:i/>
          <w:sz w:val="20"/>
        </w:rPr>
        <w:t xml:space="preserve">as especificações técnicas do serviço; </w:t>
      </w:r>
    </w:p>
    <w:p w:rsidR="006C145C" w:rsidRDefault="00C62E5A">
      <w:pPr>
        <w:numPr>
          <w:ilvl w:val="0"/>
          <w:numId w:val="15"/>
        </w:numPr>
        <w:pBdr>
          <w:top w:val="single" w:sz="4" w:space="0" w:color="1F497D"/>
          <w:left w:val="single" w:sz="4" w:space="0" w:color="1F497D"/>
          <w:right w:val="single" w:sz="4" w:space="0" w:color="1F497D"/>
        </w:pBdr>
        <w:shd w:val="clear" w:color="auto" w:fill="FFFFCC"/>
        <w:spacing w:after="111" w:line="250" w:lineRule="auto"/>
        <w:ind w:left="217" w:right="51" w:hanging="232"/>
        <w:jc w:val="both"/>
      </w:pPr>
      <w:r>
        <w:rPr>
          <w:rFonts w:ascii="Arial" w:eastAsia="Arial" w:hAnsi="Arial" w:cs="Arial"/>
          <w:i/>
          <w:sz w:val="20"/>
        </w:rPr>
        <w:t xml:space="preserve">o quantitativo de serviço demandado, que deve se pautar no histórico de utilização do serviço pelo órgão ou em dados demonstrativos da perspectiva futura da demanda.   </w:t>
      </w:r>
    </w:p>
    <w:p w:rsidR="006C145C" w:rsidRDefault="00C62E5A">
      <w:pPr>
        <w:pBdr>
          <w:top w:val="single" w:sz="4" w:space="0" w:color="1F497D"/>
          <w:left w:val="single" w:sz="4" w:space="0" w:color="1F497D"/>
          <w:right w:val="single" w:sz="4" w:space="0" w:color="1F497D"/>
        </w:pBdr>
        <w:shd w:val="clear" w:color="auto" w:fill="FFFFCC"/>
        <w:spacing w:after="111" w:line="250" w:lineRule="auto"/>
        <w:ind w:left="-5" w:right="51" w:hanging="10"/>
        <w:jc w:val="both"/>
      </w:pPr>
      <w:r>
        <w:rPr>
          <w:rFonts w:ascii="Arial" w:eastAsia="Arial" w:hAnsi="Arial" w:cs="Arial"/>
          <w:i/>
          <w:sz w:val="20"/>
        </w:rPr>
        <w:t>Também deverão ser objeto de justificativa o Regime de Execução adotado, bem como a divisão dos itens/grupos/lotes e a forma de sua adjudicação (preço global, preço por item, preço global de grupo de itens). No caso de registro de preços com adjudicação po</w:t>
      </w:r>
      <w:r>
        <w:rPr>
          <w:rFonts w:ascii="Arial" w:eastAsia="Arial" w:hAnsi="Arial" w:cs="Arial"/>
          <w:i/>
          <w:sz w:val="20"/>
        </w:rPr>
        <w:t xml:space="preserve">r preço global de grupo de itens, a área demandante, deve também fundamentar expressamente, se for o caso, os motivos pelos quais seria inexequível ou inviável, dentro do modelo de execução do contrato, a demanda proporcional ou total de todos os itens do </w:t>
      </w:r>
      <w:r>
        <w:rPr>
          <w:rFonts w:ascii="Arial" w:eastAsia="Arial" w:hAnsi="Arial" w:cs="Arial"/>
          <w:i/>
          <w:sz w:val="20"/>
        </w:rPr>
        <w:t xml:space="preserve">respectivo grupo, como dito anteriormente. </w:t>
      </w:r>
    </w:p>
    <w:p w:rsidR="006C145C" w:rsidRDefault="00C62E5A">
      <w:pPr>
        <w:pBdr>
          <w:top w:val="single" w:sz="4" w:space="0" w:color="1F497D"/>
          <w:left w:val="single" w:sz="4" w:space="0" w:color="1F497D"/>
          <w:right w:val="single" w:sz="4" w:space="0" w:color="1F497D"/>
        </w:pBdr>
        <w:shd w:val="clear" w:color="auto" w:fill="FFFFCC"/>
        <w:spacing w:after="111" w:line="250" w:lineRule="auto"/>
        <w:ind w:left="-5" w:right="51" w:hanging="10"/>
        <w:jc w:val="both"/>
      </w:pPr>
      <w:r>
        <w:rPr>
          <w:rFonts w:ascii="Arial" w:eastAsia="Arial" w:hAnsi="Arial" w:cs="Arial"/>
          <w:i/>
          <w:sz w:val="20"/>
        </w:rPr>
        <w:t>A justificativa, em regra, deve ser apresentada pelo setor requisitante. Quando o serviço possuir características técnicas especializadas, deve o órgão requisitante solicitar à unidade técnica competente a defini</w:t>
      </w:r>
      <w:r>
        <w:rPr>
          <w:rFonts w:ascii="Arial" w:eastAsia="Arial" w:hAnsi="Arial" w:cs="Arial"/>
          <w:i/>
          <w:sz w:val="20"/>
        </w:rPr>
        <w:t xml:space="preserve">ção das especificações do objeto, e, se for o caso, do quantitativo a ser adquirido.  </w:t>
      </w:r>
    </w:p>
    <w:p w:rsidR="006C145C" w:rsidRDefault="00C62E5A">
      <w:pPr>
        <w:pBdr>
          <w:top w:val="single" w:sz="4" w:space="0" w:color="1F497D"/>
          <w:left w:val="single" w:sz="4" w:space="0" w:color="1F497D"/>
          <w:right w:val="single" w:sz="4" w:space="0" w:color="1F497D"/>
        </w:pBdr>
        <w:shd w:val="clear" w:color="auto" w:fill="FFFFCC"/>
        <w:spacing w:after="111" w:line="250" w:lineRule="auto"/>
        <w:ind w:left="-5" w:right="51" w:hanging="10"/>
        <w:jc w:val="both"/>
      </w:pPr>
      <w:r>
        <w:rPr>
          <w:rFonts w:ascii="Arial" w:eastAsia="Arial" w:hAnsi="Arial" w:cs="Arial"/>
          <w:i/>
          <w:sz w:val="20"/>
        </w:rPr>
        <w:t>A adoção de critérios de sustentabilidade na especificação técnica de materiais e práticas de sustentabilidade nas obrigações da contratada, se não decorrerem de legisla</w:t>
      </w:r>
      <w:r>
        <w:rPr>
          <w:rFonts w:ascii="Arial" w:eastAsia="Arial" w:hAnsi="Arial" w:cs="Arial"/>
          <w:i/>
          <w:sz w:val="20"/>
        </w:rPr>
        <w:t xml:space="preserve">ção, deverá ser justificada nos autos e preservar o caráter competitivo do certame. Para a elaboração da justificativa, consultar os fundamentos legais constantes do Decreto n. 7.746/12, bem como a Instrução Normativa n. 1/2010 – SLTI/MP. </w:t>
      </w:r>
    </w:p>
    <w:p w:rsidR="006C145C" w:rsidRDefault="00C62E5A">
      <w:pPr>
        <w:pBdr>
          <w:left w:val="single" w:sz="4" w:space="0" w:color="1F497D"/>
          <w:bottom w:val="single" w:sz="4" w:space="0" w:color="1F497D"/>
          <w:right w:val="single" w:sz="4" w:space="0" w:color="1F497D"/>
        </w:pBdr>
        <w:shd w:val="clear" w:color="auto" w:fill="FFFFCC"/>
        <w:spacing w:after="109" w:line="253" w:lineRule="auto"/>
        <w:ind w:left="2" w:right="49" w:hanging="10"/>
        <w:jc w:val="both"/>
      </w:pPr>
      <w:r>
        <w:rPr>
          <w:rFonts w:ascii="Arial" w:eastAsia="Arial" w:hAnsi="Arial" w:cs="Arial"/>
          <w:i/>
          <w:sz w:val="20"/>
        </w:rPr>
        <w:lastRenderedPageBreak/>
        <w:t>Reforçamos a nec</w:t>
      </w:r>
      <w:r>
        <w:rPr>
          <w:rFonts w:ascii="Arial" w:eastAsia="Arial" w:hAnsi="Arial" w:cs="Arial"/>
          <w:i/>
          <w:sz w:val="20"/>
        </w:rPr>
        <w:t xml:space="preserve">essidade de justificar a opção pelo Regime de Execução adotado. </w:t>
      </w:r>
    </w:p>
    <w:p w:rsidR="006C145C" w:rsidRDefault="00C62E5A">
      <w:pPr>
        <w:pBdr>
          <w:left w:val="single" w:sz="4" w:space="0" w:color="1F497D"/>
          <w:bottom w:val="single" w:sz="4" w:space="0" w:color="1F497D"/>
          <w:right w:val="single" w:sz="4" w:space="0" w:color="1F497D"/>
        </w:pBdr>
        <w:shd w:val="clear" w:color="auto" w:fill="FFFFCC"/>
        <w:spacing w:after="117" w:line="242" w:lineRule="auto"/>
        <w:ind w:left="-8" w:right="49"/>
        <w:jc w:val="both"/>
      </w:pPr>
      <w:r>
        <w:rPr>
          <w:rFonts w:ascii="Arial" w:eastAsia="Arial" w:hAnsi="Arial" w:cs="Arial"/>
          <w:b/>
          <w:i/>
          <w:sz w:val="20"/>
        </w:rPr>
        <w:t>Nota explicativa 2</w:t>
      </w:r>
      <w:r>
        <w:rPr>
          <w:rFonts w:ascii="Arial" w:eastAsia="Arial" w:hAnsi="Arial" w:cs="Arial"/>
          <w:b/>
          <w:sz w:val="20"/>
        </w:rPr>
        <w:t xml:space="preserve">: </w:t>
      </w:r>
      <w:r>
        <w:rPr>
          <w:rFonts w:ascii="Arial" w:eastAsia="Arial" w:hAnsi="Arial" w:cs="Arial"/>
          <w:i/>
          <w:sz w:val="20"/>
        </w:rPr>
        <w:t xml:space="preserve">Também nos termos da IN nº </w:t>
      </w:r>
      <w:r>
        <w:rPr>
          <w:rFonts w:ascii="Arial" w:eastAsia="Arial" w:hAnsi="Arial" w:cs="Arial"/>
          <w:i/>
          <w:sz w:val="20"/>
          <w:u w:val="single" w:color="000000"/>
        </w:rPr>
        <w:t>05/2017, art. 30, o Termo de Referência deve conter,</w:t>
      </w:r>
      <w:r>
        <w:rPr>
          <w:rFonts w:ascii="Arial" w:eastAsia="Arial" w:hAnsi="Arial" w:cs="Arial"/>
          <w:i/>
          <w:sz w:val="20"/>
        </w:rPr>
        <w:t xml:space="preserve"> </w:t>
      </w:r>
      <w:r>
        <w:rPr>
          <w:rFonts w:ascii="Arial" w:eastAsia="Arial" w:hAnsi="Arial" w:cs="Arial"/>
          <w:i/>
          <w:sz w:val="20"/>
          <w:u w:val="single" w:color="000000"/>
        </w:rPr>
        <w:t>no mínimo: a) declaração do objeto; b) fundamentação da contratação; e c) descrição da solução como</w:t>
      </w:r>
      <w:r>
        <w:rPr>
          <w:rFonts w:ascii="Arial" w:eastAsia="Arial" w:hAnsi="Arial" w:cs="Arial"/>
          <w:i/>
          <w:sz w:val="20"/>
        </w:rPr>
        <w:t xml:space="preserve"> </w:t>
      </w:r>
      <w:r>
        <w:rPr>
          <w:rFonts w:ascii="Arial" w:eastAsia="Arial" w:hAnsi="Arial" w:cs="Arial"/>
          <w:i/>
          <w:sz w:val="20"/>
          <w:u w:val="single" w:color="000000"/>
        </w:rPr>
        <w:t>um todo. Tais previsões deverão ser inseridas neste tópico específico. Atentar para o ANEXO V da IN</w:t>
      </w:r>
      <w:r>
        <w:rPr>
          <w:rFonts w:ascii="Arial" w:eastAsia="Arial" w:hAnsi="Arial" w:cs="Arial"/>
          <w:i/>
          <w:sz w:val="20"/>
        </w:rPr>
        <w:t xml:space="preserve"> </w:t>
      </w:r>
      <w:r>
        <w:rPr>
          <w:rFonts w:ascii="Arial" w:eastAsia="Arial" w:hAnsi="Arial" w:cs="Arial"/>
          <w:i/>
          <w:sz w:val="20"/>
          <w:u w:val="single" w:color="000000"/>
        </w:rPr>
        <w:t>nº 05/2017, que traz as diretrizes desses elementos.</w:t>
      </w:r>
      <w:r>
        <w:rPr>
          <w:rFonts w:ascii="Arial" w:eastAsia="Arial" w:hAnsi="Arial" w:cs="Arial"/>
          <w:i/>
          <w:sz w:val="20"/>
        </w:rPr>
        <w:t xml:space="preserve">  </w:t>
      </w:r>
    </w:p>
    <w:p w:rsidR="006C145C" w:rsidRDefault="00C62E5A">
      <w:pPr>
        <w:pBdr>
          <w:left w:val="single" w:sz="4" w:space="0" w:color="1F497D"/>
          <w:bottom w:val="single" w:sz="4" w:space="0" w:color="1F497D"/>
          <w:right w:val="single" w:sz="4" w:space="0" w:color="1F497D"/>
        </w:pBdr>
        <w:shd w:val="clear" w:color="auto" w:fill="FFFFCC"/>
        <w:spacing w:after="109" w:line="253" w:lineRule="auto"/>
        <w:ind w:left="2" w:right="49" w:hanging="10"/>
        <w:jc w:val="both"/>
      </w:pPr>
      <w:r>
        <w:rPr>
          <w:rFonts w:ascii="Arial" w:eastAsia="Arial" w:hAnsi="Arial" w:cs="Arial"/>
          <w:b/>
          <w:sz w:val="20"/>
        </w:rPr>
        <w:t>N</w:t>
      </w:r>
      <w:r>
        <w:rPr>
          <w:rFonts w:ascii="Arial" w:eastAsia="Arial" w:hAnsi="Arial" w:cs="Arial"/>
          <w:b/>
          <w:sz w:val="20"/>
        </w:rPr>
        <w:t xml:space="preserve">ota explicativa 3: </w:t>
      </w:r>
      <w:r>
        <w:rPr>
          <w:rFonts w:ascii="Arial" w:eastAsia="Arial" w:hAnsi="Arial" w:cs="Arial"/>
          <w:i/>
          <w:sz w:val="20"/>
        </w:rPr>
        <w:t xml:space="preserve">Nos termos do artigo 18, §2º, da IN 05/2017, a adoção de um dos critérios de pagamento, por fato gerador ou conta vinculada, deverá ser justificada com base na avaliação da relação custo-benefício.  </w:t>
      </w:r>
    </w:p>
    <w:p w:rsidR="006C145C" w:rsidRDefault="00C62E5A">
      <w:pPr>
        <w:pBdr>
          <w:left w:val="single" w:sz="4" w:space="0" w:color="1F497D"/>
          <w:bottom w:val="single" w:sz="4" w:space="0" w:color="1F497D"/>
          <w:right w:val="single" w:sz="4" w:space="0" w:color="1F497D"/>
        </w:pBdr>
        <w:shd w:val="clear" w:color="auto" w:fill="FFFFCC"/>
        <w:spacing w:after="492"/>
        <w:ind w:left="-8" w:right="49"/>
      </w:pPr>
      <w:r>
        <w:rPr>
          <w:rFonts w:ascii="Arial" w:eastAsia="Arial" w:hAnsi="Arial" w:cs="Arial"/>
          <w:b/>
          <w:sz w:val="20"/>
        </w:rPr>
        <w:t xml:space="preserve"> </w:t>
      </w:r>
    </w:p>
    <w:p w:rsidR="006C145C" w:rsidRDefault="00C62E5A">
      <w:pPr>
        <w:tabs>
          <w:tab w:val="center" w:pos="454"/>
          <w:tab w:val="center" w:pos="2091"/>
        </w:tabs>
        <w:spacing w:after="35" w:line="249" w:lineRule="auto"/>
      </w:pPr>
      <w:r>
        <w:tab/>
      </w:r>
      <w:r>
        <w:rPr>
          <w:rFonts w:ascii="Arial" w:eastAsia="Arial" w:hAnsi="Arial" w:cs="Arial"/>
          <w:b/>
          <w:sz w:val="20"/>
        </w:rPr>
        <w:t xml:space="preserve">3 </w:t>
      </w:r>
      <w:r>
        <w:rPr>
          <w:rFonts w:ascii="Arial" w:eastAsia="Arial" w:hAnsi="Arial" w:cs="Arial"/>
          <w:b/>
          <w:sz w:val="20"/>
        </w:rPr>
        <w:tab/>
        <w:t xml:space="preserve">DESCRIÇÃO DA SOLUÇÃO: </w:t>
      </w:r>
    </w:p>
    <w:p w:rsidR="006C145C" w:rsidRDefault="00C62E5A">
      <w:pPr>
        <w:spacing w:after="19"/>
        <w:ind w:left="646"/>
      </w:pPr>
      <w:r>
        <w:rPr>
          <w:rFonts w:ascii="Arial" w:eastAsia="Arial" w:hAnsi="Arial" w:cs="Arial"/>
          <w:b/>
          <w:sz w:val="20"/>
        </w:rPr>
        <w:t xml:space="preserve"> </w:t>
      </w:r>
    </w:p>
    <w:p w:rsidR="006C145C" w:rsidRDefault="00C62E5A">
      <w:pPr>
        <w:spacing w:after="91" w:line="270" w:lineRule="auto"/>
        <w:ind w:left="715" w:right="54" w:hanging="360"/>
        <w:jc w:val="both"/>
      </w:pPr>
      <w:r>
        <w:rPr>
          <w:rFonts w:ascii="Arial" w:eastAsia="Arial" w:hAnsi="Arial" w:cs="Arial"/>
          <w:b/>
          <w:sz w:val="20"/>
        </w:rPr>
        <w:t xml:space="preserve">3.1 </w:t>
      </w:r>
      <w:r>
        <w:rPr>
          <w:rFonts w:ascii="Arial" w:eastAsia="Arial" w:hAnsi="Arial" w:cs="Arial"/>
          <w:sz w:val="20"/>
        </w:rPr>
        <w:t>A descrição da solução como um todo, conforme minudenciado nos Estudos Preliminares, abrange a prestação do serviço de</w:t>
      </w:r>
      <w:r>
        <w:rPr>
          <w:rFonts w:ascii="Arial" w:eastAsia="Arial" w:hAnsi="Arial" w:cs="Arial"/>
          <w:color w:val="FF0000"/>
          <w:sz w:val="20"/>
        </w:rPr>
        <w:t xml:space="preserve">... .... </w:t>
      </w:r>
      <w:r>
        <w:rPr>
          <w:rFonts w:ascii="Arial" w:eastAsia="Arial" w:hAnsi="Arial" w:cs="Arial"/>
          <w:sz w:val="20"/>
        </w:rPr>
        <w:t>para</w:t>
      </w:r>
      <w:r>
        <w:rPr>
          <w:rFonts w:ascii="Arial" w:eastAsia="Arial" w:hAnsi="Arial" w:cs="Arial"/>
          <w:color w:val="FF0000"/>
          <w:sz w:val="20"/>
        </w:rPr>
        <w:t xml:space="preserve">.... </w:t>
      </w:r>
      <w:r>
        <w:rPr>
          <w:rFonts w:ascii="Arial" w:eastAsia="Arial" w:hAnsi="Arial" w:cs="Arial"/>
          <w:b/>
          <w:color w:val="FF0000"/>
          <w:sz w:val="20"/>
        </w:rPr>
        <w:t xml:space="preserve"> </w:t>
      </w:r>
    </w:p>
    <w:p w:rsidR="006C145C" w:rsidRDefault="00C62E5A">
      <w:pPr>
        <w:spacing w:after="132"/>
        <w:ind w:left="715"/>
      </w:pPr>
      <w:r>
        <w:rPr>
          <w:rFonts w:ascii="Arial" w:eastAsia="Arial" w:hAnsi="Arial" w:cs="Arial"/>
          <w:b/>
          <w:sz w:val="20"/>
        </w:rPr>
        <w:t xml:space="preserve"> </w:t>
      </w:r>
    </w:p>
    <w:p w:rsidR="006C145C" w:rsidRDefault="00C62E5A">
      <w:pPr>
        <w:pBdr>
          <w:top w:val="single" w:sz="4" w:space="0" w:color="000080"/>
          <w:left w:val="single" w:sz="4" w:space="0" w:color="000080"/>
          <w:bottom w:val="single" w:sz="4" w:space="0" w:color="000080"/>
          <w:right w:val="single" w:sz="4" w:space="0" w:color="000080"/>
        </w:pBdr>
        <w:shd w:val="clear" w:color="auto" w:fill="FFFFCC"/>
        <w:spacing w:after="504" w:line="250" w:lineRule="auto"/>
        <w:ind w:left="7" w:right="52" w:hanging="10"/>
        <w:jc w:val="both"/>
      </w:pPr>
      <w:r>
        <w:rPr>
          <w:rFonts w:ascii="Arial" w:eastAsia="Arial" w:hAnsi="Arial" w:cs="Arial"/>
          <w:b/>
          <w:i/>
          <w:sz w:val="20"/>
        </w:rPr>
        <w:t>Nota Explicativa:</w:t>
      </w:r>
      <w:r>
        <w:rPr>
          <w:rFonts w:ascii="Arial" w:eastAsia="Arial" w:hAnsi="Arial" w:cs="Arial"/>
          <w:i/>
          <w:sz w:val="20"/>
        </w:rPr>
        <w:t xml:space="preserve"> A IN 05/2017 –</w:t>
      </w:r>
      <w:r>
        <w:rPr>
          <w:rFonts w:ascii="Arial" w:eastAsia="Arial" w:hAnsi="Arial" w:cs="Arial"/>
          <w:i/>
          <w:sz w:val="20"/>
        </w:rPr>
        <w:t>MP/SEGES, determina em seu artigo 30, III, que o Termo de Referência contenha a descrição da solução buscada com a contratação, sendo que seu anexo V, disposição 2.3., determina que tal dado seja extraído dos Estudos Preliminares, podendo ser atualizado em</w:t>
      </w:r>
      <w:r>
        <w:rPr>
          <w:rFonts w:ascii="Arial" w:eastAsia="Arial" w:hAnsi="Arial" w:cs="Arial"/>
          <w:i/>
          <w:sz w:val="20"/>
        </w:rPr>
        <w:t xml:space="preserve"> decorrência do amadurecimento da descrição. </w:t>
      </w:r>
    </w:p>
    <w:p w:rsidR="006C145C" w:rsidRDefault="00C62E5A">
      <w:pPr>
        <w:pStyle w:val="Ttulo5"/>
        <w:tabs>
          <w:tab w:val="center" w:pos="454"/>
          <w:tab w:val="center" w:pos="4624"/>
        </w:tabs>
        <w:ind w:left="0" w:firstLine="0"/>
        <w:jc w:val="left"/>
      </w:pPr>
      <w:r>
        <w:rPr>
          <w:rFonts w:ascii="Calibri" w:eastAsia="Calibri" w:hAnsi="Calibri" w:cs="Calibri"/>
          <w:b w:val="0"/>
          <w:sz w:val="22"/>
        </w:rPr>
        <w:tab/>
      </w:r>
      <w:r>
        <w:t xml:space="preserve">4 </w:t>
      </w:r>
      <w:r>
        <w:tab/>
        <w:t xml:space="preserve">DA CLASSIFICAÇÃO DOS SERVIÇOS E FORMA DE SELEÇÃO DO FORNECEDOR </w:t>
      </w:r>
    </w:p>
    <w:p w:rsidR="006C145C" w:rsidRDefault="00C62E5A">
      <w:pPr>
        <w:spacing w:after="155" w:line="270" w:lineRule="auto"/>
        <w:ind w:left="770" w:right="58" w:hanging="360"/>
        <w:jc w:val="both"/>
      </w:pPr>
      <w:r>
        <w:rPr>
          <w:rFonts w:ascii="Arial" w:eastAsia="Arial" w:hAnsi="Arial" w:cs="Arial"/>
          <w:i/>
          <w:sz w:val="20"/>
        </w:rPr>
        <w:t xml:space="preserve">4.1 </w:t>
      </w:r>
      <w:r>
        <w:rPr>
          <w:rFonts w:ascii="Arial" w:eastAsia="Arial" w:hAnsi="Arial" w:cs="Arial"/>
          <w:i/>
          <w:color w:val="FF0000"/>
          <w:sz w:val="20"/>
        </w:rPr>
        <w:t>Trata-se de serviço comum, com fornecimento de mão de obra em regime de dedicação exclusiva, a ser contratado mediante licitação, na modal</w:t>
      </w:r>
      <w:r>
        <w:rPr>
          <w:rFonts w:ascii="Arial" w:eastAsia="Arial" w:hAnsi="Arial" w:cs="Arial"/>
          <w:i/>
          <w:color w:val="FF0000"/>
          <w:sz w:val="20"/>
        </w:rPr>
        <w:t xml:space="preserve">idade pregão, em sua forma eletrônica.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7" w:line="249" w:lineRule="auto"/>
        <w:ind w:left="-5" w:right="57" w:hanging="10"/>
        <w:jc w:val="both"/>
      </w:pPr>
      <w:r>
        <w:rPr>
          <w:rFonts w:ascii="Arial" w:eastAsia="Arial" w:hAnsi="Arial" w:cs="Arial"/>
          <w:b/>
          <w:i/>
          <w:sz w:val="20"/>
        </w:rPr>
        <w:t>Nota Explicativa</w:t>
      </w:r>
      <w:r>
        <w:rPr>
          <w:rFonts w:ascii="Arial" w:eastAsia="Arial" w:hAnsi="Arial" w:cs="Arial"/>
          <w:i/>
          <w:sz w:val="20"/>
        </w:rPr>
        <w:t xml:space="preserve">: deve a Administração definir se natureza do objeto a ser contratado é comum nos termos do parágrafo único, do art. 1°, da Lei 10.520, de 2002. , c/c art. 4º do Decreto nº 5.450/2005.  Vide item 2.7 </w:t>
      </w:r>
      <w:r>
        <w:rPr>
          <w:rFonts w:ascii="Arial" w:eastAsia="Arial" w:hAnsi="Arial" w:cs="Arial"/>
          <w:i/>
          <w:sz w:val="20"/>
        </w:rPr>
        <w:t xml:space="preserve">do ANEXO V da IN nº 05/2017. </w:t>
      </w:r>
    </w:p>
    <w:p w:rsidR="006C145C" w:rsidRDefault="00C62E5A">
      <w:pPr>
        <w:spacing w:after="129" w:line="270" w:lineRule="auto"/>
        <w:ind w:left="433" w:right="54" w:hanging="8"/>
        <w:jc w:val="both"/>
      </w:pPr>
      <w:r>
        <w:rPr>
          <w:rFonts w:ascii="Arial" w:eastAsia="Arial" w:hAnsi="Arial" w:cs="Arial"/>
          <w:sz w:val="20"/>
        </w:rPr>
        <w:t>4.2 Os serviços a serem contratados enquadram-se nos pressupostos do Decreto n° 9.507, de 21 de setembro de 2018, não se constituindo em quaisquer das atividades, previstas no art. 3º do aludido decreto, cuja execução indireta</w:t>
      </w:r>
      <w:r>
        <w:rPr>
          <w:rFonts w:ascii="Arial" w:eastAsia="Arial" w:hAnsi="Arial" w:cs="Arial"/>
          <w:sz w:val="20"/>
        </w:rPr>
        <w:t xml:space="preserve"> é vedada. </w:t>
      </w:r>
    </w:p>
    <w:p w:rsidR="006C145C" w:rsidRDefault="00C62E5A">
      <w:pPr>
        <w:spacing w:after="483" w:line="270" w:lineRule="auto"/>
        <w:ind w:left="433" w:right="54" w:hanging="8"/>
        <w:jc w:val="both"/>
      </w:pPr>
      <w:r>
        <w:rPr>
          <w:rFonts w:ascii="Arial" w:eastAsia="Arial" w:hAnsi="Arial" w:cs="Arial"/>
          <w:sz w:val="20"/>
        </w:rPr>
        <w:t xml:space="preserve">4.3 A prestação dos serviços não gera vínculo empregatício entre os empregados da Contratada e a Administração Contratante, vedando-se qualquer relação entre estes que caracterize pessoalidade e subordinação direta. </w:t>
      </w:r>
    </w:p>
    <w:p w:rsidR="006C145C" w:rsidRDefault="00C62E5A">
      <w:pPr>
        <w:pStyle w:val="Ttulo5"/>
        <w:tabs>
          <w:tab w:val="center" w:pos="454"/>
          <w:tab w:val="center" w:pos="2355"/>
        </w:tabs>
        <w:spacing w:after="35"/>
        <w:ind w:left="0" w:firstLine="0"/>
        <w:jc w:val="left"/>
      </w:pPr>
      <w:r>
        <w:rPr>
          <w:rFonts w:ascii="Calibri" w:eastAsia="Calibri" w:hAnsi="Calibri" w:cs="Calibri"/>
          <w:b w:val="0"/>
          <w:sz w:val="22"/>
        </w:rPr>
        <w:tab/>
      </w:r>
      <w:r>
        <w:t xml:space="preserve">5 </w:t>
      </w:r>
      <w:r>
        <w:tab/>
      </w:r>
      <w:r>
        <w:t xml:space="preserve">REQUISITOS DA CONTRATAÇÃO </w:t>
      </w:r>
    </w:p>
    <w:p w:rsidR="006C145C" w:rsidRDefault="00C62E5A">
      <w:pPr>
        <w:spacing w:after="103"/>
        <w:ind w:left="715"/>
      </w:pPr>
      <w:r>
        <w:rPr>
          <w:rFonts w:ascii="Arial" w:eastAsia="Arial" w:hAnsi="Arial" w:cs="Arial"/>
          <w:sz w:val="20"/>
        </w:rPr>
        <w:t xml:space="preserve"> </w:t>
      </w:r>
    </w:p>
    <w:p w:rsidR="006C145C" w:rsidRDefault="00C62E5A">
      <w:pPr>
        <w:spacing w:after="91" w:line="270" w:lineRule="auto"/>
        <w:ind w:left="363" w:right="54" w:hanging="8"/>
        <w:jc w:val="both"/>
      </w:pPr>
      <w:r>
        <w:rPr>
          <w:rFonts w:ascii="Arial" w:eastAsia="Arial" w:hAnsi="Arial" w:cs="Arial"/>
          <w:sz w:val="20"/>
        </w:rPr>
        <w:t xml:space="preserve">5.1 Conforme Estudos Preliminares, os requisitos da contratação abrangem o seguinte: </w:t>
      </w:r>
    </w:p>
    <w:p w:rsidR="006C145C" w:rsidRDefault="00C62E5A">
      <w:pPr>
        <w:tabs>
          <w:tab w:val="center" w:pos="1394"/>
          <w:tab w:val="center" w:pos="4677"/>
        </w:tabs>
        <w:spacing w:after="101" w:line="270" w:lineRule="auto"/>
      </w:pPr>
      <w:r>
        <w:tab/>
      </w:r>
      <w:r>
        <w:rPr>
          <w:rFonts w:ascii="Arial" w:eastAsia="Arial" w:hAnsi="Arial" w:cs="Arial"/>
          <w:i/>
          <w:color w:val="FF0000"/>
          <w:sz w:val="20"/>
        </w:rPr>
        <w:t xml:space="preserve">5.1.1 </w:t>
      </w:r>
      <w:r>
        <w:rPr>
          <w:rFonts w:ascii="Arial" w:eastAsia="Arial" w:hAnsi="Arial" w:cs="Arial"/>
          <w:i/>
          <w:color w:val="FF0000"/>
          <w:sz w:val="20"/>
        </w:rPr>
        <w:tab/>
      </w:r>
      <w:r>
        <w:rPr>
          <w:rFonts w:ascii="Arial" w:eastAsia="Arial" w:hAnsi="Arial" w:cs="Arial"/>
          <w:sz w:val="20"/>
        </w:rPr>
        <w:t xml:space="preserve">... </w:t>
      </w:r>
      <w:r>
        <w:rPr>
          <w:rFonts w:ascii="Arial" w:eastAsia="Arial" w:hAnsi="Arial" w:cs="Arial"/>
          <w:i/>
          <w:color w:val="FF0000"/>
          <w:sz w:val="20"/>
        </w:rPr>
        <w:t xml:space="preserve">(requisitos necessários para o atendimento da necessidade) </w:t>
      </w:r>
    </w:p>
    <w:p w:rsidR="006C145C" w:rsidRDefault="00C62E5A">
      <w:pPr>
        <w:tabs>
          <w:tab w:val="center" w:pos="1394"/>
          <w:tab w:val="center" w:pos="2903"/>
        </w:tabs>
        <w:spacing w:after="99" w:line="270" w:lineRule="auto"/>
      </w:pPr>
      <w:r>
        <w:tab/>
      </w:r>
      <w:r>
        <w:rPr>
          <w:rFonts w:ascii="Arial" w:eastAsia="Arial" w:hAnsi="Arial" w:cs="Arial"/>
          <w:i/>
          <w:color w:val="FF0000"/>
          <w:sz w:val="20"/>
        </w:rPr>
        <w:t xml:space="preserve">5.1.2 </w:t>
      </w:r>
      <w:r>
        <w:rPr>
          <w:rFonts w:ascii="Arial" w:eastAsia="Arial" w:hAnsi="Arial" w:cs="Arial"/>
          <w:i/>
          <w:color w:val="FF0000"/>
          <w:sz w:val="20"/>
        </w:rPr>
        <w:tab/>
        <w:t xml:space="preserve">... (serviço continuado) </w:t>
      </w:r>
    </w:p>
    <w:p w:rsidR="006C145C" w:rsidRDefault="00C62E5A">
      <w:pPr>
        <w:tabs>
          <w:tab w:val="center" w:pos="1394"/>
          <w:tab w:val="center" w:pos="3769"/>
        </w:tabs>
        <w:spacing w:after="101" w:line="270" w:lineRule="auto"/>
      </w:pPr>
      <w:r>
        <w:tab/>
      </w:r>
      <w:r>
        <w:rPr>
          <w:rFonts w:ascii="Arial" w:eastAsia="Arial" w:hAnsi="Arial" w:cs="Arial"/>
          <w:i/>
          <w:color w:val="FF0000"/>
          <w:sz w:val="20"/>
        </w:rPr>
        <w:t xml:space="preserve">5.1.3 </w:t>
      </w:r>
      <w:r>
        <w:rPr>
          <w:rFonts w:ascii="Arial" w:eastAsia="Arial" w:hAnsi="Arial" w:cs="Arial"/>
          <w:i/>
          <w:color w:val="FF0000"/>
          <w:sz w:val="20"/>
        </w:rPr>
        <w:tab/>
        <w:t>... (critérios e práticas d</w:t>
      </w:r>
      <w:r>
        <w:rPr>
          <w:rFonts w:ascii="Arial" w:eastAsia="Arial" w:hAnsi="Arial" w:cs="Arial"/>
          <w:i/>
          <w:color w:val="FF0000"/>
          <w:sz w:val="20"/>
        </w:rPr>
        <w:t xml:space="preserve">e sustentabilidade) </w:t>
      </w:r>
    </w:p>
    <w:p w:rsidR="006C145C" w:rsidRDefault="00C62E5A">
      <w:pPr>
        <w:tabs>
          <w:tab w:val="center" w:pos="1394"/>
          <w:tab w:val="center" w:pos="3236"/>
        </w:tabs>
        <w:spacing w:after="101" w:line="270" w:lineRule="auto"/>
      </w:pPr>
      <w:r>
        <w:tab/>
      </w:r>
      <w:r>
        <w:rPr>
          <w:rFonts w:ascii="Arial" w:eastAsia="Arial" w:hAnsi="Arial" w:cs="Arial"/>
          <w:i/>
          <w:color w:val="FF0000"/>
          <w:sz w:val="20"/>
        </w:rPr>
        <w:t xml:space="preserve">5.1.4 </w:t>
      </w:r>
      <w:r>
        <w:rPr>
          <w:rFonts w:ascii="Arial" w:eastAsia="Arial" w:hAnsi="Arial" w:cs="Arial"/>
          <w:i/>
          <w:color w:val="FF0000"/>
          <w:sz w:val="20"/>
        </w:rPr>
        <w:tab/>
        <w:t xml:space="preserve">... (duração inicial do contrato) </w:t>
      </w:r>
    </w:p>
    <w:p w:rsidR="006C145C" w:rsidRDefault="00C62E5A">
      <w:pPr>
        <w:spacing w:after="97" w:line="270" w:lineRule="auto"/>
        <w:ind w:left="1778" w:right="58" w:hanging="720"/>
        <w:jc w:val="both"/>
      </w:pPr>
      <w:r>
        <w:rPr>
          <w:rFonts w:ascii="Arial" w:eastAsia="Arial" w:hAnsi="Arial" w:cs="Arial"/>
          <w:i/>
          <w:color w:val="FF0000"/>
          <w:sz w:val="20"/>
        </w:rPr>
        <w:t xml:space="preserve">5.1.5 ... (eventual necessidade de transição gradual com transferência de conhecimento, tecnologia e técnicas empregadas) </w:t>
      </w:r>
    </w:p>
    <w:p w:rsidR="006C145C" w:rsidRDefault="00C62E5A">
      <w:pPr>
        <w:tabs>
          <w:tab w:val="center" w:pos="1394"/>
          <w:tab w:val="center" w:pos="3576"/>
        </w:tabs>
        <w:spacing w:after="130" w:line="270" w:lineRule="auto"/>
      </w:pPr>
      <w:r>
        <w:tab/>
      </w:r>
      <w:r>
        <w:rPr>
          <w:rFonts w:ascii="Arial" w:eastAsia="Arial" w:hAnsi="Arial" w:cs="Arial"/>
          <w:i/>
          <w:sz w:val="20"/>
        </w:rPr>
        <w:t xml:space="preserve">5.1.6 </w:t>
      </w:r>
      <w:r>
        <w:rPr>
          <w:rFonts w:ascii="Arial" w:eastAsia="Arial" w:hAnsi="Arial" w:cs="Arial"/>
          <w:i/>
          <w:sz w:val="20"/>
        </w:rPr>
        <w:tab/>
      </w:r>
      <w:r>
        <w:rPr>
          <w:rFonts w:ascii="Arial" w:eastAsia="Arial" w:hAnsi="Arial" w:cs="Arial"/>
          <w:i/>
          <w:color w:val="FF0000"/>
          <w:sz w:val="20"/>
        </w:rPr>
        <w:t>... (quadro com soluções de mercado)</w:t>
      </w:r>
      <w:r>
        <w:rPr>
          <w:rFonts w:ascii="Arial" w:eastAsia="Arial" w:hAnsi="Arial" w:cs="Arial"/>
          <w:i/>
          <w:sz w:val="20"/>
        </w:rPr>
        <w:t xml:space="preserve"> </w:t>
      </w:r>
    </w:p>
    <w:p w:rsidR="006C145C" w:rsidRDefault="00C62E5A">
      <w:pPr>
        <w:spacing w:after="99" w:line="270" w:lineRule="auto"/>
        <w:ind w:left="360" w:right="58" w:hanging="360"/>
        <w:jc w:val="both"/>
      </w:pPr>
      <w:r>
        <w:rPr>
          <w:rFonts w:ascii="Arial" w:eastAsia="Arial" w:hAnsi="Arial" w:cs="Arial"/>
          <w:i/>
          <w:sz w:val="20"/>
        </w:rPr>
        <w:lastRenderedPageBreak/>
        <w:t xml:space="preserve">5.2 </w:t>
      </w:r>
      <w:r>
        <w:rPr>
          <w:rFonts w:ascii="Arial" w:eastAsia="Arial" w:hAnsi="Arial" w:cs="Arial"/>
          <w:i/>
          <w:color w:val="FF0000"/>
          <w:sz w:val="20"/>
        </w:rPr>
        <w:t xml:space="preserve">O enquadramento das categorias profissionais que serão empregadas no serviço, dentro da Classificação Brasileira de Ocupações (CBO), caso haja disponibilização de mão de obra em regime de dedicação exclusiva, é o seguinte: </w:t>
      </w:r>
    </w:p>
    <w:p w:rsidR="006C145C" w:rsidRDefault="00C62E5A">
      <w:pPr>
        <w:tabs>
          <w:tab w:val="center" w:pos="826"/>
          <w:tab w:val="center" w:pos="1325"/>
        </w:tabs>
        <w:spacing w:after="101" w:line="269" w:lineRule="auto"/>
      </w:pPr>
      <w:r>
        <w:tab/>
      </w:r>
      <w:r>
        <w:rPr>
          <w:rFonts w:ascii="Arial" w:eastAsia="Arial" w:hAnsi="Arial" w:cs="Arial"/>
          <w:color w:val="FF0000"/>
          <w:sz w:val="20"/>
        </w:rPr>
        <w:t xml:space="preserve">5.2.1 </w:t>
      </w:r>
      <w:r>
        <w:rPr>
          <w:rFonts w:ascii="Arial" w:eastAsia="Arial" w:hAnsi="Arial" w:cs="Arial"/>
          <w:color w:val="FF0000"/>
          <w:sz w:val="20"/>
        </w:rPr>
        <w:tab/>
        <w:t xml:space="preserve"> </w:t>
      </w:r>
    </w:p>
    <w:p w:rsidR="006C145C" w:rsidRDefault="00C62E5A">
      <w:pPr>
        <w:spacing w:after="94" w:line="270" w:lineRule="auto"/>
        <w:ind w:left="357" w:right="54" w:hanging="360"/>
        <w:jc w:val="both"/>
      </w:pPr>
      <w:r>
        <w:rPr>
          <w:rFonts w:ascii="Arial" w:eastAsia="Arial" w:hAnsi="Arial" w:cs="Arial"/>
          <w:sz w:val="20"/>
        </w:rPr>
        <w:t>5.3 Declaração do lici</w:t>
      </w:r>
      <w:r>
        <w:rPr>
          <w:rFonts w:ascii="Arial" w:eastAsia="Arial" w:hAnsi="Arial" w:cs="Arial"/>
          <w:sz w:val="20"/>
        </w:rPr>
        <w:t xml:space="preserve">tante de que tem pleno conhecimento das condições necessárias para a prestação do serviço. </w:t>
      </w:r>
    </w:p>
    <w:p w:rsidR="006C145C" w:rsidRDefault="00C62E5A">
      <w:pPr>
        <w:spacing w:after="97" w:line="270" w:lineRule="auto"/>
        <w:ind w:left="360" w:right="58" w:hanging="360"/>
        <w:jc w:val="both"/>
      </w:pPr>
      <w:r>
        <w:rPr>
          <w:rFonts w:ascii="Arial" w:eastAsia="Arial" w:hAnsi="Arial" w:cs="Arial"/>
          <w:i/>
          <w:sz w:val="20"/>
        </w:rPr>
        <w:t xml:space="preserve">5.4 </w:t>
      </w:r>
      <w:r>
        <w:rPr>
          <w:rFonts w:ascii="Arial" w:eastAsia="Arial" w:hAnsi="Arial" w:cs="Arial"/>
          <w:i/>
          <w:color w:val="FF0000"/>
          <w:sz w:val="20"/>
        </w:rPr>
        <w:t xml:space="preserve">A quantidade estimada de deslocamentos é de____. Há a necessidade de hospedagem, estimada em.... </w:t>
      </w:r>
    </w:p>
    <w:p w:rsidR="006C145C" w:rsidRDefault="00C62E5A">
      <w:pPr>
        <w:spacing w:after="0" w:line="269" w:lineRule="auto"/>
        <w:ind w:left="-5" w:right="54" w:hanging="10"/>
        <w:jc w:val="both"/>
      </w:pPr>
      <w:r>
        <w:rPr>
          <w:rFonts w:ascii="Arial" w:eastAsia="Arial" w:hAnsi="Arial" w:cs="Arial"/>
          <w:b/>
          <w:sz w:val="20"/>
        </w:rPr>
        <w:t xml:space="preserve">5.5 </w:t>
      </w:r>
      <w:r>
        <w:rPr>
          <w:rFonts w:ascii="Arial" w:eastAsia="Arial" w:hAnsi="Arial" w:cs="Arial"/>
          <w:color w:val="FF0000"/>
          <w:sz w:val="20"/>
        </w:rPr>
        <w:t xml:space="preserve">As obrigações da Contratada e Contratante estão previstas </w:t>
      </w:r>
      <w:r>
        <w:rPr>
          <w:rFonts w:ascii="Arial" w:eastAsia="Arial" w:hAnsi="Arial" w:cs="Arial"/>
          <w:color w:val="FF0000"/>
          <w:sz w:val="20"/>
        </w:rPr>
        <w:t>neste TR...</w:t>
      </w:r>
      <w:r>
        <w:rPr>
          <w:rFonts w:ascii="Arial" w:eastAsia="Arial" w:hAnsi="Arial" w:cs="Arial"/>
          <w:b/>
          <w:sz w:val="20"/>
        </w:rPr>
        <w:t xml:space="preserve"> </w:t>
      </w:r>
    </w:p>
    <w:tbl>
      <w:tblPr>
        <w:tblStyle w:val="TableGrid"/>
        <w:tblW w:w="9326" w:type="dxa"/>
        <w:tblInd w:w="-482" w:type="dxa"/>
        <w:tblCellMar>
          <w:top w:w="28" w:type="dxa"/>
          <w:left w:w="92" w:type="dxa"/>
          <w:bottom w:w="0" w:type="dxa"/>
          <w:right w:w="36" w:type="dxa"/>
        </w:tblCellMar>
        <w:tblLook w:val="04A0" w:firstRow="1" w:lastRow="0" w:firstColumn="1" w:lastColumn="0" w:noHBand="0" w:noVBand="1"/>
      </w:tblPr>
      <w:tblGrid>
        <w:gridCol w:w="2538"/>
        <w:gridCol w:w="3260"/>
        <w:gridCol w:w="3528"/>
      </w:tblGrid>
      <w:tr w:rsidR="006C145C">
        <w:trPr>
          <w:trHeight w:val="8105"/>
        </w:trPr>
        <w:tc>
          <w:tcPr>
            <w:tcW w:w="9326" w:type="dxa"/>
            <w:gridSpan w:val="3"/>
            <w:tcBorders>
              <w:top w:val="single" w:sz="4" w:space="0" w:color="000080"/>
              <w:left w:val="single" w:sz="4" w:space="0" w:color="000080"/>
              <w:bottom w:val="single" w:sz="4" w:space="0" w:color="000000"/>
              <w:right w:val="single" w:sz="4" w:space="0" w:color="000080"/>
            </w:tcBorders>
            <w:shd w:val="clear" w:color="auto" w:fill="FFFFCC"/>
          </w:tcPr>
          <w:p w:rsidR="006C145C" w:rsidRDefault="00C62E5A">
            <w:pPr>
              <w:spacing w:after="0"/>
              <w:ind w:left="34"/>
            </w:pPr>
            <w:r>
              <w:rPr>
                <w:rFonts w:ascii="Arial" w:eastAsia="Arial" w:hAnsi="Arial" w:cs="Arial"/>
                <w:b/>
                <w:i/>
                <w:sz w:val="20"/>
              </w:rPr>
              <w:t>Nota Explicativa:</w:t>
            </w:r>
            <w:r>
              <w:rPr>
                <w:rFonts w:ascii="Arial" w:eastAsia="Arial" w:hAnsi="Arial" w:cs="Arial"/>
                <w:i/>
                <w:sz w:val="20"/>
              </w:rPr>
              <w:t xml:space="preserve"> A IN 05/2017 –MP/SEGES, determina em seu artigo 30, IV, que o Termo de </w:t>
            </w:r>
          </w:p>
          <w:p w:rsidR="006C145C" w:rsidRDefault="00C62E5A">
            <w:pPr>
              <w:spacing w:after="0" w:line="242" w:lineRule="auto"/>
              <w:ind w:left="34" w:right="94"/>
              <w:jc w:val="both"/>
            </w:pPr>
            <w:r>
              <w:rPr>
                <w:rFonts w:ascii="Arial" w:eastAsia="Arial" w:hAnsi="Arial" w:cs="Arial"/>
                <w:i/>
                <w:sz w:val="20"/>
              </w:rPr>
              <w:t xml:space="preserve">Referência contenha os requisitos da contratação, sendo que seu anexo V, </w:t>
            </w:r>
            <w:r>
              <w:rPr>
                <w:rFonts w:ascii="Arial" w:eastAsia="Arial" w:hAnsi="Arial" w:cs="Arial"/>
                <w:b/>
                <w:i/>
                <w:sz w:val="20"/>
              </w:rPr>
              <w:t xml:space="preserve">disposição 2.4. “a”, </w:t>
            </w:r>
            <w:r>
              <w:rPr>
                <w:rFonts w:ascii="Arial" w:eastAsia="Arial" w:hAnsi="Arial" w:cs="Arial"/>
                <w:b/>
                <w:i/>
                <w:sz w:val="20"/>
                <w:u w:val="single" w:color="000000"/>
              </w:rPr>
              <w:t>determina que</w:t>
            </w:r>
            <w:r>
              <w:rPr>
                <w:rFonts w:ascii="Arial" w:eastAsia="Arial" w:hAnsi="Arial" w:cs="Arial"/>
                <w:i/>
                <w:sz w:val="20"/>
                <w:u w:val="single" w:color="000000"/>
              </w:rPr>
              <w:t xml:space="preserve"> </w:t>
            </w:r>
            <w:r>
              <w:rPr>
                <w:rFonts w:ascii="Arial" w:eastAsia="Arial" w:hAnsi="Arial" w:cs="Arial"/>
                <w:b/>
                <w:i/>
                <w:sz w:val="20"/>
                <w:u w:val="single" w:color="000000"/>
              </w:rPr>
              <w:t>tal dado seja transcrito dos Estudos Prelimin</w:t>
            </w:r>
            <w:r>
              <w:rPr>
                <w:rFonts w:ascii="Arial" w:eastAsia="Arial" w:hAnsi="Arial" w:cs="Arial"/>
                <w:b/>
                <w:i/>
                <w:sz w:val="20"/>
                <w:u w:val="single" w:color="000000"/>
              </w:rPr>
              <w:t>ares</w:t>
            </w:r>
            <w:r>
              <w:rPr>
                <w:rFonts w:ascii="Arial" w:eastAsia="Arial" w:hAnsi="Arial" w:cs="Arial"/>
                <w:i/>
                <w:sz w:val="20"/>
              </w:rPr>
              <w:t xml:space="preserve">, podendo ser atualizado em decorrência do amadurecimento da descrição.  </w:t>
            </w:r>
          </w:p>
          <w:p w:rsidR="006C145C" w:rsidRDefault="00C62E5A">
            <w:pPr>
              <w:spacing w:after="33" w:line="242" w:lineRule="auto"/>
              <w:ind w:left="34"/>
            </w:pPr>
            <w:r>
              <w:rPr>
                <w:rFonts w:ascii="Arial" w:eastAsia="Arial" w:hAnsi="Arial" w:cs="Arial"/>
                <w:i/>
                <w:sz w:val="20"/>
              </w:rPr>
              <w:t>Além disso, essa mesma disposição, nas letras “b” à “d”, contempla outros requisitos, cuja pertinência deve ser analisada pelo órgão ou entidade em relação à licitação pretendida</w:t>
            </w:r>
            <w:r>
              <w:rPr>
                <w:rFonts w:ascii="Arial" w:eastAsia="Arial" w:hAnsi="Arial" w:cs="Arial"/>
                <w:i/>
                <w:sz w:val="20"/>
              </w:rPr>
              <w:t xml:space="preserve">.  </w:t>
            </w:r>
          </w:p>
          <w:p w:rsidR="006C145C" w:rsidRDefault="00C62E5A">
            <w:pPr>
              <w:spacing w:after="0" w:line="248" w:lineRule="auto"/>
              <w:ind w:left="34" w:right="97"/>
              <w:jc w:val="both"/>
            </w:pPr>
            <w:r>
              <w:rPr>
                <w:rFonts w:ascii="Arial" w:eastAsia="Arial" w:hAnsi="Arial" w:cs="Arial"/>
                <w:i/>
                <w:sz w:val="20"/>
              </w:rPr>
              <w:t xml:space="preserve">Da mesma forma, a letra “e”, determina a previsão das obrigações das partes, que é tratada em outro tópico deste modelo de TR. A letra “c”, trata do tema do conhecimento das condições necessárias para a prestação do serviço, cuja </w:t>
            </w:r>
            <w:r>
              <w:rPr>
                <w:rFonts w:ascii="Arial" w:eastAsia="Arial" w:hAnsi="Arial" w:cs="Arial"/>
                <w:b/>
                <w:i/>
                <w:sz w:val="20"/>
              </w:rPr>
              <w:t>declaração</w:t>
            </w:r>
            <w:r>
              <w:rPr>
                <w:rFonts w:ascii="Arial" w:eastAsia="Arial" w:hAnsi="Arial" w:cs="Arial"/>
                <w:i/>
                <w:sz w:val="20"/>
              </w:rPr>
              <w:t xml:space="preserve"> </w:t>
            </w:r>
            <w:r>
              <w:rPr>
                <w:rFonts w:ascii="Arial" w:eastAsia="Arial" w:hAnsi="Arial" w:cs="Arial"/>
                <w:i/>
                <w:sz w:val="20"/>
              </w:rPr>
              <w:t xml:space="preserve">positiva nesse sentido </w:t>
            </w:r>
            <w:r>
              <w:rPr>
                <w:rFonts w:ascii="Arial" w:eastAsia="Arial" w:hAnsi="Arial" w:cs="Arial"/>
                <w:b/>
                <w:i/>
                <w:sz w:val="20"/>
              </w:rPr>
              <w:t>é um</w:t>
            </w:r>
            <w:r>
              <w:rPr>
                <w:rFonts w:ascii="Arial" w:eastAsia="Arial" w:hAnsi="Arial" w:cs="Arial"/>
                <w:i/>
                <w:sz w:val="20"/>
              </w:rPr>
              <w:t xml:space="preserve"> </w:t>
            </w:r>
            <w:r>
              <w:rPr>
                <w:rFonts w:ascii="Arial" w:eastAsia="Arial" w:hAnsi="Arial" w:cs="Arial"/>
                <w:b/>
                <w:i/>
                <w:sz w:val="20"/>
              </w:rPr>
              <w:t>requisito</w:t>
            </w:r>
            <w:r>
              <w:rPr>
                <w:rFonts w:ascii="Arial" w:eastAsia="Arial" w:hAnsi="Arial" w:cs="Arial"/>
                <w:i/>
                <w:sz w:val="20"/>
              </w:rPr>
              <w:t xml:space="preserve"> da contratação, estabelecido na disposição 2.4. do Anexo V da IN 05/2017 – SEGES/MP: “Estabelecer a exigência da declaração do licitante de que tem pleno conhecimento das condições necessárias para a prestação dos serv</w:t>
            </w:r>
            <w:r>
              <w:rPr>
                <w:rFonts w:ascii="Arial" w:eastAsia="Arial" w:hAnsi="Arial" w:cs="Arial"/>
                <w:i/>
                <w:sz w:val="20"/>
              </w:rPr>
              <w:t>iços. Caso seja imprescindível o comparecimento do licitante, desde que devidamente justificado, o órgão deve disponibilizar os locais de execução dos serviços a serem vistoriados previamente, devendo tal exigência, sempre que possível, ser substituída pel</w:t>
            </w:r>
            <w:r>
              <w:rPr>
                <w:rFonts w:ascii="Arial" w:eastAsia="Arial" w:hAnsi="Arial" w:cs="Arial"/>
                <w:i/>
                <w:sz w:val="20"/>
              </w:rPr>
              <w:t xml:space="preserve">a divulgação de fotografias, plantas, desenhos técnicos e congêneres”. </w:t>
            </w:r>
          </w:p>
          <w:p w:rsidR="006C145C" w:rsidRDefault="00C62E5A">
            <w:pPr>
              <w:spacing w:after="13" w:line="240" w:lineRule="auto"/>
              <w:ind w:left="34" w:right="93"/>
              <w:jc w:val="both"/>
            </w:pPr>
            <w:r>
              <w:rPr>
                <w:rFonts w:ascii="Arial" w:eastAsia="Arial" w:hAnsi="Arial" w:cs="Arial"/>
                <w:b/>
                <w:i/>
                <w:sz w:val="20"/>
              </w:rPr>
              <w:t>Ou seja, a regra estabelecida é a de se exigir a declaração do licitante que tem pleno conhecimento das condições necessárias</w:t>
            </w:r>
            <w:r>
              <w:rPr>
                <w:rFonts w:ascii="Arial" w:eastAsia="Arial" w:hAnsi="Arial" w:cs="Arial"/>
                <w:i/>
                <w:sz w:val="20"/>
              </w:rPr>
              <w:t>. Na verdade, por se tratar de um requisito da contratação,</w:t>
            </w:r>
            <w:r>
              <w:rPr>
                <w:rFonts w:ascii="Arial" w:eastAsia="Arial" w:hAnsi="Arial" w:cs="Arial"/>
                <w:i/>
                <w:sz w:val="20"/>
              </w:rPr>
              <w:t xml:space="preserve"> </w:t>
            </w:r>
            <w:r>
              <w:rPr>
                <w:rFonts w:ascii="Arial" w:eastAsia="Arial" w:hAnsi="Arial" w:cs="Arial"/>
                <w:b/>
                <w:i/>
                <w:sz w:val="20"/>
              </w:rPr>
              <w:t>a exigência se dirige ao licitante provisoriamente classificado em primeiro lugar</w:t>
            </w:r>
            <w:r>
              <w:rPr>
                <w:rFonts w:ascii="Arial" w:eastAsia="Arial" w:hAnsi="Arial" w:cs="Arial"/>
                <w:i/>
                <w:sz w:val="20"/>
              </w:rPr>
              <w:t xml:space="preserve">. É ele que precisa emitir essa declaração para celebrar o contrato. Não há necessidade de se a exigir de todos os licitantes.  </w:t>
            </w:r>
          </w:p>
          <w:p w:rsidR="006C145C" w:rsidRDefault="00C62E5A">
            <w:pPr>
              <w:spacing w:after="30" w:line="241" w:lineRule="auto"/>
              <w:ind w:left="34" w:right="92"/>
              <w:jc w:val="both"/>
            </w:pPr>
            <w:r>
              <w:rPr>
                <w:rFonts w:ascii="Arial" w:eastAsia="Arial" w:hAnsi="Arial" w:cs="Arial"/>
                <w:i/>
                <w:sz w:val="20"/>
              </w:rPr>
              <w:t xml:space="preserve">Ainda sobre esse requisito, destacamos que a </w:t>
            </w:r>
            <w:r>
              <w:rPr>
                <w:rFonts w:ascii="Arial" w:eastAsia="Arial" w:hAnsi="Arial" w:cs="Arial"/>
                <w:i/>
                <w:sz w:val="20"/>
              </w:rPr>
              <w:t>exigência do comparecimento do “licitante” no local, ao invés da declaração, é medida excepcional, a ser estabelecida somente se imprescindível, e não for possível substituí-la pela divulgação de fotos, plantas etc. A exigência da presença no local da exec</w:t>
            </w:r>
            <w:r>
              <w:rPr>
                <w:rFonts w:ascii="Arial" w:eastAsia="Arial" w:hAnsi="Arial" w:cs="Arial"/>
                <w:i/>
                <w:sz w:val="20"/>
              </w:rPr>
              <w:t>ução, como requisito da contratação, se destina mais adequadamente ao Adjudicatário, presumivelmente para o fim de verificação e ajuste das providencias e prazos necessárias ao início do contrato. Nessa hipótese, a redação da disposição 5.3 acima deverá se</w:t>
            </w:r>
            <w:r>
              <w:rPr>
                <w:rFonts w:ascii="Arial" w:eastAsia="Arial" w:hAnsi="Arial" w:cs="Arial"/>
                <w:i/>
                <w:sz w:val="20"/>
              </w:rPr>
              <w:t xml:space="preserve">r alterada, refletindo adequadamente a exigência. </w:t>
            </w:r>
          </w:p>
          <w:p w:rsidR="006C145C" w:rsidRDefault="00C62E5A">
            <w:pPr>
              <w:spacing w:after="0" w:line="249" w:lineRule="auto"/>
              <w:ind w:left="34" w:right="94"/>
              <w:jc w:val="both"/>
            </w:pPr>
            <w:r>
              <w:rPr>
                <w:rFonts w:ascii="Arial" w:eastAsia="Arial" w:hAnsi="Arial" w:cs="Arial"/>
                <w:b/>
                <w:i/>
                <w:sz w:val="20"/>
              </w:rPr>
              <w:t xml:space="preserve">Por fim, não se deve confundir essa exigência excepcional, de comparecimento do “licitante” para a contratação, com a exigência de vistoria para a própria licitação. </w:t>
            </w:r>
            <w:r>
              <w:rPr>
                <w:rFonts w:ascii="Arial" w:eastAsia="Arial" w:hAnsi="Arial" w:cs="Arial"/>
                <w:i/>
                <w:sz w:val="20"/>
              </w:rPr>
              <w:t>Esta última é disciplinada no Anexo VII</w:t>
            </w:r>
            <w:r>
              <w:rPr>
                <w:rFonts w:ascii="Arial" w:eastAsia="Arial" w:hAnsi="Arial" w:cs="Arial"/>
                <w:i/>
                <w:sz w:val="20"/>
              </w:rPr>
              <w:t>-A da IN 05/2017 – SEGES/MP, intitulado “Diretrizes Gerais para Elaboração do Ato Convocatório”, e é dirigida a todos os licitantes. Trata-se de medida ainda mais excepcional, posto que mais restritiva à competitividade, e só deve ser adotada com justifica</w:t>
            </w:r>
            <w:r>
              <w:rPr>
                <w:rFonts w:ascii="Arial" w:eastAsia="Arial" w:hAnsi="Arial" w:cs="Arial"/>
                <w:i/>
                <w:sz w:val="20"/>
              </w:rPr>
              <w:t xml:space="preserve">tiva técnica rigorosa, conforme exposto na próxima Nota Explicativa. </w:t>
            </w:r>
          </w:p>
          <w:p w:rsidR="006C145C" w:rsidRDefault="00C62E5A">
            <w:pPr>
              <w:spacing w:after="0"/>
              <w:ind w:left="34"/>
            </w:pPr>
            <w:r>
              <w:rPr>
                <w:rFonts w:ascii="Arial" w:eastAsia="Arial" w:hAnsi="Arial" w:cs="Arial"/>
                <w:i/>
                <w:sz w:val="20"/>
              </w:rPr>
              <w:t xml:space="preserve">Assim, resumidamente, tem-se o seguinte esquema normativo:  </w:t>
            </w:r>
          </w:p>
        </w:tc>
      </w:tr>
      <w:tr w:rsidR="006C145C">
        <w:trPr>
          <w:trHeight w:val="134"/>
        </w:trPr>
        <w:tc>
          <w:tcPr>
            <w:tcW w:w="2538" w:type="dxa"/>
            <w:tcBorders>
              <w:top w:val="single" w:sz="4" w:space="0" w:color="000000"/>
              <w:left w:val="single" w:sz="4" w:space="0" w:color="000000"/>
              <w:bottom w:val="single" w:sz="4" w:space="0" w:color="1F497D"/>
              <w:right w:val="single" w:sz="4" w:space="0" w:color="000000"/>
            </w:tcBorders>
            <w:shd w:val="clear" w:color="auto" w:fill="FFFFCC"/>
          </w:tcPr>
          <w:p w:rsidR="006C145C" w:rsidRDefault="006C145C"/>
        </w:tc>
        <w:tc>
          <w:tcPr>
            <w:tcW w:w="3260" w:type="dxa"/>
            <w:tcBorders>
              <w:top w:val="single" w:sz="4" w:space="0" w:color="000000"/>
              <w:left w:val="single" w:sz="4" w:space="0" w:color="000000"/>
              <w:bottom w:val="single" w:sz="4" w:space="0" w:color="1F497D"/>
              <w:right w:val="single" w:sz="4" w:space="0" w:color="000000"/>
            </w:tcBorders>
            <w:shd w:val="clear" w:color="auto" w:fill="FFFFCC"/>
          </w:tcPr>
          <w:p w:rsidR="006C145C" w:rsidRDefault="006C145C"/>
        </w:tc>
        <w:tc>
          <w:tcPr>
            <w:tcW w:w="3527" w:type="dxa"/>
            <w:tcBorders>
              <w:top w:val="single" w:sz="4" w:space="0" w:color="000000"/>
              <w:left w:val="single" w:sz="4" w:space="0" w:color="000000"/>
              <w:bottom w:val="single" w:sz="4" w:space="0" w:color="1F497D"/>
              <w:right w:val="single" w:sz="4" w:space="0" w:color="000000"/>
            </w:tcBorders>
            <w:shd w:val="clear" w:color="auto" w:fill="FFFFCC"/>
          </w:tcPr>
          <w:p w:rsidR="006C145C" w:rsidRDefault="006C145C"/>
        </w:tc>
      </w:tr>
      <w:tr w:rsidR="006C145C">
        <w:trPr>
          <w:trHeight w:val="287"/>
        </w:trPr>
        <w:tc>
          <w:tcPr>
            <w:tcW w:w="2538" w:type="dxa"/>
            <w:tcBorders>
              <w:top w:val="single" w:sz="4" w:space="0" w:color="1F497D"/>
              <w:left w:val="single" w:sz="4" w:space="0" w:color="000000"/>
              <w:bottom w:val="single" w:sz="4" w:space="0" w:color="000000"/>
              <w:right w:val="single" w:sz="4" w:space="0" w:color="000000"/>
            </w:tcBorders>
            <w:shd w:val="clear" w:color="auto" w:fill="FFFFCC"/>
          </w:tcPr>
          <w:p w:rsidR="006C145C" w:rsidRDefault="00C62E5A">
            <w:pPr>
              <w:spacing w:after="0"/>
            </w:pPr>
            <w:r>
              <w:rPr>
                <w:rFonts w:ascii="Arial" w:eastAsia="Arial" w:hAnsi="Arial" w:cs="Arial"/>
                <w:b/>
                <w:i/>
                <w:sz w:val="20"/>
              </w:rPr>
              <w:t xml:space="preserve">Exigência </w:t>
            </w:r>
          </w:p>
        </w:tc>
        <w:tc>
          <w:tcPr>
            <w:tcW w:w="3260" w:type="dxa"/>
            <w:tcBorders>
              <w:top w:val="single" w:sz="4" w:space="0" w:color="1F497D"/>
              <w:left w:val="single" w:sz="4" w:space="0" w:color="000000"/>
              <w:bottom w:val="single" w:sz="4" w:space="0" w:color="000000"/>
              <w:right w:val="single" w:sz="4" w:space="0" w:color="000000"/>
            </w:tcBorders>
            <w:shd w:val="clear" w:color="auto" w:fill="FFFFCC"/>
          </w:tcPr>
          <w:p w:rsidR="006C145C" w:rsidRDefault="00C62E5A">
            <w:pPr>
              <w:spacing w:after="0"/>
              <w:ind w:left="16"/>
            </w:pPr>
            <w:r>
              <w:rPr>
                <w:rFonts w:ascii="Arial" w:eastAsia="Arial" w:hAnsi="Arial" w:cs="Arial"/>
                <w:b/>
                <w:i/>
                <w:sz w:val="20"/>
              </w:rPr>
              <w:t xml:space="preserve">Destinatário </w:t>
            </w:r>
          </w:p>
        </w:tc>
        <w:tc>
          <w:tcPr>
            <w:tcW w:w="3527" w:type="dxa"/>
            <w:tcBorders>
              <w:top w:val="single" w:sz="4" w:space="0" w:color="1F497D"/>
              <w:left w:val="single" w:sz="4" w:space="0" w:color="000000"/>
              <w:bottom w:val="single" w:sz="4" w:space="0" w:color="000000"/>
              <w:right w:val="single" w:sz="4" w:space="0" w:color="000000"/>
            </w:tcBorders>
            <w:shd w:val="clear" w:color="auto" w:fill="FFFFCC"/>
          </w:tcPr>
          <w:p w:rsidR="006C145C" w:rsidRDefault="00C62E5A">
            <w:pPr>
              <w:spacing w:after="0"/>
              <w:ind w:left="16"/>
            </w:pPr>
            <w:r>
              <w:rPr>
                <w:rFonts w:ascii="Arial" w:eastAsia="Arial" w:hAnsi="Arial" w:cs="Arial"/>
                <w:b/>
                <w:i/>
                <w:sz w:val="20"/>
              </w:rPr>
              <w:t xml:space="preserve">Tratamento </w:t>
            </w:r>
          </w:p>
        </w:tc>
      </w:tr>
      <w:tr w:rsidR="006C145C">
        <w:trPr>
          <w:trHeight w:val="133"/>
        </w:trPr>
        <w:tc>
          <w:tcPr>
            <w:tcW w:w="2538" w:type="dxa"/>
            <w:tcBorders>
              <w:top w:val="single" w:sz="4" w:space="0" w:color="000000"/>
              <w:left w:val="single" w:sz="4" w:space="0" w:color="000000"/>
              <w:bottom w:val="single" w:sz="4" w:space="0" w:color="1F497D"/>
              <w:right w:val="single" w:sz="4" w:space="0" w:color="000000"/>
            </w:tcBorders>
            <w:shd w:val="clear" w:color="auto" w:fill="FFFFCC"/>
          </w:tcPr>
          <w:p w:rsidR="006C145C" w:rsidRDefault="006C145C"/>
        </w:tc>
        <w:tc>
          <w:tcPr>
            <w:tcW w:w="3260" w:type="dxa"/>
            <w:tcBorders>
              <w:top w:val="single" w:sz="4" w:space="0" w:color="000000"/>
              <w:left w:val="single" w:sz="4" w:space="0" w:color="000000"/>
              <w:bottom w:val="single" w:sz="4" w:space="0" w:color="1F497D"/>
              <w:right w:val="single" w:sz="4" w:space="0" w:color="000000"/>
            </w:tcBorders>
            <w:shd w:val="clear" w:color="auto" w:fill="FFFFCC"/>
          </w:tcPr>
          <w:p w:rsidR="006C145C" w:rsidRDefault="006C145C"/>
        </w:tc>
        <w:tc>
          <w:tcPr>
            <w:tcW w:w="3527" w:type="dxa"/>
            <w:tcBorders>
              <w:top w:val="single" w:sz="4" w:space="0" w:color="000000"/>
              <w:left w:val="single" w:sz="4" w:space="0" w:color="000000"/>
              <w:bottom w:val="single" w:sz="4" w:space="0" w:color="1F497D"/>
              <w:right w:val="single" w:sz="4" w:space="0" w:color="000000"/>
            </w:tcBorders>
            <w:shd w:val="clear" w:color="auto" w:fill="FFFFCC"/>
          </w:tcPr>
          <w:p w:rsidR="006C145C" w:rsidRDefault="006C145C"/>
        </w:tc>
      </w:tr>
      <w:tr w:rsidR="006C145C">
        <w:trPr>
          <w:trHeight w:val="281"/>
        </w:trPr>
        <w:tc>
          <w:tcPr>
            <w:tcW w:w="2538" w:type="dxa"/>
            <w:vMerge w:val="restart"/>
            <w:tcBorders>
              <w:top w:val="single" w:sz="4" w:space="0" w:color="1F497D"/>
              <w:left w:val="single" w:sz="4" w:space="0" w:color="000000"/>
              <w:bottom w:val="single" w:sz="4" w:space="0" w:color="000000"/>
              <w:right w:val="single" w:sz="4" w:space="0" w:color="000000"/>
            </w:tcBorders>
            <w:shd w:val="clear" w:color="auto" w:fill="FFFFCC"/>
          </w:tcPr>
          <w:p w:rsidR="006C145C" w:rsidRDefault="00C62E5A">
            <w:pPr>
              <w:spacing w:after="0"/>
            </w:pPr>
            <w:r>
              <w:rPr>
                <w:rFonts w:ascii="Arial" w:eastAsia="Arial" w:hAnsi="Arial" w:cs="Arial"/>
                <w:i/>
                <w:sz w:val="20"/>
              </w:rPr>
              <w:t xml:space="preserve">Declaração </w:t>
            </w:r>
            <w:r>
              <w:rPr>
                <w:rFonts w:ascii="Arial" w:eastAsia="Arial" w:hAnsi="Arial" w:cs="Arial"/>
                <w:i/>
                <w:sz w:val="20"/>
              </w:rPr>
              <w:tab/>
              <w:t xml:space="preserve">de </w:t>
            </w:r>
            <w:r>
              <w:rPr>
                <w:rFonts w:ascii="Arial" w:eastAsia="Arial" w:hAnsi="Arial" w:cs="Arial"/>
                <w:i/>
                <w:sz w:val="20"/>
              </w:rPr>
              <w:tab/>
              <w:t xml:space="preserve">pleno conhecimento </w:t>
            </w:r>
          </w:p>
        </w:tc>
        <w:tc>
          <w:tcPr>
            <w:tcW w:w="3260" w:type="dxa"/>
            <w:vMerge w:val="restart"/>
            <w:tcBorders>
              <w:top w:val="single" w:sz="4" w:space="0" w:color="1F497D"/>
              <w:left w:val="single" w:sz="4" w:space="0" w:color="000000"/>
              <w:bottom w:val="single" w:sz="4" w:space="0" w:color="000000"/>
              <w:right w:val="single" w:sz="4" w:space="0" w:color="000000"/>
            </w:tcBorders>
            <w:shd w:val="clear" w:color="auto" w:fill="FFFFCC"/>
          </w:tcPr>
          <w:p w:rsidR="006C145C" w:rsidRDefault="00C62E5A">
            <w:pPr>
              <w:tabs>
                <w:tab w:val="right" w:pos="3132"/>
              </w:tabs>
              <w:spacing w:after="0"/>
            </w:pPr>
            <w:r>
              <w:rPr>
                <w:rFonts w:ascii="Arial" w:eastAsia="Arial" w:hAnsi="Arial" w:cs="Arial"/>
                <w:i/>
                <w:sz w:val="20"/>
              </w:rPr>
              <w:t xml:space="preserve">Licitante </w:t>
            </w:r>
            <w:r>
              <w:rPr>
                <w:rFonts w:ascii="Arial" w:eastAsia="Arial" w:hAnsi="Arial" w:cs="Arial"/>
                <w:i/>
                <w:sz w:val="20"/>
              </w:rPr>
              <w:tab/>
              <w:t xml:space="preserve">provisoriamente </w:t>
            </w:r>
          </w:p>
          <w:p w:rsidR="006C145C" w:rsidRDefault="00C62E5A">
            <w:pPr>
              <w:spacing w:after="0"/>
              <w:ind w:left="16"/>
            </w:pPr>
            <w:r>
              <w:rPr>
                <w:rFonts w:ascii="Arial" w:eastAsia="Arial" w:hAnsi="Arial" w:cs="Arial"/>
                <w:i/>
                <w:sz w:val="20"/>
              </w:rPr>
              <w:t xml:space="preserve">classificado em primeiro lugar </w:t>
            </w:r>
          </w:p>
        </w:tc>
        <w:tc>
          <w:tcPr>
            <w:tcW w:w="3527" w:type="dxa"/>
            <w:tcBorders>
              <w:top w:val="single" w:sz="4" w:space="0" w:color="1F497D"/>
              <w:left w:val="single" w:sz="4" w:space="0" w:color="000000"/>
              <w:bottom w:val="single" w:sz="4" w:space="0" w:color="1F497D"/>
              <w:right w:val="single" w:sz="4" w:space="0" w:color="000000"/>
            </w:tcBorders>
            <w:shd w:val="clear" w:color="auto" w:fill="FFFFCC"/>
          </w:tcPr>
          <w:p w:rsidR="006C145C" w:rsidRDefault="00C62E5A">
            <w:pPr>
              <w:spacing w:after="0"/>
              <w:ind w:left="16"/>
            </w:pPr>
            <w:r>
              <w:rPr>
                <w:rFonts w:ascii="Arial" w:eastAsia="Arial" w:hAnsi="Arial" w:cs="Arial"/>
                <w:i/>
                <w:sz w:val="20"/>
              </w:rPr>
              <w:t xml:space="preserve">Regra geral – sempre exigir </w:t>
            </w:r>
          </w:p>
        </w:tc>
      </w:tr>
      <w:tr w:rsidR="006C145C">
        <w:trPr>
          <w:trHeight w:val="236"/>
        </w:trPr>
        <w:tc>
          <w:tcPr>
            <w:tcW w:w="0" w:type="auto"/>
            <w:vMerge/>
            <w:tcBorders>
              <w:top w:val="nil"/>
              <w:left w:val="single" w:sz="4" w:space="0" w:color="000000"/>
              <w:bottom w:val="single" w:sz="4" w:space="0" w:color="000000"/>
              <w:right w:val="single" w:sz="4" w:space="0" w:color="000000"/>
            </w:tcBorders>
          </w:tcPr>
          <w:p w:rsidR="006C145C" w:rsidRDefault="006C145C"/>
        </w:tc>
        <w:tc>
          <w:tcPr>
            <w:tcW w:w="0" w:type="auto"/>
            <w:vMerge/>
            <w:tcBorders>
              <w:top w:val="nil"/>
              <w:left w:val="single" w:sz="4" w:space="0" w:color="000000"/>
              <w:bottom w:val="single" w:sz="4" w:space="0" w:color="000000"/>
              <w:right w:val="single" w:sz="4" w:space="0" w:color="000000"/>
            </w:tcBorders>
          </w:tcPr>
          <w:p w:rsidR="006C145C" w:rsidRDefault="006C145C"/>
        </w:tc>
        <w:tc>
          <w:tcPr>
            <w:tcW w:w="3527" w:type="dxa"/>
            <w:tcBorders>
              <w:top w:val="single" w:sz="4" w:space="0" w:color="1F497D"/>
              <w:left w:val="single" w:sz="4" w:space="0" w:color="000000"/>
              <w:bottom w:val="single" w:sz="4" w:space="0" w:color="000000"/>
              <w:right w:val="single" w:sz="4" w:space="0" w:color="000000"/>
            </w:tcBorders>
            <w:shd w:val="clear" w:color="auto" w:fill="FFFFCC"/>
          </w:tcPr>
          <w:p w:rsidR="006C145C" w:rsidRDefault="006C145C"/>
        </w:tc>
      </w:tr>
      <w:tr w:rsidR="006C145C">
        <w:trPr>
          <w:trHeight w:val="133"/>
        </w:trPr>
        <w:tc>
          <w:tcPr>
            <w:tcW w:w="2538" w:type="dxa"/>
            <w:tcBorders>
              <w:top w:val="single" w:sz="4" w:space="0" w:color="000000"/>
              <w:left w:val="single" w:sz="4" w:space="0" w:color="000000"/>
              <w:bottom w:val="single" w:sz="4" w:space="0" w:color="1F497D"/>
              <w:right w:val="single" w:sz="4" w:space="0" w:color="000000"/>
            </w:tcBorders>
            <w:shd w:val="clear" w:color="auto" w:fill="FFFFCC"/>
          </w:tcPr>
          <w:p w:rsidR="006C145C" w:rsidRDefault="006C145C"/>
        </w:tc>
        <w:tc>
          <w:tcPr>
            <w:tcW w:w="3260" w:type="dxa"/>
            <w:tcBorders>
              <w:top w:val="single" w:sz="4" w:space="0" w:color="000000"/>
              <w:left w:val="single" w:sz="4" w:space="0" w:color="000000"/>
              <w:bottom w:val="single" w:sz="4" w:space="0" w:color="1F497D"/>
              <w:right w:val="single" w:sz="4" w:space="0" w:color="000000"/>
            </w:tcBorders>
            <w:shd w:val="clear" w:color="auto" w:fill="FFFFCC"/>
          </w:tcPr>
          <w:p w:rsidR="006C145C" w:rsidRDefault="006C145C"/>
        </w:tc>
        <w:tc>
          <w:tcPr>
            <w:tcW w:w="3527" w:type="dxa"/>
            <w:tcBorders>
              <w:top w:val="single" w:sz="4" w:space="0" w:color="000000"/>
              <w:left w:val="single" w:sz="4" w:space="0" w:color="000000"/>
              <w:bottom w:val="single" w:sz="4" w:space="0" w:color="1F497D"/>
              <w:right w:val="single" w:sz="4" w:space="0" w:color="000000"/>
            </w:tcBorders>
            <w:shd w:val="clear" w:color="auto" w:fill="FFFFCC"/>
          </w:tcPr>
          <w:p w:rsidR="006C145C" w:rsidRDefault="006C145C"/>
        </w:tc>
      </w:tr>
      <w:tr w:rsidR="006C145C">
        <w:trPr>
          <w:trHeight w:val="281"/>
        </w:trPr>
        <w:tc>
          <w:tcPr>
            <w:tcW w:w="2538" w:type="dxa"/>
            <w:vMerge w:val="restart"/>
            <w:tcBorders>
              <w:top w:val="single" w:sz="4" w:space="0" w:color="1F497D"/>
              <w:left w:val="single" w:sz="4" w:space="0" w:color="000000"/>
              <w:bottom w:val="single" w:sz="4" w:space="0" w:color="000000"/>
              <w:right w:val="single" w:sz="4" w:space="0" w:color="000000"/>
            </w:tcBorders>
            <w:shd w:val="clear" w:color="auto" w:fill="FFFFCC"/>
          </w:tcPr>
          <w:p w:rsidR="006C145C" w:rsidRDefault="00C62E5A">
            <w:pPr>
              <w:tabs>
                <w:tab w:val="right" w:pos="2410"/>
              </w:tabs>
              <w:spacing w:after="0"/>
            </w:pPr>
            <w:r>
              <w:rPr>
                <w:rFonts w:ascii="Arial" w:eastAsia="Arial" w:hAnsi="Arial" w:cs="Arial"/>
                <w:i/>
                <w:sz w:val="20"/>
              </w:rPr>
              <w:t xml:space="preserve">Comparecimento </w:t>
            </w:r>
            <w:r>
              <w:rPr>
                <w:rFonts w:ascii="Arial" w:eastAsia="Arial" w:hAnsi="Arial" w:cs="Arial"/>
                <w:i/>
                <w:sz w:val="20"/>
              </w:rPr>
              <w:tab/>
              <w:t xml:space="preserve">nos </w:t>
            </w:r>
          </w:p>
          <w:p w:rsidR="006C145C" w:rsidRDefault="00C62E5A">
            <w:pPr>
              <w:spacing w:after="0"/>
            </w:pPr>
            <w:r>
              <w:rPr>
                <w:rFonts w:ascii="Arial" w:eastAsia="Arial" w:hAnsi="Arial" w:cs="Arial"/>
                <w:i/>
                <w:sz w:val="20"/>
              </w:rPr>
              <w:lastRenderedPageBreak/>
              <w:t xml:space="preserve">locais de Execução </w:t>
            </w:r>
          </w:p>
        </w:tc>
        <w:tc>
          <w:tcPr>
            <w:tcW w:w="3260" w:type="dxa"/>
            <w:tcBorders>
              <w:top w:val="single" w:sz="4" w:space="0" w:color="1F497D"/>
              <w:left w:val="single" w:sz="4" w:space="0" w:color="000000"/>
              <w:bottom w:val="single" w:sz="4" w:space="0" w:color="1F497D"/>
              <w:right w:val="single" w:sz="4" w:space="0" w:color="000000"/>
            </w:tcBorders>
            <w:shd w:val="clear" w:color="auto" w:fill="FFFFCC"/>
          </w:tcPr>
          <w:p w:rsidR="006C145C" w:rsidRDefault="00C62E5A">
            <w:pPr>
              <w:spacing w:after="0"/>
              <w:ind w:left="16"/>
            </w:pPr>
            <w:r>
              <w:rPr>
                <w:rFonts w:ascii="Arial" w:eastAsia="Arial" w:hAnsi="Arial" w:cs="Arial"/>
                <w:i/>
                <w:sz w:val="20"/>
              </w:rPr>
              <w:lastRenderedPageBreak/>
              <w:t xml:space="preserve">Adjudicatário </w:t>
            </w:r>
          </w:p>
        </w:tc>
        <w:tc>
          <w:tcPr>
            <w:tcW w:w="3527" w:type="dxa"/>
            <w:tcBorders>
              <w:top w:val="single" w:sz="4" w:space="0" w:color="1F497D"/>
              <w:left w:val="single" w:sz="4" w:space="0" w:color="000000"/>
              <w:bottom w:val="single" w:sz="4" w:space="0" w:color="1F497D"/>
              <w:right w:val="single" w:sz="4" w:space="0" w:color="000000"/>
            </w:tcBorders>
            <w:shd w:val="clear" w:color="auto" w:fill="FFFFCC"/>
          </w:tcPr>
          <w:p w:rsidR="006C145C" w:rsidRDefault="00C62E5A">
            <w:pPr>
              <w:spacing w:after="0"/>
              <w:ind w:left="16"/>
            </w:pPr>
            <w:r>
              <w:rPr>
                <w:rFonts w:ascii="Arial" w:eastAsia="Arial" w:hAnsi="Arial" w:cs="Arial"/>
                <w:i/>
                <w:sz w:val="20"/>
              </w:rPr>
              <w:t xml:space="preserve">Excepcional - quando imprescindível </w:t>
            </w:r>
          </w:p>
        </w:tc>
      </w:tr>
      <w:tr w:rsidR="006C145C">
        <w:trPr>
          <w:trHeight w:val="236"/>
        </w:trPr>
        <w:tc>
          <w:tcPr>
            <w:tcW w:w="0" w:type="auto"/>
            <w:vMerge/>
            <w:tcBorders>
              <w:top w:val="nil"/>
              <w:left w:val="single" w:sz="4" w:space="0" w:color="000000"/>
              <w:bottom w:val="single" w:sz="4" w:space="0" w:color="000000"/>
              <w:right w:val="single" w:sz="4" w:space="0" w:color="000000"/>
            </w:tcBorders>
          </w:tcPr>
          <w:p w:rsidR="006C145C" w:rsidRDefault="006C145C"/>
        </w:tc>
        <w:tc>
          <w:tcPr>
            <w:tcW w:w="3260" w:type="dxa"/>
            <w:tcBorders>
              <w:top w:val="single" w:sz="4" w:space="0" w:color="1F497D"/>
              <w:left w:val="single" w:sz="4" w:space="0" w:color="000000"/>
              <w:bottom w:val="single" w:sz="4" w:space="0" w:color="000000"/>
              <w:right w:val="single" w:sz="4" w:space="0" w:color="000000"/>
            </w:tcBorders>
            <w:shd w:val="clear" w:color="auto" w:fill="FFFFCC"/>
          </w:tcPr>
          <w:p w:rsidR="006C145C" w:rsidRDefault="006C145C"/>
        </w:tc>
        <w:tc>
          <w:tcPr>
            <w:tcW w:w="3527" w:type="dxa"/>
            <w:tcBorders>
              <w:top w:val="single" w:sz="4" w:space="0" w:color="1F497D"/>
              <w:left w:val="single" w:sz="4" w:space="0" w:color="000000"/>
              <w:bottom w:val="single" w:sz="4" w:space="0" w:color="000000"/>
              <w:right w:val="single" w:sz="4" w:space="0" w:color="000000"/>
            </w:tcBorders>
            <w:shd w:val="clear" w:color="auto" w:fill="FFFFCC"/>
          </w:tcPr>
          <w:p w:rsidR="006C145C" w:rsidRDefault="006C145C"/>
        </w:tc>
      </w:tr>
      <w:tr w:rsidR="006C145C">
        <w:trPr>
          <w:trHeight w:val="133"/>
        </w:trPr>
        <w:tc>
          <w:tcPr>
            <w:tcW w:w="2538" w:type="dxa"/>
            <w:tcBorders>
              <w:top w:val="single" w:sz="4" w:space="0" w:color="000000"/>
              <w:left w:val="single" w:sz="4" w:space="0" w:color="000000"/>
              <w:bottom w:val="single" w:sz="4" w:space="0" w:color="1F497D"/>
              <w:right w:val="single" w:sz="4" w:space="0" w:color="000000"/>
            </w:tcBorders>
            <w:shd w:val="clear" w:color="auto" w:fill="FFFFCC"/>
          </w:tcPr>
          <w:p w:rsidR="006C145C" w:rsidRDefault="006C145C"/>
        </w:tc>
        <w:tc>
          <w:tcPr>
            <w:tcW w:w="3260" w:type="dxa"/>
            <w:tcBorders>
              <w:top w:val="single" w:sz="4" w:space="0" w:color="000000"/>
              <w:left w:val="single" w:sz="4" w:space="0" w:color="000000"/>
              <w:bottom w:val="single" w:sz="4" w:space="0" w:color="1F497D"/>
              <w:right w:val="single" w:sz="4" w:space="0" w:color="000000"/>
            </w:tcBorders>
            <w:shd w:val="clear" w:color="auto" w:fill="FFFFCC"/>
          </w:tcPr>
          <w:p w:rsidR="006C145C" w:rsidRDefault="006C145C"/>
        </w:tc>
        <w:tc>
          <w:tcPr>
            <w:tcW w:w="3527" w:type="dxa"/>
            <w:tcBorders>
              <w:top w:val="single" w:sz="4" w:space="0" w:color="000000"/>
              <w:left w:val="single" w:sz="4" w:space="0" w:color="000000"/>
              <w:bottom w:val="single" w:sz="4" w:space="0" w:color="1F497D"/>
              <w:right w:val="single" w:sz="4" w:space="0" w:color="000000"/>
            </w:tcBorders>
            <w:shd w:val="clear" w:color="auto" w:fill="FFFFCC"/>
          </w:tcPr>
          <w:p w:rsidR="006C145C" w:rsidRDefault="006C145C"/>
        </w:tc>
      </w:tr>
      <w:tr w:rsidR="006C145C">
        <w:trPr>
          <w:trHeight w:val="281"/>
        </w:trPr>
        <w:tc>
          <w:tcPr>
            <w:tcW w:w="2538" w:type="dxa"/>
            <w:tcBorders>
              <w:top w:val="single" w:sz="4" w:space="0" w:color="1F497D"/>
              <w:left w:val="single" w:sz="4" w:space="0" w:color="000000"/>
              <w:bottom w:val="single" w:sz="4" w:space="0" w:color="1F497D"/>
              <w:right w:val="single" w:sz="4" w:space="0" w:color="000000"/>
            </w:tcBorders>
            <w:shd w:val="clear" w:color="auto" w:fill="FFFFCC"/>
          </w:tcPr>
          <w:p w:rsidR="006C145C" w:rsidRDefault="00C62E5A">
            <w:pPr>
              <w:spacing w:after="0"/>
            </w:pPr>
            <w:r>
              <w:rPr>
                <w:rFonts w:ascii="Arial" w:eastAsia="Arial" w:hAnsi="Arial" w:cs="Arial"/>
                <w:i/>
                <w:sz w:val="20"/>
              </w:rPr>
              <w:t xml:space="preserve">Vistoria para a Licitação </w:t>
            </w:r>
          </w:p>
        </w:tc>
        <w:tc>
          <w:tcPr>
            <w:tcW w:w="3260" w:type="dxa"/>
            <w:tcBorders>
              <w:top w:val="single" w:sz="4" w:space="0" w:color="1F497D"/>
              <w:left w:val="single" w:sz="4" w:space="0" w:color="000000"/>
              <w:bottom w:val="single" w:sz="4" w:space="0" w:color="1F497D"/>
              <w:right w:val="single" w:sz="4" w:space="0" w:color="000000"/>
            </w:tcBorders>
            <w:shd w:val="clear" w:color="auto" w:fill="FFFFCC"/>
          </w:tcPr>
          <w:p w:rsidR="006C145C" w:rsidRDefault="00C62E5A">
            <w:pPr>
              <w:spacing w:after="0"/>
              <w:ind w:left="16"/>
            </w:pPr>
            <w:r>
              <w:rPr>
                <w:rFonts w:ascii="Arial" w:eastAsia="Arial" w:hAnsi="Arial" w:cs="Arial"/>
                <w:i/>
                <w:sz w:val="20"/>
              </w:rPr>
              <w:t xml:space="preserve">Licitantes </w:t>
            </w:r>
          </w:p>
        </w:tc>
        <w:tc>
          <w:tcPr>
            <w:tcW w:w="3527" w:type="dxa"/>
            <w:vMerge w:val="restart"/>
            <w:tcBorders>
              <w:top w:val="single" w:sz="4" w:space="0" w:color="1F497D"/>
              <w:left w:val="single" w:sz="4" w:space="0" w:color="000000"/>
              <w:bottom w:val="single" w:sz="4" w:space="0" w:color="000000"/>
              <w:right w:val="single" w:sz="4" w:space="0" w:color="000000"/>
            </w:tcBorders>
            <w:shd w:val="clear" w:color="auto" w:fill="FFFFCC"/>
          </w:tcPr>
          <w:p w:rsidR="006C145C" w:rsidRDefault="00C62E5A">
            <w:pPr>
              <w:spacing w:after="0"/>
              <w:ind w:left="16"/>
              <w:jc w:val="both"/>
            </w:pPr>
            <w:r>
              <w:rPr>
                <w:rFonts w:ascii="Arial" w:eastAsia="Arial" w:hAnsi="Arial" w:cs="Arial"/>
                <w:i/>
                <w:sz w:val="20"/>
              </w:rPr>
              <w:t xml:space="preserve">Excepcionalíssimo - </w:t>
            </w:r>
            <w:r>
              <w:rPr>
                <w:rFonts w:ascii="Arial" w:eastAsia="Arial" w:hAnsi="Arial" w:cs="Arial"/>
                <w:i/>
                <w:sz w:val="20"/>
              </w:rPr>
              <w:t xml:space="preserve">necessidade de justificativa técnica rigorosa. </w:t>
            </w:r>
          </w:p>
        </w:tc>
      </w:tr>
      <w:tr w:rsidR="006C145C">
        <w:trPr>
          <w:trHeight w:val="235"/>
        </w:trPr>
        <w:tc>
          <w:tcPr>
            <w:tcW w:w="2538" w:type="dxa"/>
            <w:tcBorders>
              <w:top w:val="single" w:sz="4" w:space="0" w:color="1F497D"/>
              <w:left w:val="single" w:sz="4" w:space="0" w:color="000000"/>
              <w:bottom w:val="single" w:sz="4" w:space="0" w:color="000000"/>
              <w:right w:val="single" w:sz="4" w:space="0" w:color="000000"/>
            </w:tcBorders>
            <w:shd w:val="clear" w:color="auto" w:fill="FFFFCC"/>
          </w:tcPr>
          <w:p w:rsidR="006C145C" w:rsidRDefault="006C145C"/>
        </w:tc>
        <w:tc>
          <w:tcPr>
            <w:tcW w:w="3260" w:type="dxa"/>
            <w:tcBorders>
              <w:top w:val="single" w:sz="4" w:space="0" w:color="1F497D"/>
              <w:left w:val="single" w:sz="4" w:space="0" w:color="000000"/>
              <w:bottom w:val="single" w:sz="4" w:space="0" w:color="000000"/>
              <w:right w:val="single" w:sz="4" w:space="0" w:color="000000"/>
            </w:tcBorders>
            <w:shd w:val="clear" w:color="auto" w:fill="FFFFCC"/>
          </w:tcPr>
          <w:p w:rsidR="006C145C" w:rsidRDefault="006C145C"/>
        </w:tc>
        <w:tc>
          <w:tcPr>
            <w:tcW w:w="0" w:type="auto"/>
            <w:vMerge/>
            <w:tcBorders>
              <w:top w:val="nil"/>
              <w:left w:val="single" w:sz="4" w:space="0" w:color="000000"/>
              <w:bottom w:val="single" w:sz="4" w:space="0" w:color="000000"/>
              <w:right w:val="single" w:sz="4" w:space="0" w:color="000000"/>
            </w:tcBorders>
          </w:tcPr>
          <w:p w:rsidR="006C145C" w:rsidRDefault="006C145C"/>
        </w:tc>
      </w:tr>
    </w:tbl>
    <w:p w:rsidR="006C145C" w:rsidRDefault="00C62E5A">
      <w:pPr>
        <w:numPr>
          <w:ilvl w:val="0"/>
          <w:numId w:val="16"/>
        </w:numPr>
        <w:spacing w:after="499" w:line="265" w:lineRule="auto"/>
        <w:ind w:hanging="360"/>
      </w:pPr>
      <w:r>
        <w:rPr>
          <w:rFonts w:ascii="Arial" w:eastAsia="Arial" w:hAnsi="Arial" w:cs="Arial"/>
          <w:b/>
          <w:color w:val="FF0000"/>
          <w:sz w:val="20"/>
        </w:rPr>
        <w:t>VISTORIA PARA A LICITAÇÃO.</w:t>
      </w:r>
      <w:r>
        <w:rPr>
          <w:rFonts w:ascii="Arial" w:eastAsia="Arial" w:hAnsi="Arial" w:cs="Arial"/>
          <w:b/>
          <w:sz w:val="20"/>
        </w:rPr>
        <w:t xml:space="preserve"> </w:t>
      </w:r>
    </w:p>
    <w:p w:rsidR="006C145C" w:rsidRDefault="00C62E5A">
      <w:pPr>
        <w:spacing w:after="155" w:line="269" w:lineRule="auto"/>
        <w:ind w:left="715" w:right="54" w:hanging="360"/>
        <w:jc w:val="both"/>
      </w:pPr>
      <w:r>
        <w:rPr>
          <w:rFonts w:ascii="Arial" w:eastAsia="Arial" w:hAnsi="Arial" w:cs="Arial"/>
          <w:sz w:val="20"/>
        </w:rPr>
        <w:t xml:space="preserve">6.1 </w:t>
      </w:r>
      <w:r>
        <w:rPr>
          <w:rFonts w:ascii="Arial" w:eastAsia="Arial" w:hAnsi="Arial" w:cs="Arial"/>
          <w:color w:val="FF0000"/>
          <w:sz w:val="20"/>
        </w:rPr>
        <w:t xml:space="preserve">Para o correto dimensionamento e elaboração de sua proposta, o licitante </w:t>
      </w:r>
      <w:r>
        <w:rPr>
          <w:rFonts w:ascii="Arial" w:eastAsia="Arial" w:hAnsi="Arial" w:cs="Arial"/>
          <w:i/>
          <w:color w:val="FF0000"/>
          <w:sz w:val="20"/>
        </w:rPr>
        <w:t xml:space="preserve">poderá </w:t>
      </w:r>
      <w:r>
        <w:rPr>
          <w:rFonts w:ascii="Arial" w:eastAsia="Arial" w:hAnsi="Arial" w:cs="Arial"/>
          <w:color w:val="FF0000"/>
          <w:sz w:val="20"/>
        </w:rPr>
        <w:t>realizar vistoria nas instalações do local de execução dos serviços, acompanhado por servidor designado para esse fim, de segunda à sexta-feira, das ..... horas às ...... horas.</w:t>
      </w:r>
      <w:r>
        <w:rPr>
          <w:rFonts w:ascii="Arial" w:eastAsia="Arial" w:hAnsi="Arial" w:cs="Arial"/>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b/>
          <w:i/>
          <w:sz w:val="20"/>
        </w:rPr>
        <w:t>Nota explicativa</w:t>
      </w:r>
      <w:r>
        <w:rPr>
          <w:rFonts w:ascii="Arial" w:eastAsia="Arial" w:hAnsi="Arial" w:cs="Arial"/>
          <w:i/>
          <w:sz w:val="20"/>
        </w:rPr>
        <w:t>: De acordo com o art. 30, III, da Lei 8.666, de 1993, a opçã</w:t>
      </w:r>
      <w:r>
        <w:rPr>
          <w:rFonts w:ascii="Arial" w:eastAsia="Arial" w:hAnsi="Arial" w:cs="Arial"/>
          <w:i/>
          <w:sz w:val="20"/>
        </w:rPr>
        <w:t xml:space="preserve">o pela exigência ou não de vistoria é discricionária, devendo ser analisada com vistas ao objeto licitatório.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Ressalte-se que a exigência de vistoria obrigatória representa um ônus desnecessário para os licitantes, configurando restrição à competitividad</w:t>
      </w:r>
      <w:r>
        <w:rPr>
          <w:rFonts w:ascii="Arial" w:eastAsia="Arial" w:hAnsi="Arial" w:cs="Arial"/>
          <w:i/>
          <w:sz w:val="20"/>
        </w:rPr>
        <w:t>e do certame. Para evitar tal quadro, o TCU recomenda que se exija não a visita, mas sim a declaração do licitante de que está ciente das condições de execução dos serviços, nos termos do art. 30, III, da Lei n° 8.666/93 (por exemplo, Acórdãos n° 2.150/200</w:t>
      </w:r>
      <w:r>
        <w:rPr>
          <w:rFonts w:ascii="Arial" w:eastAsia="Arial" w:hAnsi="Arial" w:cs="Arial"/>
          <w:i/>
          <w:sz w:val="20"/>
        </w:rPr>
        <w:t xml:space="preserve">8, n° 1.599/2010, n° 2.266/2011, n° 2.776/2011 e n° 110/2012, todos do Plenário).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 xml:space="preserve">Esse quadro tornou-se mais crítico com o Acórdão 170/2018 – </w:t>
      </w:r>
      <w:r>
        <w:rPr>
          <w:rFonts w:ascii="Arial" w:eastAsia="Arial" w:hAnsi="Arial" w:cs="Arial"/>
          <w:i/>
          <w:sz w:val="20"/>
        </w:rPr>
        <w:t xml:space="preserve">Plenário (Informativo 339), que chega a considerar a vistoria como um Direito do Licitante, e não uma obrigação imposta pela Administração.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 xml:space="preserve">Por isso, a Comissão Permanente de Modelos de Editais e Contratos da Consultoria-Geral da União – CPMLC, já deixou </w:t>
      </w:r>
      <w:r>
        <w:rPr>
          <w:rFonts w:ascii="Arial" w:eastAsia="Arial" w:hAnsi="Arial" w:cs="Arial"/>
          <w:i/>
          <w:sz w:val="20"/>
        </w:rPr>
        <w:t xml:space="preserve">registrada a opção “poderá” na redação acima, evitando-se escolhas irrefletidas pelos órgãos e entidades assessoradas.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Além disso, precavendo-se de substituições imotivadas, também fez uma redação na disposição no edital que permite ao licitante emitir el</w:t>
      </w:r>
      <w:r>
        <w:rPr>
          <w:rFonts w:ascii="Arial" w:eastAsia="Arial" w:hAnsi="Arial" w:cs="Arial"/>
          <w:i/>
          <w:sz w:val="20"/>
        </w:rPr>
        <w:t xml:space="preserve">e próprio uma declaração, mesmo quando o órgão exija a vistoria. O objetivo é evitar que exigências de vistoria sem o embasamento técnico adequado sejam motivo de frustração do certame.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Caso o órgão efetivamente pretenda exigir a vistoria, sem permitir es</w:t>
      </w:r>
      <w:r>
        <w:rPr>
          <w:rFonts w:ascii="Arial" w:eastAsia="Arial" w:hAnsi="Arial" w:cs="Arial"/>
          <w:i/>
          <w:sz w:val="20"/>
        </w:rPr>
        <w:t xml:space="preserve">sa alternativa aos licitantes, recomenda-se então que além de substituir a redação acima por “deverá”, também substitua o trecho final da disposição do edital, conforme pormenorizado na Nota Explicativa daquele modelo.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Reiteramos que a exigência de vistor</w:t>
      </w:r>
      <w:r>
        <w:rPr>
          <w:rFonts w:ascii="Arial" w:eastAsia="Arial" w:hAnsi="Arial" w:cs="Arial"/>
          <w:i/>
          <w:sz w:val="20"/>
        </w:rPr>
        <w:t>ia traz um risco considerável para a licitação, mesmo que exista justificativa técnica, com motivação mencionada de forma resumida no edital. Por essa razão, a divulgação de ‘fotografias, plantas, desenhos técnicos e congêneres’ torna-se ainda mais importa</w:t>
      </w:r>
      <w:r>
        <w:rPr>
          <w:rFonts w:ascii="Arial" w:eastAsia="Arial" w:hAnsi="Arial" w:cs="Arial"/>
          <w:i/>
          <w:sz w:val="20"/>
        </w:rPr>
        <w:t xml:space="preserve">nte, para a correta dimensão do custo da execução e, consequentemente, para a maior isonomia entre os licitantes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Por fim, como já ressaltado, não se deve confundir essa exigência de vistoria para a licitação com a exigência de declaração de pleno conhecim</w:t>
      </w:r>
      <w:r>
        <w:rPr>
          <w:rFonts w:ascii="Arial" w:eastAsia="Arial" w:hAnsi="Arial" w:cs="Arial"/>
          <w:i/>
          <w:sz w:val="20"/>
        </w:rPr>
        <w:t xml:space="preserve">ento das condições necessárias para a prestação dos serviços, conforme abordado na Nota Explicativa anterior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34"/>
        <w:ind w:left="-15" w:right="57"/>
      </w:pPr>
      <w:r>
        <w:rPr>
          <w:rFonts w:ascii="Arial" w:eastAsia="Arial" w:hAnsi="Arial" w:cs="Arial"/>
          <w:i/>
          <w:sz w:val="20"/>
        </w:rPr>
        <w:t xml:space="preserve"> </w:t>
      </w:r>
    </w:p>
    <w:p w:rsidR="006C145C" w:rsidRDefault="00C62E5A">
      <w:pPr>
        <w:spacing w:after="130" w:line="270" w:lineRule="auto"/>
        <w:ind w:left="770" w:right="58" w:hanging="360"/>
        <w:jc w:val="both"/>
      </w:pPr>
      <w:r>
        <w:rPr>
          <w:rFonts w:ascii="Arial" w:eastAsia="Arial" w:hAnsi="Arial" w:cs="Arial"/>
          <w:i/>
          <w:sz w:val="20"/>
        </w:rPr>
        <w:t xml:space="preserve">6.2 </w:t>
      </w:r>
      <w:r>
        <w:rPr>
          <w:rFonts w:ascii="Arial" w:eastAsia="Arial" w:hAnsi="Arial" w:cs="Arial"/>
          <w:i/>
          <w:color w:val="FF0000"/>
          <w:sz w:val="20"/>
        </w:rPr>
        <w:t>O prazo para vistoria iniciar-se-á no dia útil seguinte ao da publicação do Edital, estendendose até o dia útil anterior à data prevista par</w:t>
      </w:r>
      <w:r>
        <w:rPr>
          <w:rFonts w:ascii="Arial" w:eastAsia="Arial" w:hAnsi="Arial" w:cs="Arial"/>
          <w:i/>
          <w:color w:val="FF0000"/>
          <w:sz w:val="20"/>
        </w:rPr>
        <w:t>a a abertura da sessão pública.</w:t>
      </w:r>
      <w:r>
        <w:rPr>
          <w:rFonts w:ascii="Arial" w:eastAsia="Arial" w:hAnsi="Arial" w:cs="Arial"/>
          <w:i/>
          <w:sz w:val="20"/>
        </w:rPr>
        <w:t xml:space="preserve"> </w:t>
      </w:r>
    </w:p>
    <w:p w:rsidR="006C145C" w:rsidRDefault="00C62E5A">
      <w:pPr>
        <w:spacing w:after="7" w:line="270" w:lineRule="auto"/>
        <w:ind w:left="1778" w:right="58" w:hanging="720"/>
        <w:jc w:val="both"/>
      </w:pPr>
      <w:r>
        <w:rPr>
          <w:rFonts w:ascii="Arial" w:eastAsia="Arial" w:hAnsi="Arial" w:cs="Arial"/>
          <w:i/>
          <w:color w:val="FF0000"/>
          <w:sz w:val="20"/>
        </w:rPr>
        <w:t>6.2.1 Para a vistoria o licitante, ou o seu representante legal, deverá estar devidamente identificado, apresentando documento de identidade civil e documento expedido pela empresa comprovando sua habilitação para a realiza</w:t>
      </w:r>
      <w:r>
        <w:rPr>
          <w:rFonts w:ascii="Arial" w:eastAsia="Arial" w:hAnsi="Arial" w:cs="Arial"/>
          <w:i/>
          <w:color w:val="FF0000"/>
          <w:sz w:val="20"/>
        </w:rPr>
        <w:t xml:space="preserve">ção da vistoria. </w:t>
      </w:r>
    </w:p>
    <w:p w:rsidR="006C145C" w:rsidRDefault="00C62E5A">
      <w:pPr>
        <w:spacing w:after="17"/>
        <w:ind w:left="1922"/>
      </w:pPr>
      <w:r>
        <w:rPr>
          <w:rFonts w:ascii="Arial" w:eastAsia="Arial" w:hAnsi="Arial" w:cs="Arial"/>
          <w:i/>
          <w:color w:val="FF0000"/>
          <w:sz w:val="20"/>
        </w:rPr>
        <w:t xml:space="preserve"> </w:t>
      </w:r>
    </w:p>
    <w:p w:rsidR="006C145C" w:rsidRDefault="00C62E5A">
      <w:pPr>
        <w:tabs>
          <w:tab w:val="center" w:pos="1394"/>
          <w:tab w:val="center" w:pos="3732"/>
        </w:tabs>
        <w:spacing w:after="15" w:line="270" w:lineRule="auto"/>
      </w:pPr>
      <w:r>
        <w:tab/>
      </w:r>
      <w:r>
        <w:rPr>
          <w:rFonts w:ascii="Arial" w:eastAsia="Arial" w:hAnsi="Arial" w:cs="Arial"/>
          <w:i/>
          <w:color w:val="FF0000"/>
          <w:sz w:val="20"/>
        </w:rPr>
        <w:t xml:space="preserve">6.2.2 </w:t>
      </w:r>
      <w:r>
        <w:rPr>
          <w:rFonts w:ascii="Arial" w:eastAsia="Arial" w:hAnsi="Arial" w:cs="Arial"/>
          <w:i/>
          <w:color w:val="FF0000"/>
          <w:sz w:val="20"/>
        </w:rPr>
        <w:tab/>
        <w:t xml:space="preserve">... [incluir outras instruções sobre vistoria] </w:t>
      </w:r>
    </w:p>
    <w:p w:rsidR="006C145C" w:rsidRDefault="00C62E5A">
      <w:pPr>
        <w:tabs>
          <w:tab w:val="center" w:pos="1394"/>
          <w:tab w:val="center" w:pos="3730"/>
        </w:tabs>
        <w:spacing w:after="17" w:line="270" w:lineRule="auto"/>
      </w:pPr>
      <w:r>
        <w:tab/>
      </w:r>
      <w:r>
        <w:rPr>
          <w:rFonts w:ascii="Arial" w:eastAsia="Arial" w:hAnsi="Arial" w:cs="Arial"/>
          <w:i/>
          <w:color w:val="FF0000"/>
          <w:sz w:val="20"/>
        </w:rPr>
        <w:t xml:space="preserve">6.2.3 </w:t>
      </w:r>
      <w:r>
        <w:rPr>
          <w:rFonts w:ascii="Arial" w:eastAsia="Arial" w:hAnsi="Arial" w:cs="Arial"/>
          <w:i/>
          <w:color w:val="FF0000"/>
          <w:sz w:val="20"/>
        </w:rPr>
        <w:tab/>
        <w:t xml:space="preserve">... [incluir outras instruções sobre vistoria] </w:t>
      </w:r>
    </w:p>
    <w:p w:rsidR="006C145C" w:rsidRDefault="00C62E5A">
      <w:pPr>
        <w:spacing w:after="165"/>
        <w:ind w:left="1922"/>
      </w:pPr>
      <w:r>
        <w:rPr>
          <w:rFonts w:ascii="Arial" w:eastAsia="Arial" w:hAnsi="Arial" w:cs="Arial"/>
          <w:color w:val="FF0000"/>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2" w:line="249" w:lineRule="auto"/>
        <w:ind w:left="-5" w:right="57" w:hanging="10"/>
        <w:jc w:val="both"/>
      </w:pPr>
      <w:r>
        <w:rPr>
          <w:rFonts w:ascii="Arial" w:eastAsia="Arial" w:hAnsi="Arial" w:cs="Arial"/>
          <w:b/>
          <w:i/>
          <w:sz w:val="20"/>
        </w:rPr>
        <w:lastRenderedPageBreak/>
        <w:t>Nota Explicativa</w:t>
      </w:r>
      <w:r>
        <w:rPr>
          <w:rFonts w:ascii="Arial" w:eastAsia="Arial" w:hAnsi="Arial" w:cs="Arial"/>
          <w:i/>
          <w:sz w:val="20"/>
        </w:rPr>
        <w:t xml:space="preserve">: Não é possível exigir que a vistoria técnica seja realizada, necessariamente, pelo engenheiro responsável pela obra (responsável técnico) ou em data única (TCU, Acórdão nº 3.040/2011-Plenário). </w:t>
      </w:r>
    </w:p>
    <w:p w:rsidR="006C145C" w:rsidRDefault="00C62E5A">
      <w:pPr>
        <w:spacing w:after="21" w:line="270" w:lineRule="auto"/>
        <w:ind w:left="770" w:right="58" w:hanging="360"/>
        <w:jc w:val="both"/>
      </w:pPr>
      <w:r>
        <w:rPr>
          <w:rFonts w:ascii="Arial" w:eastAsia="Arial" w:hAnsi="Arial" w:cs="Arial"/>
          <w:sz w:val="20"/>
        </w:rPr>
        <w:t xml:space="preserve">6.3 </w:t>
      </w:r>
      <w:r>
        <w:rPr>
          <w:rFonts w:ascii="Arial" w:eastAsia="Arial" w:hAnsi="Arial" w:cs="Arial"/>
          <w:i/>
          <w:color w:val="FF0000"/>
          <w:sz w:val="20"/>
        </w:rPr>
        <w:t>Por ocasião da vistoria, ao licitante, ou ao seu repres</w:t>
      </w:r>
      <w:r>
        <w:rPr>
          <w:rFonts w:ascii="Arial" w:eastAsia="Arial" w:hAnsi="Arial" w:cs="Arial"/>
          <w:i/>
          <w:color w:val="FF0000"/>
          <w:sz w:val="20"/>
        </w:rPr>
        <w:t>entante legal, poderá ser entregue CDROM, “pen-drive” ou outra forma compatível de reprodução, contendo as informações relativas ao objeto da licitação, para que a empresa tenha condições de bem elaborar sua proposta.</w:t>
      </w:r>
      <w:r>
        <w:rPr>
          <w:rFonts w:ascii="Arial" w:eastAsia="Arial" w:hAnsi="Arial" w:cs="Arial"/>
          <w:color w:val="FF0000"/>
          <w:sz w:val="20"/>
        </w:rPr>
        <w:t xml:space="preserve"> </w:t>
      </w:r>
    </w:p>
    <w:p w:rsidR="006C145C" w:rsidRDefault="00C62E5A">
      <w:pPr>
        <w:spacing w:after="0"/>
        <w:ind w:left="432"/>
      </w:pPr>
      <w:r>
        <w:rPr>
          <w:rFonts w:ascii="Arial" w:eastAsia="Arial" w:hAnsi="Arial" w:cs="Arial"/>
          <w:color w:val="FF0000"/>
          <w:sz w:val="20"/>
        </w:rPr>
        <w:t xml:space="preserve"> </w:t>
      </w:r>
    </w:p>
    <w:p w:rsidR="006C145C" w:rsidRDefault="00C62E5A">
      <w:pPr>
        <w:spacing w:after="9" w:line="270" w:lineRule="auto"/>
        <w:ind w:left="432" w:right="58" w:hanging="360"/>
        <w:jc w:val="both"/>
      </w:pPr>
      <w:r>
        <w:rPr>
          <w:rFonts w:ascii="Arial" w:eastAsia="Arial" w:hAnsi="Arial" w:cs="Arial"/>
          <w:sz w:val="20"/>
        </w:rPr>
        <w:t xml:space="preserve">6.4 </w:t>
      </w:r>
      <w:r>
        <w:rPr>
          <w:rFonts w:ascii="Arial" w:eastAsia="Arial" w:hAnsi="Arial" w:cs="Arial"/>
          <w:i/>
          <w:color w:val="FF0000"/>
          <w:sz w:val="20"/>
        </w:rPr>
        <w:t>A não realização da vistoria, q</w:t>
      </w:r>
      <w:r>
        <w:rPr>
          <w:rFonts w:ascii="Arial" w:eastAsia="Arial" w:hAnsi="Arial" w:cs="Arial"/>
          <w:i/>
          <w:color w:val="FF0000"/>
          <w:sz w:val="20"/>
        </w:rPr>
        <w:t>uando facultativa, não poderá embasar posteriores alegações de desconhecimento das instalações, dúvidas ou esquecimentos de quaisquer detalhes dos locais da prestação dos serviços, devendo a licitante vencedora assumir os ônus dos serviços decorrentes.</w:t>
      </w:r>
      <w:r>
        <w:rPr>
          <w:rFonts w:ascii="Arial" w:eastAsia="Arial" w:hAnsi="Arial" w:cs="Arial"/>
          <w:color w:val="FF0000"/>
          <w:sz w:val="20"/>
        </w:rPr>
        <w:t xml:space="preserve"> </w:t>
      </w:r>
    </w:p>
    <w:p w:rsidR="006C145C" w:rsidRDefault="00C62E5A">
      <w:pPr>
        <w:spacing w:after="0"/>
        <w:ind w:left="437"/>
      </w:pPr>
      <w:r>
        <w:rPr>
          <w:rFonts w:ascii="Arial" w:eastAsia="Arial" w:hAnsi="Arial" w:cs="Arial"/>
          <w:color w:val="FF0000"/>
          <w:sz w:val="20"/>
        </w:rPr>
        <w:t xml:space="preserve"> </w:t>
      </w:r>
    </w:p>
    <w:p w:rsidR="006C145C" w:rsidRDefault="00C62E5A">
      <w:pPr>
        <w:spacing w:after="486" w:line="270" w:lineRule="auto"/>
        <w:ind w:left="432" w:right="58" w:hanging="360"/>
        <w:jc w:val="both"/>
      </w:pPr>
      <w:r>
        <w:rPr>
          <w:rFonts w:ascii="Arial" w:eastAsia="Arial" w:hAnsi="Arial" w:cs="Arial"/>
          <w:sz w:val="20"/>
        </w:rPr>
        <w:t xml:space="preserve">6.5 </w:t>
      </w:r>
      <w:r>
        <w:rPr>
          <w:rFonts w:ascii="Arial" w:eastAsia="Arial" w:hAnsi="Arial" w:cs="Arial"/>
          <w:i/>
          <w:color w:val="FF0000"/>
          <w:sz w:val="20"/>
        </w:rPr>
        <w:t>A licitante deverá declarar que tomou conhecimento de todas as informações e das condições locais para o cumprimento das obrigações objeto da licitação.</w:t>
      </w:r>
      <w:r>
        <w:rPr>
          <w:rFonts w:ascii="Arial" w:eastAsia="Arial" w:hAnsi="Arial" w:cs="Arial"/>
          <w:color w:val="FF0000"/>
          <w:sz w:val="20"/>
        </w:rPr>
        <w:t xml:space="preserve"> </w:t>
      </w:r>
    </w:p>
    <w:p w:rsidR="006C145C" w:rsidRDefault="00C62E5A">
      <w:pPr>
        <w:pStyle w:val="Ttulo5"/>
        <w:tabs>
          <w:tab w:val="center" w:pos="2005"/>
        </w:tabs>
        <w:spacing w:after="34"/>
        <w:ind w:left="-3" w:firstLine="0"/>
        <w:jc w:val="left"/>
      </w:pPr>
      <w:r>
        <w:t xml:space="preserve">7 </w:t>
      </w:r>
      <w:r>
        <w:tab/>
        <w:t xml:space="preserve">MODELO DE EXECUÇÃO DO OBJETO </w:t>
      </w:r>
    </w:p>
    <w:p w:rsidR="006C145C" w:rsidRDefault="00C62E5A">
      <w:pPr>
        <w:spacing w:after="103"/>
        <w:ind w:left="432"/>
      </w:pPr>
      <w:r>
        <w:rPr>
          <w:rFonts w:ascii="Arial" w:eastAsia="Arial" w:hAnsi="Arial" w:cs="Arial"/>
          <w:sz w:val="20"/>
        </w:rPr>
        <w:t xml:space="preserve"> </w:t>
      </w:r>
    </w:p>
    <w:p w:rsidR="006C145C" w:rsidRDefault="00C62E5A">
      <w:pPr>
        <w:spacing w:after="94" w:line="270" w:lineRule="auto"/>
        <w:ind w:left="5" w:right="54" w:hanging="8"/>
        <w:jc w:val="both"/>
      </w:pPr>
      <w:r>
        <w:rPr>
          <w:rFonts w:ascii="Arial" w:eastAsia="Arial" w:hAnsi="Arial" w:cs="Arial"/>
          <w:sz w:val="20"/>
        </w:rPr>
        <w:t xml:space="preserve">7.1 A execução do objeto seguirá a seguinte dinâmica: </w:t>
      </w:r>
    </w:p>
    <w:p w:rsidR="006C145C" w:rsidRDefault="00C62E5A">
      <w:pPr>
        <w:tabs>
          <w:tab w:val="center" w:pos="826"/>
          <w:tab w:val="center" w:pos="1474"/>
        </w:tabs>
        <w:spacing w:after="100" w:line="270" w:lineRule="auto"/>
      </w:pPr>
      <w:r>
        <w:tab/>
      </w:r>
      <w:r>
        <w:rPr>
          <w:rFonts w:ascii="Arial" w:eastAsia="Arial" w:hAnsi="Arial" w:cs="Arial"/>
          <w:sz w:val="20"/>
        </w:rPr>
        <w:t xml:space="preserve">7.1.1 </w:t>
      </w:r>
      <w:r>
        <w:rPr>
          <w:rFonts w:ascii="Arial" w:eastAsia="Arial" w:hAnsi="Arial" w:cs="Arial"/>
          <w:sz w:val="20"/>
        </w:rPr>
        <w:tab/>
      </w:r>
      <w:r>
        <w:rPr>
          <w:rFonts w:ascii="Arial" w:eastAsia="Arial" w:hAnsi="Arial" w:cs="Arial"/>
          <w:sz w:val="20"/>
        </w:rPr>
        <w:t xml:space="preserve">(...) </w:t>
      </w:r>
    </w:p>
    <w:p w:rsidR="006C145C" w:rsidRDefault="00C62E5A">
      <w:pPr>
        <w:tabs>
          <w:tab w:val="center" w:pos="826"/>
          <w:tab w:val="center" w:pos="1474"/>
        </w:tabs>
        <w:spacing w:after="99" w:line="270" w:lineRule="auto"/>
      </w:pPr>
      <w:r>
        <w:tab/>
      </w:r>
      <w:r>
        <w:rPr>
          <w:rFonts w:ascii="Arial" w:eastAsia="Arial" w:hAnsi="Arial" w:cs="Arial"/>
          <w:sz w:val="20"/>
        </w:rPr>
        <w:t xml:space="preserve">7.1.2 </w:t>
      </w:r>
      <w:r>
        <w:rPr>
          <w:rFonts w:ascii="Arial" w:eastAsia="Arial" w:hAnsi="Arial" w:cs="Arial"/>
          <w:sz w:val="20"/>
        </w:rPr>
        <w:tab/>
        <w:t xml:space="preserve">(...) </w:t>
      </w:r>
    </w:p>
    <w:p w:rsidR="006C145C" w:rsidRDefault="00C62E5A">
      <w:pPr>
        <w:spacing w:after="94" w:line="270" w:lineRule="auto"/>
        <w:ind w:left="1647" w:right="54" w:hanging="8"/>
        <w:jc w:val="both"/>
      </w:pPr>
      <w:r>
        <w:rPr>
          <w:rFonts w:ascii="Arial" w:eastAsia="Arial" w:hAnsi="Arial" w:cs="Arial"/>
          <w:sz w:val="20"/>
        </w:rPr>
        <w:t xml:space="preserve">[...] </w:t>
      </w:r>
    </w:p>
    <w:p w:rsidR="006C145C" w:rsidRDefault="00C62E5A">
      <w:pPr>
        <w:spacing w:after="0" w:line="270" w:lineRule="auto"/>
        <w:ind w:left="357" w:right="54" w:hanging="360"/>
        <w:jc w:val="both"/>
      </w:pPr>
      <w:r>
        <w:rPr>
          <w:rFonts w:ascii="Arial" w:eastAsia="Arial" w:hAnsi="Arial" w:cs="Arial"/>
          <w:sz w:val="20"/>
        </w:rPr>
        <w:t xml:space="preserve">7.2 A execução dos serviços será iniciada ................................. (indicar a data ou evento para o início dos serviços), na forma que segue: </w:t>
      </w:r>
    </w:p>
    <w:p w:rsidR="006C145C" w:rsidRDefault="00C62E5A">
      <w:pPr>
        <w:spacing w:after="0"/>
        <w:ind w:left="432"/>
      </w:pPr>
      <w:r>
        <w:rPr>
          <w:rFonts w:ascii="Arial" w:eastAsia="Arial" w:hAnsi="Arial" w:cs="Arial"/>
          <w:sz w:val="20"/>
        </w:rPr>
        <w:t xml:space="preserve"> </w:t>
      </w:r>
    </w:p>
    <w:tbl>
      <w:tblPr>
        <w:tblStyle w:val="TableGrid"/>
        <w:tblW w:w="9297" w:type="dxa"/>
        <w:tblInd w:w="-395" w:type="dxa"/>
        <w:tblCellMar>
          <w:top w:w="27" w:type="dxa"/>
          <w:left w:w="112" w:type="dxa"/>
          <w:bottom w:w="0" w:type="dxa"/>
          <w:right w:w="58" w:type="dxa"/>
        </w:tblCellMar>
        <w:tblLook w:val="04A0" w:firstRow="1" w:lastRow="0" w:firstColumn="1" w:lastColumn="0" w:noHBand="0" w:noVBand="1"/>
      </w:tblPr>
      <w:tblGrid>
        <w:gridCol w:w="9297"/>
      </w:tblGrid>
      <w:tr w:rsidR="006C145C">
        <w:trPr>
          <w:trHeight w:val="8519"/>
        </w:trPr>
        <w:tc>
          <w:tcPr>
            <w:tcW w:w="9297" w:type="dxa"/>
            <w:tcBorders>
              <w:top w:val="single" w:sz="4" w:space="0" w:color="1F497D"/>
              <w:left w:val="single" w:sz="4" w:space="0" w:color="1F497D"/>
              <w:bottom w:val="single" w:sz="4" w:space="0" w:color="1F497D"/>
              <w:right w:val="single" w:sz="4" w:space="0" w:color="1F497D"/>
            </w:tcBorders>
            <w:shd w:val="clear" w:color="auto" w:fill="FFFFCC"/>
          </w:tcPr>
          <w:p w:rsidR="006C145C" w:rsidRDefault="00C62E5A">
            <w:pPr>
              <w:spacing w:after="91" w:line="272" w:lineRule="auto"/>
              <w:ind w:right="62"/>
              <w:jc w:val="both"/>
            </w:pPr>
            <w:r>
              <w:rPr>
                <w:rFonts w:ascii="Arial" w:eastAsia="Arial" w:hAnsi="Arial" w:cs="Arial"/>
                <w:b/>
                <w:i/>
                <w:sz w:val="20"/>
              </w:rPr>
              <w:lastRenderedPageBreak/>
              <w:t>Nota Explicativa</w:t>
            </w:r>
            <w:r>
              <w:rPr>
                <w:rFonts w:ascii="Arial" w:eastAsia="Arial" w:hAnsi="Arial" w:cs="Arial"/>
                <w:i/>
                <w:sz w:val="20"/>
              </w:rPr>
              <w:t xml:space="preserve">:  A descrição das tarefas </w:t>
            </w:r>
            <w:r>
              <w:rPr>
                <w:rFonts w:ascii="Arial" w:eastAsia="Arial" w:hAnsi="Arial" w:cs="Arial"/>
                <w:i/>
                <w:sz w:val="20"/>
              </w:rPr>
              <w:t>básicas depende das atribuições específicas do serviço contratado e da realidade de cada órgão. A IN SEGES/MP n° 05, de 2017 discrimina uma série de pontos a serem analisados pelos órgãos ou entidades, e depois materializados nesse tópico do TR. Seguem alg</w:t>
            </w:r>
            <w:r>
              <w:rPr>
                <w:rFonts w:ascii="Arial" w:eastAsia="Arial" w:hAnsi="Arial" w:cs="Arial"/>
                <w:i/>
                <w:sz w:val="20"/>
              </w:rPr>
              <w:t xml:space="preserve">uns dos principais aspectos pontuados pela IN 05/2017 " 2.5. Modelo de execução do objeto: </w:t>
            </w:r>
          </w:p>
          <w:p w:rsidR="006C145C" w:rsidRDefault="00C62E5A">
            <w:pPr>
              <w:numPr>
                <w:ilvl w:val="0"/>
                <w:numId w:val="63"/>
              </w:numPr>
              <w:spacing w:after="103"/>
            </w:pPr>
            <w:r>
              <w:rPr>
                <w:rFonts w:ascii="Arial" w:eastAsia="Arial" w:hAnsi="Arial" w:cs="Arial"/>
                <w:i/>
                <w:sz w:val="20"/>
              </w:rPr>
              <w:t xml:space="preserve">Descrever a dinâmica do contrato, devendo constar, sempre que possível: </w:t>
            </w:r>
          </w:p>
          <w:p w:rsidR="006C145C" w:rsidRDefault="00C62E5A">
            <w:pPr>
              <w:numPr>
                <w:ilvl w:val="1"/>
                <w:numId w:val="63"/>
              </w:numPr>
              <w:spacing w:after="120" w:line="241" w:lineRule="auto"/>
            </w:pPr>
            <w:r>
              <w:rPr>
                <w:rFonts w:ascii="Arial" w:eastAsia="Arial" w:hAnsi="Arial" w:cs="Arial"/>
                <w:i/>
                <w:sz w:val="20"/>
              </w:rPr>
              <w:t xml:space="preserve">a definição de prazo para início da execução do objeto a partir da assinatura do contrato, </w:t>
            </w:r>
            <w:r>
              <w:rPr>
                <w:rFonts w:ascii="Arial" w:eastAsia="Arial" w:hAnsi="Arial" w:cs="Arial"/>
                <w:i/>
                <w:sz w:val="20"/>
              </w:rPr>
              <w:t xml:space="preserve">do aceite.... </w:t>
            </w:r>
          </w:p>
          <w:p w:rsidR="006C145C" w:rsidRDefault="00C62E5A">
            <w:pPr>
              <w:spacing w:after="122" w:line="239" w:lineRule="auto"/>
              <w:jc w:val="both"/>
            </w:pPr>
            <w:r>
              <w:rPr>
                <w:rFonts w:ascii="Arial" w:eastAsia="Arial" w:hAnsi="Arial" w:cs="Arial"/>
                <w:i/>
                <w:sz w:val="20"/>
              </w:rPr>
              <w:t xml:space="preserve">(a.1.1. atentar que o prazo mínimo previsto para início da prestação de serviços deverá ser o suficiente para possibilitar a preparação do prestador para o fiel cumprimento do contrato.) </w:t>
            </w:r>
          </w:p>
          <w:p w:rsidR="006C145C" w:rsidRDefault="00C62E5A">
            <w:pPr>
              <w:numPr>
                <w:ilvl w:val="1"/>
                <w:numId w:val="63"/>
              </w:numPr>
              <w:spacing w:after="120" w:line="241" w:lineRule="auto"/>
            </w:pPr>
            <w:r>
              <w:rPr>
                <w:rFonts w:ascii="Arial" w:eastAsia="Arial" w:hAnsi="Arial" w:cs="Arial"/>
                <w:i/>
                <w:sz w:val="20"/>
              </w:rPr>
              <w:t>a descrição detalhada dos métodos ou rotinas de execu</w:t>
            </w:r>
            <w:r>
              <w:rPr>
                <w:rFonts w:ascii="Arial" w:eastAsia="Arial" w:hAnsi="Arial" w:cs="Arial"/>
                <w:i/>
                <w:sz w:val="20"/>
              </w:rPr>
              <w:t xml:space="preserve">ção do trabalho e das etapas a serem executadas; </w:t>
            </w:r>
          </w:p>
          <w:p w:rsidR="006C145C" w:rsidRDefault="00C62E5A">
            <w:pPr>
              <w:numPr>
                <w:ilvl w:val="1"/>
                <w:numId w:val="63"/>
              </w:numPr>
              <w:spacing w:after="103"/>
            </w:pPr>
            <w:r>
              <w:rPr>
                <w:rFonts w:ascii="Arial" w:eastAsia="Arial" w:hAnsi="Arial" w:cs="Arial"/>
                <w:i/>
                <w:sz w:val="20"/>
              </w:rPr>
              <w:t xml:space="preserve">a localidade, o horário de funcionamento, dentre outros; </w:t>
            </w:r>
          </w:p>
          <w:p w:rsidR="006C145C" w:rsidRDefault="00C62E5A">
            <w:pPr>
              <w:numPr>
                <w:ilvl w:val="1"/>
                <w:numId w:val="63"/>
              </w:numPr>
              <w:spacing w:after="103"/>
            </w:pPr>
            <w:r>
              <w:rPr>
                <w:rFonts w:ascii="Arial" w:eastAsia="Arial" w:hAnsi="Arial" w:cs="Arial"/>
                <w:i/>
                <w:sz w:val="20"/>
              </w:rPr>
              <w:t xml:space="preserve">a definição das rotinas da execução, a frequência e a periodicidade dos serviços, quando couber; </w:t>
            </w:r>
          </w:p>
          <w:p w:rsidR="006C145C" w:rsidRDefault="00C62E5A">
            <w:pPr>
              <w:numPr>
                <w:ilvl w:val="1"/>
                <w:numId w:val="63"/>
              </w:numPr>
              <w:spacing w:after="2" w:line="365" w:lineRule="auto"/>
            </w:pPr>
            <w:r>
              <w:rPr>
                <w:rFonts w:ascii="Arial" w:eastAsia="Arial" w:hAnsi="Arial" w:cs="Arial"/>
                <w:i/>
                <w:sz w:val="20"/>
              </w:rPr>
              <w:t>os procedimentos, metodologias e tecnologias a ser</w:t>
            </w:r>
            <w:r>
              <w:rPr>
                <w:rFonts w:ascii="Arial" w:eastAsia="Arial" w:hAnsi="Arial" w:cs="Arial"/>
                <w:i/>
                <w:sz w:val="20"/>
              </w:rPr>
              <w:t xml:space="preserve">em empregadas, quando for o caso; a.6. os deveres e disciplina exigidos; </w:t>
            </w:r>
          </w:p>
          <w:p w:rsidR="006C145C" w:rsidRDefault="00C62E5A">
            <w:pPr>
              <w:numPr>
                <w:ilvl w:val="1"/>
                <w:numId w:val="64"/>
              </w:numPr>
              <w:spacing w:after="120" w:line="241" w:lineRule="auto"/>
            </w:pPr>
            <w:r>
              <w:rPr>
                <w:rFonts w:ascii="Arial" w:eastAsia="Arial" w:hAnsi="Arial" w:cs="Arial"/>
                <w:i/>
                <w:sz w:val="20"/>
              </w:rPr>
              <w:t xml:space="preserve">o cronograma de realização dos serviços, incluídas todas as tarefas significativas e seus respectivos prazos; </w:t>
            </w:r>
          </w:p>
          <w:p w:rsidR="006C145C" w:rsidRDefault="00C62E5A">
            <w:pPr>
              <w:numPr>
                <w:ilvl w:val="1"/>
                <w:numId w:val="64"/>
              </w:numPr>
              <w:spacing w:after="104"/>
            </w:pPr>
            <w:r>
              <w:rPr>
                <w:rFonts w:ascii="Arial" w:eastAsia="Arial" w:hAnsi="Arial" w:cs="Arial"/>
                <w:i/>
                <w:sz w:val="20"/>
              </w:rPr>
              <w:t>demais especificações que se fizerem necessárias para a execução dos se</w:t>
            </w:r>
            <w:r>
              <w:rPr>
                <w:rFonts w:ascii="Arial" w:eastAsia="Arial" w:hAnsi="Arial" w:cs="Arial"/>
                <w:i/>
                <w:sz w:val="20"/>
              </w:rPr>
              <w:t xml:space="preserve">rviços. </w:t>
            </w:r>
          </w:p>
          <w:p w:rsidR="006C145C" w:rsidRDefault="00C62E5A">
            <w:pPr>
              <w:numPr>
                <w:ilvl w:val="0"/>
                <w:numId w:val="63"/>
              </w:numPr>
              <w:spacing w:after="88" w:line="275" w:lineRule="auto"/>
            </w:pPr>
            <w:r>
              <w:rPr>
                <w:rFonts w:ascii="Arial" w:eastAsia="Arial" w:hAnsi="Arial" w:cs="Arial"/>
                <w:i/>
                <w:sz w:val="20"/>
              </w:rPr>
              <w:t xml:space="preserve">Definir o método para quantificar os volumes de serviços a demandar ao longo do contrato, se for o caso, devidamente justificado”. </w:t>
            </w:r>
          </w:p>
          <w:p w:rsidR="006C145C" w:rsidRDefault="00C62E5A">
            <w:pPr>
              <w:numPr>
                <w:ilvl w:val="0"/>
                <w:numId w:val="65"/>
              </w:numPr>
              <w:spacing w:after="120" w:line="241" w:lineRule="auto"/>
              <w:jc w:val="both"/>
            </w:pPr>
            <w:r>
              <w:rPr>
                <w:rFonts w:ascii="Arial" w:eastAsia="Arial" w:hAnsi="Arial" w:cs="Arial"/>
                <w:i/>
                <w:sz w:val="20"/>
              </w:rPr>
              <w:t xml:space="preserve">definir o método para quantificar os volumes de serviços a demandar ao longo do contrato, se for o caso, devidamente justificado; </w:t>
            </w:r>
          </w:p>
          <w:p w:rsidR="006C145C" w:rsidRDefault="00C62E5A">
            <w:pPr>
              <w:numPr>
                <w:ilvl w:val="0"/>
                <w:numId w:val="65"/>
              </w:numPr>
              <w:spacing w:after="120" w:line="241" w:lineRule="auto"/>
              <w:jc w:val="both"/>
            </w:pPr>
            <w:r>
              <w:rPr>
                <w:rFonts w:ascii="Arial" w:eastAsia="Arial" w:hAnsi="Arial" w:cs="Arial"/>
                <w:i/>
                <w:sz w:val="20"/>
              </w:rPr>
              <w:t xml:space="preserve">Definir os mecanismos para os casos em que houver a necessidade de materiais específicos, cuja previsibilidade não se mostra </w:t>
            </w:r>
            <w:r>
              <w:rPr>
                <w:rFonts w:ascii="Arial" w:eastAsia="Arial" w:hAnsi="Arial" w:cs="Arial"/>
                <w:i/>
                <w:sz w:val="20"/>
              </w:rPr>
              <w:t xml:space="preserve">possível antes da contratação, se for o caso;  </w:t>
            </w:r>
          </w:p>
          <w:p w:rsidR="006C145C" w:rsidRDefault="00C62E5A">
            <w:pPr>
              <w:numPr>
                <w:ilvl w:val="0"/>
                <w:numId w:val="65"/>
              </w:numPr>
              <w:spacing w:after="0"/>
              <w:jc w:val="both"/>
            </w:pPr>
            <w:r>
              <w:rPr>
                <w:rFonts w:ascii="Arial" w:eastAsia="Arial" w:hAnsi="Arial" w:cs="Arial"/>
                <w:i/>
                <w:sz w:val="20"/>
              </w:rPr>
              <w:t>Definir o modelo de Ordem de Serviço que será utilizado nas etapas de solicitação, acompanhamento, avaliação e atestação dos serviços, sempre que a prestação do serviço seja realizada por meio de tarefas específicas ou em etapas e haja necessidade de autor</w:t>
            </w:r>
            <w:r>
              <w:rPr>
                <w:rFonts w:ascii="Arial" w:eastAsia="Arial" w:hAnsi="Arial" w:cs="Arial"/>
                <w:i/>
                <w:sz w:val="20"/>
              </w:rPr>
              <w:t xml:space="preserve">ização expressa prevista em contrato, conforme modelo previsto no Anexo V-A, devendo conter, no mínimo: (...) </w:t>
            </w:r>
          </w:p>
        </w:tc>
      </w:tr>
    </w:tbl>
    <w:p w:rsidR="006C145C" w:rsidRDefault="00C62E5A">
      <w:pPr>
        <w:numPr>
          <w:ilvl w:val="0"/>
          <w:numId w:val="17"/>
        </w:numPr>
        <w:pBdr>
          <w:top w:val="single" w:sz="4" w:space="0" w:color="1F497D"/>
          <w:left w:val="single" w:sz="4" w:space="0" w:color="1F497D"/>
          <w:bottom w:val="single" w:sz="4" w:space="0" w:color="1F497D"/>
          <w:right w:val="single" w:sz="4" w:space="0" w:color="1F497D"/>
        </w:pBdr>
        <w:shd w:val="clear" w:color="auto" w:fill="FFFFCC"/>
        <w:spacing w:after="112" w:line="249" w:lineRule="auto"/>
        <w:ind w:left="162" w:right="57" w:hanging="177"/>
        <w:jc w:val="both"/>
      </w:pPr>
      <w:r>
        <w:rPr>
          <w:rFonts w:ascii="Arial" w:eastAsia="Arial" w:hAnsi="Arial" w:cs="Arial"/>
          <w:i/>
          <w:sz w:val="20"/>
        </w:rPr>
        <w:t>Na contratação de serviços de natureza intelectual ou outro serviço que o órgão ou entidade identifique a necessidade, deverá ser estabelecida c</w:t>
      </w:r>
      <w:r>
        <w:rPr>
          <w:rFonts w:ascii="Arial" w:eastAsia="Arial" w:hAnsi="Arial" w:cs="Arial"/>
          <w:i/>
          <w:sz w:val="20"/>
        </w:rPr>
        <w:t>omo obrigação da contratada realizar a transição contratual com transferência de conhecimento, tecnologia e técnicas empregadas, sem perda de informações, podendo exigir, inclusive, a capacitação dos técnicos da contratante ou da nova empresa que continuar</w:t>
      </w:r>
      <w:r>
        <w:rPr>
          <w:rFonts w:ascii="Arial" w:eastAsia="Arial" w:hAnsi="Arial" w:cs="Arial"/>
          <w:i/>
          <w:sz w:val="20"/>
        </w:rPr>
        <w:t xml:space="preserve">á a execução dos serviços </w:t>
      </w:r>
    </w:p>
    <w:p w:rsidR="006C145C" w:rsidRDefault="00C62E5A">
      <w:pPr>
        <w:numPr>
          <w:ilvl w:val="0"/>
          <w:numId w:val="17"/>
        </w:numPr>
        <w:pBdr>
          <w:top w:val="single" w:sz="4" w:space="0" w:color="1F497D"/>
          <w:left w:val="single" w:sz="4" w:space="0" w:color="1F497D"/>
          <w:bottom w:val="single" w:sz="4" w:space="0" w:color="1F497D"/>
          <w:right w:val="single" w:sz="4" w:space="0" w:color="1F497D"/>
        </w:pBdr>
        <w:shd w:val="clear" w:color="auto" w:fill="FFFFCC"/>
        <w:spacing w:after="112" w:line="249" w:lineRule="auto"/>
        <w:ind w:left="162" w:right="57" w:hanging="177"/>
        <w:jc w:val="both"/>
      </w:pPr>
      <w:r>
        <w:rPr>
          <w:rFonts w:ascii="Arial" w:eastAsia="Arial" w:hAnsi="Arial" w:cs="Arial"/>
          <w:i/>
          <w:sz w:val="20"/>
        </w:rPr>
        <w:t xml:space="preserve">Definir com base nas informações dos Estudos Preliminares: </w:t>
      </w:r>
    </w:p>
    <w:p w:rsidR="006C145C" w:rsidRDefault="00C62E5A">
      <w:pPr>
        <w:numPr>
          <w:ilvl w:val="1"/>
          <w:numId w:val="17"/>
        </w:numPr>
        <w:pBdr>
          <w:top w:val="single" w:sz="4" w:space="0" w:color="1F497D"/>
          <w:left w:val="single" w:sz="4" w:space="0" w:color="1F497D"/>
          <w:bottom w:val="single" w:sz="4" w:space="0" w:color="1F497D"/>
          <w:right w:val="single" w:sz="4" w:space="0" w:color="1F497D"/>
        </w:pBdr>
        <w:shd w:val="clear" w:color="auto" w:fill="FFFFCC"/>
        <w:spacing w:after="112" w:line="249" w:lineRule="auto"/>
        <w:ind w:left="316" w:right="57" w:hanging="331"/>
        <w:jc w:val="both"/>
      </w:pPr>
      <w:r>
        <w:rPr>
          <w:rFonts w:ascii="Arial" w:eastAsia="Arial" w:hAnsi="Arial" w:cs="Arial"/>
          <w:i/>
          <w:sz w:val="20"/>
        </w:rPr>
        <w:t xml:space="preserve">se haverá ou não possibilidade de subcontratação de parte do objeto, e, em caso afirmativo, identificar a parte que pode ser subcontratada;  </w:t>
      </w:r>
    </w:p>
    <w:p w:rsidR="006C145C" w:rsidRDefault="00C62E5A">
      <w:pPr>
        <w:numPr>
          <w:ilvl w:val="1"/>
          <w:numId w:val="17"/>
        </w:numPr>
        <w:pBdr>
          <w:top w:val="single" w:sz="4" w:space="0" w:color="1F497D"/>
          <w:left w:val="single" w:sz="4" w:space="0" w:color="1F497D"/>
          <w:bottom w:val="single" w:sz="4" w:space="0" w:color="1F497D"/>
          <w:right w:val="single" w:sz="4" w:space="0" w:color="1F497D"/>
        </w:pBdr>
        <w:shd w:val="clear" w:color="auto" w:fill="FFFFCC"/>
        <w:spacing w:after="112" w:line="249" w:lineRule="auto"/>
        <w:ind w:left="316" w:right="57" w:hanging="331"/>
        <w:jc w:val="both"/>
      </w:pPr>
      <w:r>
        <w:rPr>
          <w:rFonts w:ascii="Arial" w:eastAsia="Arial" w:hAnsi="Arial" w:cs="Arial"/>
          <w:i/>
          <w:sz w:val="20"/>
        </w:rPr>
        <w:t xml:space="preserve">se haverá ou não obrigação de subcontratação de parte do objeto de ME ou EPP;  </w:t>
      </w:r>
    </w:p>
    <w:p w:rsidR="006C145C" w:rsidRDefault="00C62E5A">
      <w:pPr>
        <w:numPr>
          <w:ilvl w:val="1"/>
          <w:numId w:val="17"/>
        </w:numPr>
        <w:pBdr>
          <w:top w:val="single" w:sz="4" w:space="0" w:color="1F497D"/>
          <w:left w:val="single" w:sz="4" w:space="0" w:color="1F497D"/>
          <w:bottom w:val="single" w:sz="4" w:space="0" w:color="1F497D"/>
          <w:right w:val="single" w:sz="4" w:space="0" w:color="1F497D"/>
        </w:pBdr>
        <w:shd w:val="clear" w:color="auto" w:fill="FFFFCC"/>
        <w:spacing w:after="112" w:line="249" w:lineRule="auto"/>
        <w:ind w:left="316" w:right="57" w:hanging="331"/>
        <w:jc w:val="both"/>
      </w:pPr>
      <w:r>
        <w:rPr>
          <w:rFonts w:ascii="Arial" w:eastAsia="Arial" w:hAnsi="Arial" w:cs="Arial"/>
          <w:i/>
          <w:sz w:val="20"/>
        </w:rPr>
        <w:t xml:space="preserve">se haverá ou não possibilidade de as empresas concorrerem em consórcio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A mesma IN traz, no seu anexo VI, um rol aprofundado das tarefas básicas que compõem os serviços de limp</w:t>
      </w:r>
      <w:r>
        <w:rPr>
          <w:rFonts w:ascii="Arial" w:eastAsia="Arial" w:hAnsi="Arial" w:cs="Arial"/>
          <w:i/>
          <w:sz w:val="20"/>
        </w:rPr>
        <w:t xml:space="preserve">eza e conservação e vigilância. Recomenda-se a utilização desses Anexos como ponto de partida para que o órgão elabore a descrição das tarefas básicas de outros serviços e de sua rotina de execução.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505" w:line="249" w:lineRule="auto"/>
        <w:ind w:left="-5" w:right="57" w:hanging="10"/>
        <w:jc w:val="both"/>
      </w:pPr>
      <w:r>
        <w:rPr>
          <w:rFonts w:ascii="Arial" w:eastAsia="Arial" w:hAnsi="Arial" w:cs="Arial"/>
          <w:i/>
          <w:sz w:val="20"/>
        </w:rPr>
        <w:t>Esse item é importante para a eficácia da contratação. Devem ser detalhadas de forma minuciosa as tarefas a serem desenvolvidas pelo empregado alocado e a respectiva rotina de execução, vez que a Administração só poderá, no momento futuro de fiscalização d</w:t>
      </w:r>
      <w:r>
        <w:rPr>
          <w:rFonts w:ascii="Arial" w:eastAsia="Arial" w:hAnsi="Arial" w:cs="Arial"/>
          <w:i/>
          <w:sz w:val="20"/>
        </w:rPr>
        <w:t xml:space="preserve">o contrato, exigir o cumprimento das atividades que tenham sido expressamente arroladas no Termo de Referência. </w:t>
      </w:r>
    </w:p>
    <w:p w:rsidR="006C145C" w:rsidRDefault="00C62E5A">
      <w:pPr>
        <w:tabs>
          <w:tab w:val="center" w:pos="454"/>
          <w:tab w:val="center" w:pos="3949"/>
        </w:tabs>
        <w:spacing w:after="180" w:line="249" w:lineRule="auto"/>
      </w:pPr>
      <w:r>
        <w:lastRenderedPageBreak/>
        <w:tab/>
      </w:r>
      <w:r>
        <w:rPr>
          <w:rFonts w:ascii="Arial" w:eastAsia="Arial" w:hAnsi="Arial" w:cs="Arial"/>
          <w:b/>
          <w:sz w:val="20"/>
        </w:rPr>
        <w:t xml:space="preserve">8 </w:t>
      </w:r>
      <w:r>
        <w:rPr>
          <w:rFonts w:ascii="Arial" w:eastAsia="Arial" w:hAnsi="Arial" w:cs="Arial"/>
          <w:b/>
          <w:sz w:val="20"/>
        </w:rPr>
        <w:tab/>
        <w:t xml:space="preserve">MODELO DE GESTÃO DO CONTRATO E CRITÉRIOS DE MEDIÇÃO: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b/>
          <w:i/>
          <w:sz w:val="20"/>
        </w:rPr>
        <w:t>Nota explicativa</w:t>
      </w:r>
      <w:r>
        <w:rPr>
          <w:rFonts w:ascii="Arial" w:eastAsia="Arial" w:hAnsi="Arial" w:cs="Arial"/>
          <w:i/>
          <w:sz w:val="20"/>
        </w:rPr>
        <w:t>: O presente tópico deve guardar absoluta harmonia com a disciplina d</w:t>
      </w:r>
      <w:r>
        <w:rPr>
          <w:rFonts w:ascii="Arial" w:eastAsia="Arial" w:hAnsi="Arial" w:cs="Arial"/>
          <w:i/>
          <w:sz w:val="20"/>
        </w:rPr>
        <w:t xml:space="preserve">e recebimento e  pagamento, detalhando aspectos que ali estão somente mencionados. Para sua elaboração, o órgão ou entidade deve observar a disposição 2.6 do Anexo V da IN 05/2017 – SEGES/MP, que prevê, entre outros pontos, o seguinte:  </w:t>
      </w:r>
    </w:p>
    <w:p w:rsidR="006C145C" w:rsidRDefault="00C62E5A">
      <w:pPr>
        <w:numPr>
          <w:ilvl w:val="0"/>
          <w:numId w:val="18"/>
        </w:numPr>
        <w:pBdr>
          <w:top w:val="single" w:sz="4" w:space="0" w:color="1F497D"/>
          <w:left w:val="single" w:sz="4" w:space="0" w:color="1F497D"/>
          <w:bottom w:val="single" w:sz="4" w:space="0" w:color="1F497D"/>
          <w:right w:val="single" w:sz="4" w:space="0" w:color="1F497D"/>
        </w:pBdr>
        <w:shd w:val="clear" w:color="auto" w:fill="FFFFCC"/>
        <w:spacing w:after="112" w:line="249" w:lineRule="auto"/>
        <w:ind w:left="217" w:right="57" w:hanging="232"/>
        <w:jc w:val="both"/>
      </w:pPr>
      <w:r>
        <w:rPr>
          <w:rFonts w:ascii="Arial" w:eastAsia="Arial" w:hAnsi="Arial" w:cs="Arial"/>
          <w:i/>
          <w:sz w:val="20"/>
        </w:rPr>
        <w:t xml:space="preserve">definir os atores </w:t>
      </w:r>
      <w:r>
        <w:rPr>
          <w:rFonts w:ascii="Arial" w:eastAsia="Arial" w:hAnsi="Arial" w:cs="Arial"/>
          <w:i/>
          <w:sz w:val="20"/>
        </w:rPr>
        <w:t xml:space="preserve">que participarão da gestão do contrato; </w:t>
      </w:r>
    </w:p>
    <w:p w:rsidR="006C145C" w:rsidRDefault="00C62E5A">
      <w:pPr>
        <w:numPr>
          <w:ilvl w:val="0"/>
          <w:numId w:val="18"/>
        </w:numPr>
        <w:pBdr>
          <w:top w:val="single" w:sz="4" w:space="0" w:color="1F497D"/>
          <w:left w:val="single" w:sz="4" w:space="0" w:color="1F497D"/>
          <w:bottom w:val="single" w:sz="4" w:space="0" w:color="1F497D"/>
          <w:right w:val="single" w:sz="4" w:space="0" w:color="1F497D"/>
        </w:pBdr>
        <w:shd w:val="clear" w:color="auto" w:fill="FFFFCC"/>
        <w:spacing w:after="112" w:line="249" w:lineRule="auto"/>
        <w:ind w:left="217" w:right="57" w:hanging="232"/>
        <w:jc w:val="both"/>
      </w:pPr>
      <w:r>
        <w:rPr>
          <w:rFonts w:ascii="Arial" w:eastAsia="Arial" w:hAnsi="Arial" w:cs="Arial"/>
          <w:i/>
          <w:sz w:val="20"/>
        </w:rPr>
        <w:t xml:space="preserve">Definir os mecanismos de comunicação a serem estabelecidos entre o órgão ou entidade e a prestadora de serviços; </w:t>
      </w:r>
    </w:p>
    <w:p w:rsidR="006C145C" w:rsidRDefault="00C62E5A">
      <w:pPr>
        <w:numPr>
          <w:ilvl w:val="0"/>
          <w:numId w:val="18"/>
        </w:numPr>
        <w:pBdr>
          <w:top w:val="single" w:sz="4" w:space="0" w:color="1F497D"/>
          <w:left w:val="single" w:sz="4" w:space="0" w:color="1F497D"/>
          <w:bottom w:val="single" w:sz="4" w:space="0" w:color="1F497D"/>
          <w:right w:val="single" w:sz="4" w:space="0" w:color="1F497D"/>
        </w:pBdr>
        <w:shd w:val="clear" w:color="auto" w:fill="FFFFCC"/>
        <w:spacing w:after="112" w:line="249" w:lineRule="auto"/>
        <w:ind w:left="217" w:right="57" w:hanging="232"/>
        <w:jc w:val="both"/>
      </w:pPr>
      <w:r>
        <w:rPr>
          <w:rFonts w:ascii="Arial" w:eastAsia="Arial" w:hAnsi="Arial" w:cs="Arial"/>
          <w:i/>
          <w:sz w:val="20"/>
        </w:rPr>
        <w:t>Atentar que, no caso de serviços que devam ser implementados por etapas ou no caso de serviço prestado com regime de mão de obra exclusiva, os quais necessitem de alocação gradativa de pessoal, os pagamentos à contratada devem ser realizados em conformidad</w:t>
      </w:r>
      <w:r>
        <w:rPr>
          <w:rFonts w:ascii="Arial" w:eastAsia="Arial" w:hAnsi="Arial" w:cs="Arial"/>
          <w:i/>
          <w:sz w:val="20"/>
        </w:rPr>
        <w:t xml:space="preserve">e com esses critérios;  </w:t>
      </w:r>
    </w:p>
    <w:p w:rsidR="006C145C" w:rsidRDefault="00C62E5A">
      <w:pPr>
        <w:numPr>
          <w:ilvl w:val="0"/>
          <w:numId w:val="18"/>
        </w:numPr>
        <w:pBdr>
          <w:top w:val="single" w:sz="4" w:space="0" w:color="1F497D"/>
          <w:left w:val="single" w:sz="4" w:space="0" w:color="1F497D"/>
          <w:bottom w:val="single" w:sz="4" w:space="0" w:color="1F497D"/>
          <w:right w:val="single" w:sz="4" w:space="0" w:color="1F497D"/>
        </w:pBdr>
        <w:shd w:val="clear" w:color="auto" w:fill="FFFFCC"/>
        <w:spacing w:after="112" w:line="249" w:lineRule="auto"/>
        <w:ind w:left="217" w:right="57" w:hanging="232"/>
        <w:jc w:val="both"/>
      </w:pPr>
      <w:r>
        <w:rPr>
          <w:rFonts w:ascii="Arial" w:eastAsia="Arial" w:hAnsi="Arial" w:cs="Arial"/>
          <w:i/>
          <w:sz w:val="20"/>
        </w:rPr>
        <w:t xml:space="preserve">Definir a forma de aferição/medição do serviço para efeito de pagamento com base no resultado, conforme as seguintes diretrizes, no que couber:   </w:t>
      </w:r>
    </w:p>
    <w:p w:rsidR="006C145C" w:rsidRDefault="00C62E5A">
      <w:pPr>
        <w:numPr>
          <w:ilvl w:val="1"/>
          <w:numId w:val="18"/>
        </w:num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estabelecer a unidade de medida adequada para o tipo de serviço a ser contratado, de</w:t>
      </w:r>
      <w:r>
        <w:rPr>
          <w:rFonts w:ascii="Arial" w:eastAsia="Arial" w:hAnsi="Arial" w:cs="Arial"/>
          <w:i/>
          <w:sz w:val="20"/>
        </w:rPr>
        <w:t xml:space="preserve"> forma que permita a mensuração dos resultados para o pagamento da contratada e elimine a possibilidade de remunerar as empresas com base na quantidade de horas de serviço ou por postos de trabalho, observando que: </w:t>
      </w:r>
    </w:p>
    <w:p w:rsidR="006C145C" w:rsidRDefault="00C62E5A">
      <w:pPr>
        <w:numPr>
          <w:ilvl w:val="2"/>
          <w:numId w:val="18"/>
        </w:num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excepcionalmente poderá ser adotado crit</w:t>
      </w:r>
      <w:r>
        <w:rPr>
          <w:rFonts w:ascii="Arial" w:eastAsia="Arial" w:hAnsi="Arial" w:cs="Arial"/>
          <w:i/>
          <w:sz w:val="20"/>
        </w:rPr>
        <w:t xml:space="preserve">ério de remuneração da contratada por quantidade de horas de serviço, devendo ser definido o método de cálculo para quantidade, qualificação da mão de obra e tipos de serviços sob demanda, bem como para manutenção preventiva, se for o caso; </w:t>
      </w:r>
    </w:p>
    <w:p w:rsidR="006C145C" w:rsidRDefault="00C62E5A">
      <w:pPr>
        <w:numPr>
          <w:ilvl w:val="2"/>
          <w:numId w:val="18"/>
        </w:num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excepcionalmen</w:t>
      </w:r>
      <w:r>
        <w:rPr>
          <w:rFonts w:ascii="Arial" w:eastAsia="Arial" w:hAnsi="Arial" w:cs="Arial"/>
          <w:i/>
          <w:sz w:val="20"/>
        </w:rPr>
        <w:t xml:space="preserve">te poderá ser adotado critério de remuneração da contratada por postos de trabalho, devendo ser definido o método de cálculo para quantidades e tipos de postos necessários à contratação; </w:t>
      </w:r>
    </w:p>
    <w:p w:rsidR="006C145C" w:rsidRDefault="00C62E5A">
      <w:pPr>
        <w:numPr>
          <w:ilvl w:val="2"/>
          <w:numId w:val="18"/>
        </w:num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na adoção da unidade de medida por postos de trabalho ou horas de serviço, admite-se a flexibilização da execução da atividade ao longo do horário de expediente, vedando-se a realização de horas extras ou pagamento de adicionais não previstos nem estimados</w:t>
      </w:r>
      <w:r>
        <w:rPr>
          <w:rFonts w:ascii="Arial" w:eastAsia="Arial" w:hAnsi="Arial" w:cs="Arial"/>
          <w:i/>
          <w:sz w:val="20"/>
        </w:rPr>
        <w:t xml:space="preserve"> originariamente no ato convocatório. </w:t>
      </w:r>
    </w:p>
    <w:p w:rsidR="006C145C" w:rsidRDefault="00C62E5A">
      <w:pPr>
        <w:numPr>
          <w:ilvl w:val="1"/>
          <w:numId w:val="18"/>
        </w:num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estabelecer a produtividade de referência ou os critérios de adequação do serviço à qualidade esperada, de acordo com a unidade de medida adotada para a execução do objeto, sendo expressa pelo quantitativo físico do s</w:t>
      </w:r>
      <w:r>
        <w:rPr>
          <w:rFonts w:ascii="Arial" w:eastAsia="Arial" w:hAnsi="Arial" w:cs="Arial"/>
          <w:i/>
          <w:sz w:val="20"/>
        </w:rPr>
        <w:t xml:space="preserve">erviço ou por outros mecanismos capazes de aferir a qualidade, seguindose, entre outros, os parâmetros indicados nos Cadernos de Logística; </w:t>
      </w:r>
    </w:p>
    <w:p w:rsidR="006C145C" w:rsidRDefault="006C145C">
      <w:pPr>
        <w:spacing w:after="0"/>
        <w:ind w:left="-1021" w:right="1041"/>
      </w:pPr>
    </w:p>
    <w:tbl>
      <w:tblPr>
        <w:tblStyle w:val="TableGrid"/>
        <w:tblW w:w="9297" w:type="dxa"/>
        <w:tblInd w:w="0" w:type="dxa"/>
        <w:tblCellMar>
          <w:top w:w="27" w:type="dxa"/>
          <w:left w:w="112" w:type="dxa"/>
          <w:bottom w:w="0" w:type="dxa"/>
          <w:right w:w="56" w:type="dxa"/>
        </w:tblCellMar>
        <w:tblLook w:val="04A0" w:firstRow="1" w:lastRow="0" w:firstColumn="1" w:lastColumn="0" w:noHBand="0" w:noVBand="1"/>
      </w:tblPr>
      <w:tblGrid>
        <w:gridCol w:w="9297"/>
      </w:tblGrid>
      <w:tr w:rsidR="006C145C">
        <w:trPr>
          <w:trHeight w:val="13380"/>
        </w:trPr>
        <w:tc>
          <w:tcPr>
            <w:tcW w:w="9297" w:type="dxa"/>
            <w:tcBorders>
              <w:top w:val="single" w:sz="4" w:space="0" w:color="1F497D"/>
              <w:left w:val="single" w:sz="4" w:space="0" w:color="1F497D"/>
              <w:bottom w:val="single" w:sz="4" w:space="0" w:color="1F497D"/>
              <w:right w:val="single" w:sz="4" w:space="0" w:color="1F497D"/>
            </w:tcBorders>
            <w:shd w:val="clear" w:color="auto" w:fill="FFFFCC"/>
          </w:tcPr>
          <w:p w:rsidR="006C145C" w:rsidRDefault="00C62E5A">
            <w:pPr>
              <w:spacing w:after="120" w:line="242" w:lineRule="auto"/>
              <w:jc w:val="both"/>
            </w:pPr>
            <w:r>
              <w:rPr>
                <w:rFonts w:ascii="Arial" w:eastAsia="Arial" w:hAnsi="Arial" w:cs="Arial"/>
                <w:i/>
                <w:sz w:val="20"/>
              </w:rPr>
              <w:lastRenderedPageBreak/>
              <w:t>d.3. identificar os indicadores mínimos de desempenho para aferição da qualidade esperada da prestação dos serviço</w:t>
            </w:r>
            <w:r>
              <w:rPr>
                <w:rFonts w:ascii="Arial" w:eastAsia="Arial" w:hAnsi="Arial" w:cs="Arial"/>
                <w:i/>
                <w:sz w:val="20"/>
              </w:rPr>
              <w:t xml:space="preserve">s, com base nas seguintes diretrizes: </w:t>
            </w:r>
          </w:p>
          <w:p w:rsidR="006C145C" w:rsidRDefault="00C62E5A">
            <w:pPr>
              <w:spacing w:after="118" w:line="241" w:lineRule="auto"/>
              <w:jc w:val="both"/>
            </w:pPr>
            <w:r>
              <w:rPr>
                <w:rFonts w:ascii="Arial" w:eastAsia="Arial" w:hAnsi="Arial" w:cs="Arial"/>
                <w:i/>
                <w:sz w:val="20"/>
              </w:rPr>
              <w:t xml:space="preserve">d.3.1. considerar as atividades mais relevantes ou críticas que impliquem na qualidade da prestação dos serviços e nos resultados esperados; </w:t>
            </w:r>
          </w:p>
          <w:p w:rsidR="006C145C" w:rsidRDefault="00C62E5A">
            <w:pPr>
              <w:spacing w:after="120" w:line="241" w:lineRule="auto"/>
              <w:jc w:val="both"/>
            </w:pPr>
            <w:r>
              <w:rPr>
                <w:rFonts w:ascii="Arial" w:eastAsia="Arial" w:hAnsi="Arial" w:cs="Arial"/>
                <w:i/>
                <w:sz w:val="20"/>
              </w:rPr>
              <w:t xml:space="preserve">d.3.2. prever fatores que estejam fora do controle do prestador e que possam interferir no atendimento das metas; </w:t>
            </w:r>
          </w:p>
          <w:p w:rsidR="006C145C" w:rsidRDefault="00C62E5A">
            <w:pPr>
              <w:spacing w:after="60" w:line="304" w:lineRule="auto"/>
              <w:ind w:right="68"/>
              <w:jc w:val="both"/>
            </w:pPr>
            <w:r>
              <w:rPr>
                <w:rFonts w:ascii="Arial" w:eastAsia="Arial" w:hAnsi="Arial" w:cs="Arial"/>
                <w:i/>
                <w:sz w:val="20"/>
              </w:rPr>
              <w:t xml:space="preserve">d.3.3. os indicadores deverão ser objetivamente mensuráveis e compreensíveis, de preferência facilmente coletáveis, relevantes e adequados à </w:t>
            </w:r>
            <w:r>
              <w:rPr>
                <w:rFonts w:ascii="Arial" w:eastAsia="Arial" w:hAnsi="Arial" w:cs="Arial"/>
                <w:i/>
                <w:sz w:val="20"/>
              </w:rPr>
              <w:t xml:space="preserve">natureza e características do serviço; d.3.4. evitar indicadores complexos ou sobrepostos. </w:t>
            </w:r>
          </w:p>
          <w:p w:rsidR="006C145C" w:rsidRDefault="00C62E5A">
            <w:pPr>
              <w:spacing w:after="121" w:line="241" w:lineRule="auto"/>
              <w:ind w:right="66"/>
              <w:jc w:val="both"/>
            </w:pPr>
            <w:r>
              <w:rPr>
                <w:rFonts w:ascii="Arial" w:eastAsia="Arial" w:hAnsi="Arial" w:cs="Arial"/>
                <w:i/>
                <w:sz w:val="20"/>
              </w:rPr>
              <w:t xml:space="preserve">d.4. descrever detalhadamente, de acordo com o previsto na subalínea “d.3” acima, os indicadores mínimos de desempenho esperados, em relação à natureza do serviço, </w:t>
            </w:r>
            <w:r>
              <w:rPr>
                <w:rFonts w:ascii="Arial" w:eastAsia="Arial" w:hAnsi="Arial" w:cs="Arial"/>
                <w:i/>
                <w:sz w:val="20"/>
              </w:rPr>
              <w:t xml:space="preserve">com a finalidade de adequar o pagamento à conformidade dos serviços prestados e dos resultados efetivamente obtidos, devendo conter, dentre outros requisitos: </w:t>
            </w:r>
          </w:p>
          <w:p w:rsidR="006C145C" w:rsidRDefault="00C62E5A">
            <w:pPr>
              <w:spacing w:after="58" w:line="304" w:lineRule="auto"/>
              <w:ind w:right="68"/>
              <w:jc w:val="both"/>
            </w:pPr>
            <w:r>
              <w:rPr>
                <w:rFonts w:ascii="Arial" w:eastAsia="Arial" w:hAnsi="Arial" w:cs="Arial"/>
                <w:i/>
                <w:sz w:val="20"/>
              </w:rPr>
              <w:t>d.4.1. indicadores e metas estipulados de forma sistemática, de modo que possam contribuir cumul</w:t>
            </w:r>
            <w:r>
              <w:rPr>
                <w:rFonts w:ascii="Arial" w:eastAsia="Arial" w:hAnsi="Arial" w:cs="Arial"/>
                <w:i/>
                <w:sz w:val="20"/>
              </w:rPr>
              <w:t xml:space="preserve">ativamente para o resultado global do serviço e não interfiram negativamente uns nos outros; d.4.2. indicadores que reflitam fatores que estão sob controle do prestador do serviço; </w:t>
            </w:r>
          </w:p>
          <w:p w:rsidR="006C145C" w:rsidRDefault="00C62E5A">
            <w:pPr>
              <w:spacing w:after="103"/>
            </w:pPr>
            <w:r>
              <w:rPr>
                <w:rFonts w:ascii="Arial" w:eastAsia="Arial" w:hAnsi="Arial" w:cs="Arial"/>
                <w:i/>
                <w:sz w:val="20"/>
              </w:rPr>
              <w:t xml:space="preserve">d.4.3. metas realistas e definidas com base em uma comparação apropriada; </w:t>
            </w:r>
          </w:p>
          <w:p w:rsidR="006C145C" w:rsidRDefault="00C62E5A">
            <w:pPr>
              <w:spacing w:after="120" w:line="241" w:lineRule="auto"/>
              <w:jc w:val="both"/>
            </w:pPr>
            <w:r>
              <w:rPr>
                <w:rFonts w:ascii="Arial" w:eastAsia="Arial" w:hAnsi="Arial" w:cs="Arial"/>
                <w:i/>
                <w:sz w:val="20"/>
              </w:rPr>
              <w:t xml:space="preserve">d.4.4. previsão de nível de desconformidade dos serviços que, além do redimensionamento dos pagamentos, ensejará penalidades à contratada e/ou a rescisão unilateral do contrato; </w:t>
            </w:r>
          </w:p>
          <w:p w:rsidR="006C145C" w:rsidRDefault="00C62E5A">
            <w:pPr>
              <w:spacing w:after="103"/>
            </w:pPr>
            <w:r>
              <w:rPr>
                <w:rFonts w:ascii="Arial" w:eastAsia="Arial" w:hAnsi="Arial" w:cs="Arial"/>
                <w:i/>
                <w:sz w:val="20"/>
              </w:rPr>
              <w:t>d.4.5. registros, controles e informações que deverão ser prestados pela con</w:t>
            </w:r>
            <w:r>
              <w:rPr>
                <w:rFonts w:ascii="Arial" w:eastAsia="Arial" w:hAnsi="Arial" w:cs="Arial"/>
                <w:i/>
                <w:sz w:val="20"/>
              </w:rPr>
              <w:t xml:space="preserve">tratada, se for o caso; </w:t>
            </w:r>
          </w:p>
          <w:p w:rsidR="006C145C" w:rsidRDefault="00C62E5A">
            <w:pPr>
              <w:spacing w:after="122" w:line="239" w:lineRule="auto"/>
              <w:jc w:val="both"/>
            </w:pPr>
            <w:r>
              <w:rPr>
                <w:rFonts w:ascii="Arial" w:eastAsia="Arial" w:hAnsi="Arial" w:cs="Arial"/>
                <w:i/>
                <w:sz w:val="20"/>
              </w:rPr>
              <w:t xml:space="preserve">d.4.6. previsão de que os pagamentos deverão ser proporcionais ao atendimento das metas estabelecidas no ato convocatório, observando-se o seguinte: </w:t>
            </w:r>
          </w:p>
          <w:p w:rsidR="006C145C" w:rsidRDefault="00C62E5A">
            <w:pPr>
              <w:numPr>
                <w:ilvl w:val="0"/>
                <w:numId w:val="66"/>
              </w:numPr>
              <w:spacing w:after="120" w:line="241" w:lineRule="auto"/>
              <w:ind w:right="56"/>
              <w:jc w:val="both"/>
            </w:pPr>
            <w:r>
              <w:rPr>
                <w:rFonts w:ascii="Arial" w:eastAsia="Arial" w:hAnsi="Arial" w:cs="Arial"/>
                <w:i/>
                <w:sz w:val="20"/>
              </w:rPr>
              <w:t>as adequações nos pagamentos estarão limitadas a uma faixa específica de tolerânc</w:t>
            </w:r>
            <w:r>
              <w:rPr>
                <w:rFonts w:ascii="Arial" w:eastAsia="Arial" w:hAnsi="Arial" w:cs="Arial"/>
                <w:i/>
                <w:sz w:val="20"/>
              </w:rPr>
              <w:t xml:space="preserve">ia, abaixo da qual o fornecedor se sujeitará ao redimensionamento no pagamento e às sanções legais, se for o caso; </w:t>
            </w:r>
          </w:p>
          <w:p w:rsidR="006C145C" w:rsidRDefault="00C62E5A">
            <w:pPr>
              <w:numPr>
                <w:ilvl w:val="0"/>
                <w:numId w:val="66"/>
              </w:numPr>
              <w:spacing w:after="117" w:line="242" w:lineRule="auto"/>
              <w:ind w:right="56"/>
              <w:jc w:val="both"/>
            </w:pPr>
            <w:r>
              <w:rPr>
                <w:rFonts w:ascii="Arial" w:eastAsia="Arial" w:hAnsi="Arial" w:cs="Arial"/>
                <w:i/>
                <w:sz w:val="20"/>
              </w:rPr>
              <w:t>na determinação da faixa de tolerância de que trata a alínea anterior, considerar-se-</w:t>
            </w:r>
            <w:r>
              <w:rPr>
                <w:rFonts w:ascii="Arial" w:eastAsia="Arial" w:hAnsi="Arial" w:cs="Arial"/>
                <w:i/>
                <w:sz w:val="20"/>
              </w:rPr>
              <w:t xml:space="preserve">á a importância da atividade, com menor ou nenhuma margem de tolerância para as atividades consideradas relevantes ou críticas; e </w:t>
            </w:r>
          </w:p>
          <w:p w:rsidR="006C145C" w:rsidRDefault="00C62E5A">
            <w:pPr>
              <w:numPr>
                <w:ilvl w:val="0"/>
                <w:numId w:val="66"/>
              </w:numPr>
              <w:spacing w:after="120" w:line="241" w:lineRule="auto"/>
              <w:ind w:right="56"/>
              <w:jc w:val="both"/>
            </w:pPr>
            <w:r>
              <w:rPr>
                <w:rFonts w:ascii="Arial" w:eastAsia="Arial" w:hAnsi="Arial" w:cs="Arial"/>
                <w:i/>
                <w:sz w:val="20"/>
              </w:rPr>
              <w:t xml:space="preserve">o não atendimento das metas, por ínfima ou pequena diferença, em indicadores não relevantes ou críticos, a critério do órgão </w:t>
            </w:r>
            <w:r>
              <w:rPr>
                <w:rFonts w:ascii="Arial" w:eastAsia="Arial" w:hAnsi="Arial" w:cs="Arial"/>
                <w:i/>
                <w:sz w:val="20"/>
              </w:rPr>
              <w:t xml:space="preserve">ou entidade, poderá ser objeto apenas de notificação nas primeiras ocorrências, de modo a não comprometer a continuidade da contratação. </w:t>
            </w:r>
          </w:p>
          <w:p w:rsidR="006C145C" w:rsidRDefault="00C62E5A">
            <w:pPr>
              <w:spacing w:after="118" w:line="241" w:lineRule="auto"/>
              <w:ind w:right="67"/>
              <w:jc w:val="both"/>
            </w:pPr>
            <w:r>
              <w:rPr>
                <w:rFonts w:ascii="Arial" w:eastAsia="Arial" w:hAnsi="Arial" w:cs="Arial"/>
                <w:i/>
                <w:sz w:val="20"/>
              </w:rPr>
              <w:t>d.5. O Instrumento de Medição do Resultado (IMR) ou seu substituto, quando utilizado, deve ocorrer, preferencialmente,</w:t>
            </w:r>
            <w:r>
              <w:rPr>
                <w:rFonts w:ascii="Arial" w:eastAsia="Arial" w:hAnsi="Arial" w:cs="Arial"/>
                <w:i/>
                <w:sz w:val="20"/>
              </w:rPr>
              <w:t xml:space="preserve"> por meio de ferramentas informatizadas para verificação do resultado, quanto à qualidade e quantidade pactuadas; </w:t>
            </w:r>
          </w:p>
          <w:p w:rsidR="006C145C" w:rsidRDefault="00C62E5A">
            <w:pPr>
              <w:spacing w:after="120" w:line="241" w:lineRule="auto"/>
              <w:jc w:val="both"/>
            </w:pPr>
            <w:r>
              <w:rPr>
                <w:rFonts w:ascii="Arial" w:eastAsia="Arial" w:hAnsi="Arial" w:cs="Arial"/>
                <w:i/>
                <w:sz w:val="20"/>
              </w:rPr>
              <w:t xml:space="preserve">e)Definir os demais mecanismos de controle que serão utilizados para fiscalizar a prestação dos serviços, adequados à natureza dos serviços, </w:t>
            </w:r>
            <w:r>
              <w:rPr>
                <w:rFonts w:ascii="Arial" w:eastAsia="Arial" w:hAnsi="Arial" w:cs="Arial"/>
                <w:i/>
                <w:sz w:val="20"/>
              </w:rPr>
              <w:t xml:space="preserve">quando couber; </w:t>
            </w:r>
          </w:p>
          <w:p w:rsidR="006C145C" w:rsidRDefault="00C62E5A">
            <w:pPr>
              <w:numPr>
                <w:ilvl w:val="0"/>
                <w:numId w:val="67"/>
              </w:numPr>
              <w:spacing w:after="120" w:line="241" w:lineRule="auto"/>
              <w:jc w:val="both"/>
            </w:pPr>
            <w:r>
              <w:rPr>
                <w:rFonts w:ascii="Arial" w:eastAsia="Arial" w:hAnsi="Arial" w:cs="Arial"/>
                <w:i/>
                <w:sz w:val="20"/>
              </w:rPr>
              <w:t xml:space="preserve">Definir o método de avaliação da conformidade dos produtos e dos serviços entregues com relação às especificações técnicas e com a proposta da contratada, com vistas ao recebimento provisório; </w:t>
            </w:r>
          </w:p>
          <w:p w:rsidR="006C145C" w:rsidRDefault="00C62E5A">
            <w:pPr>
              <w:numPr>
                <w:ilvl w:val="0"/>
                <w:numId w:val="67"/>
              </w:numPr>
              <w:spacing w:after="117" w:line="242" w:lineRule="auto"/>
              <w:jc w:val="both"/>
            </w:pPr>
            <w:r>
              <w:rPr>
                <w:rFonts w:ascii="Arial" w:eastAsia="Arial" w:hAnsi="Arial" w:cs="Arial"/>
                <w:i/>
                <w:sz w:val="20"/>
              </w:rPr>
              <w:t xml:space="preserve">Definir o método de avaliação da conformidade </w:t>
            </w:r>
            <w:r>
              <w:rPr>
                <w:rFonts w:ascii="Arial" w:eastAsia="Arial" w:hAnsi="Arial" w:cs="Arial"/>
                <w:i/>
                <w:sz w:val="20"/>
              </w:rPr>
              <w:t xml:space="preserve">dos produtos e dos serviços entregues com relação aos termos contratuais e com a proposta da contratada, com vistas ao recebimento definitivo; </w:t>
            </w:r>
          </w:p>
          <w:p w:rsidR="006C145C" w:rsidRDefault="00C62E5A">
            <w:pPr>
              <w:numPr>
                <w:ilvl w:val="0"/>
                <w:numId w:val="67"/>
              </w:numPr>
              <w:spacing w:after="120" w:line="241" w:lineRule="auto"/>
              <w:jc w:val="both"/>
            </w:pPr>
            <w:r>
              <w:rPr>
                <w:rFonts w:ascii="Arial" w:eastAsia="Arial" w:hAnsi="Arial" w:cs="Arial"/>
                <w:i/>
                <w:sz w:val="20"/>
              </w:rPr>
              <w:t>Definir o procedimento de verificação do cumprimento da obrigação da contratada de manter todas as condições nas</w:t>
            </w:r>
            <w:r>
              <w:rPr>
                <w:rFonts w:ascii="Arial" w:eastAsia="Arial" w:hAnsi="Arial" w:cs="Arial"/>
                <w:i/>
                <w:sz w:val="20"/>
              </w:rPr>
              <w:t xml:space="preserve"> quais o contrato foi assinado durante todo o seu período de execução; </w:t>
            </w:r>
          </w:p>
          <w:p w:rsidR="006C145C" w:rsidRDefault="00C62E5A">
            <w:pPr>
              <w:numPr>
                <w:ilvl w:val="0"/>
                <w:numId w:val="67"/>
              </w:numPr>
              <w:spacing w:after="120" w:line="241" w:lineRule="auto"/>
              <w:jc w:val="both"/>
            </w:pPr>
            <w:r>
              <w:rPr>
                <w:rFonts w:ascii="Arial" w:eastAsia="Arial" w:hAnsi="Arial" w:cs="Arial"/>
                <w:i/>
                <w:sz w:val="20"/>
              </w:rPr>
              <w:t xml:space="preserve">Definir uma lista de verificação para os aceites provisório e definitivo, a serem usadas durante a fiscalização do contrato, se for o caso;  </w:t>
            </w:r>
          </w:p>
          <w:p w:rsidR="006C145C" w:rsidRDefault="00C62E5A">
            <w:pPr>
              <w:numPr>
                <w:ilvl w:val="0"/>
                <w:numId w:val="67"/>
              </w:numPr>
              <w:spacing w:after="0"/>
              <w:jc w:val="both"/>
            </w:pPr>
            <w:r>
              <w:rPr>
                <w:rFonts w:ascii="Arial" w:eastAsia="Arial" w:hAnsi="Arial" w:cs="Arial"/>
                <w:i/>
                <w:sz w:val="20"/>
              </w:rPr>
              <w:t>Definir as sanções, glosas e condições par</w:t>
            </w:r>
            <w:r>
              <w:rPr>
                <w:rFonts w:ascii="Arial" w:eastAsia="Arial" w:hAnsi="Arial" w:cs="Arial"/>
                <w:i/>
                <w:sz w:val="20"/>
              </w:rPr>
              <w:t>a rescisão contratual, devidamente justificadas e os respectivos procedimentos para aplicação, utilizando como referencial os modelos de minutas padronizados de atos convocatórios e contratos da Advocacia-Geral da União, bem como às seguintes diretrizes: (</w:t>
            </w:r>
            <w:r>
              <w:rPr>
                <w:rFonts w:ascii="Arial" w:eastAsia="Arial" w:hAnsi="Arial" w:cs="Arial"/>
                <w:i/>
                <w:sz w:val="20"/>
              </w:rPr>
              <w:t xml:space="preserve">...) </w:t>
            </w:r>
          </w:p>
        </w:tc>
      </w:tr>
    </w:tbl>
    <w:p w:rsidR="006C145C" w:rsidRDefault="00C62E5A">
      <w:pPr>
        <w:numPr>
          <w:ilvl w:val="1"/>
          <w:numId w:val="19"/>
        </w:num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lastRenderedPageBreak/>
        <w:t xml:space="preserve">relacionar as sanções previstas nas Leis nº 8.666, de 1993, e nº 10.520, de 2002, conforme o caso, às obrigações da contratada estabelecidas no modelo de execução do objeto;  </w:t>
      </w:r>
    </w:p>
    <w:p w:rsidR="006C145C" w:rsidRDefault="00C62E5A">
      <w:pPr>
        <w:numPr>
          <w:ilvl w:val="1"/>
          <w:numId w:val="19"/>
        </w:numPr>
        <w:pBdr>
          <w:top w:val="single" w:sz="4" w:space="0" w:color="1F497D"/>
          <w:left w:val="single" w:sz="4" w:space="0" w:color="1F497D"/>
          <w:bottom w:val="single" w:sz="4" w:space="0" w:color="1F497D"/>
          <w:right w:val="single" w:sz="4" w:space="0" w:color="1F497D"/>
        </w:pBdr>
        <w:shd w:val="clear" w:color="auto" w:fill="FFFFCC"/>
        <w:spacing w:after="61" w:line="303" w:lineRule="auto"/>
        <w:ind w:left="-5" w:right="57" w:hanging="10"/>
        <w:jc w:val="both"/>
      </w:pPr>
      <w:r>
        <w:rPr>
          <w:rFonts w:ascii="Arial" w:eastAsia="Arial" w:hAnsi="Arial" w:cs="Arial"/>
          <w:i/>
          <w:sz w:val="20"/>
        </w:rPr>
        <w:t xml:space="preserve">definir o rigor das sanções de que trata o subitem j.1, de modo que sejam proporcionais ao prejuízo causado pela desconformidade; j.3. No caso de multa: </w:t>
      </w:r>
    </w:p>
    <w:p w:rsidR="006C145C" w:rsidRDefault="00C62E5A">
      <w:pPr>
        <w:numPr>
          <w:ilvl w:val="2"/>
          <w:numId w:val="20"/>
        </w:numPr>
        <w:pBdr>
          <w:top w:val="single" w:sz="4" w:space="0" w:color="1F497D"/>
          <w:left w:val="single" w:sz="4" w:space="0" w:color="1F497D"/>
          <w:bottom w:val="single" w:sz="4" w:space="0" w:color="1F497D"/>
          <w:right w:val="single" w:sz="4" w:space="0" w:color="1F497D"/>
        </w:pBdr>
        <w:shd w:val="clear" w:color="auto" w:fill="FFFFCC"/>
        <w:spacing w:after="112" w:line="249" w:lineRule="auto"/>
        <w:ind w:left="472" w:right="57" w:hanging="487"/>
        <w:jc w:val="both"/>
      </w:pPr>
      <w:r>
        <w:rPr>
          <w:rFonts w:ascii="Arial" w:eastAsia="Arial" w:hAnsi="Arial" w:cs="Arial"/>
          <w:i/>
          <w:sz w:val="20"/>
        </w:rPr>
        <w:t xml:space="preserve">definir o cálculo da multa por atraso (injustificado) para início ou atraso durante a execução da prestação dos serviços; </w:t>
      </w:r>
    </w:p>
    <w:p w:rsidR="006C145C" w:rsidRDefault="00C62E5A">
      <w:pPr>
        <w:numPr>
          <w:ilvl w:val="2"/>
          <w:numId w:val="20"/>
        </w:numPr>
        <w:pBdr>
          <w:top w:val="single" w:sz="4" w:space="0" w:color="1F497D"/>
          <w:left w:val="single" w:sz="4" w:space="0" w:color="1F497D"/>
          <w:bottom w:val="single" w:sz="4" w:space="0" w:color="1F497D"/>
          <w:right w:val="single" w:sz="4" w:space="0" w:color="1F497D"/>
        </w:pBdr>
        <w:shd w:val="clear" w:color="auto" w:fill="FFFFCC"/>
        <w:spacing w:after="112" w:line="249" w:lineRule="auto"/>
        <w:ind w:left="472" w:right="57" w:hanging="487"/>
        <w:jc w:val="both"/>
      </w:pPr>
      <w:r>
        <w:rPr>
          <w:rFonts w:ascii="Arial" w:eastAsia="Arial" w:hAnsi="Arial" w:cs="Arial"/>
          <w:i/>
          <w:sz w:val="20"/>
        </w:rPr>
        <w:t xml:space="preserve">definir a forma de cálculo da multa de modo que seja o mais simples possível; </w:t>
      </w:r>
    </w:p>
    <w:p w:rsidR="006C145C" w:rsidRDefault="00C62E5A">
      <w:pPr>
        <w:numPr>
          <w:ilvl w:val="2"/>
          <w:numId w:val="20"/>
        </w:numPr>
        <w:pBdr>
          <w:top w:val="single" w:sz="4" w:space="0" w:color="1F497D"/>
          <w:left w:val="single" w:sz="4" w:space="0" w:color="1F497D"/>
          <w:bottom w:val="single" w:sz="4" w:space="0" w:color="1F497D"/>
          <w:right w:val="single" w:sz="4" w:space="0" w:color="1F497D"/>
        </w:pBdr>
        <w:shd w:val="clear" w:color="auto" w:fill="FFFFCC"/>
        <w:spacing w:after="112" w:line="249" w:lineRule="auto"/>
        <w:ind w:left="472" w:right="57" w:hanging="487"/>
        <w:jc w:val="both"/>
      </w:pPr>
      <w:r>
        <w:rPr>
          <w:rFonts w:ascii="Arial" w:eastAsia="Arial" w:hAnsi="Arial" w:cs="Arial"/>
          <w:i/>
          <w:sz w:val="20"/>
        </w:rPr>
        <w:t xml:space="preserve">definir as providências a serem realizadas no caso de </w:t>
      </w:r>
      <w:r>
        <w:rPr>
          <w:rFonts w:ascii="Arial" w:eastAsia="Arial" w:hAnsi="Arial" w:cs="Arial"/>
          <w:i/>
          <w:sz w:val="20"/>
        </w:rPr>
        <w:t xml:space="preserve">multas reincidentes e cumulativas, a exemplo de rescisão contratual; </w:t>
      </w:r>
    </w:p>
    <w:p w:rsidR="006C145C" w:rsidRDefault="00C62E5A">
      <w:pPr>
        <w:numPr>
          <w:ilvl w:val="2"/>
          <w:numId w:val="20"/>
        </w:numPr>
        <w:pBdr>
          <w:top w:val="single" w:sz="4" w:space="0" w:color="1F497D"/>
          <w:left w:val="single" w:sz="4" w:space="0" w:color="1F497D"/>
          <w:bottom w:val="single" w:sz="4" w:space="0" w:color="1F497D"/>
          <w:right w:val="single" w:sz="4" w:space="0" w:color="1F497D"/>
        </w:pBdr>
        <w:shd w:val="clear" w:color="auto" w:fill="FFFFCC"/>
        <w:spacing w:after="112" w:line="249" w:lineRule="auto"/>
        <w:ind w:left="472" w:right="57" w:hanging="487"/>
        <w:jc w:val="both"/>
      </w:pPr>
      <w:r>
        <w:rPr>
          <w:rFonts w:ascii="Arial" w:eastAsia="Arial" w:hAnsi="Arial" w:cs="Arial"/>
          <w:i/>
          <w:sz w:val="20"/>
        </w:rPr>
        <w:t xml:space="preserve">definir o processo de aferição do nível de desconformidade dos serviços que leva à multa;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j.4. definir as condições para aplicações de glosas, bem como as respectivas formas de cálculo.</w:t>
      </w:r>
      <w:r>
        <w:rPr>
          <w:rFonts w:ascii="Arial" w:eastAsia="Arial" w:hAnsi="Arial" w:cs="Arial"/>
          <w:i/>
          <w:sz w:val="20"/>
        </w:rPr>
        <w:t xml:space="preserve"> </w:t>
      </w:r>
    </w:p>
    <w:p w:rsidR="006C145C" w:rsidRDefault="00C62E5A">
      <w:pPr>
        <w:numPr>
          <w:ilvl w:val="0"/>
          <w:numId w:val="21"/>
        </w:num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Definir as garantias de execução contratual, quando necessário. Note-se, portanto, que é um rol bastante extenso de aspectos a serem observados e discriminados nesse tópico, que, aliado ao antecedente, irá retratar com fidedignidade o funcionamento do co</w:t>
      </w:r>
      <w:r>
        <w:rPr>
          <w:rFonts w:ascii="Arial" w:eastAsia="Arial" w:hAnsi="Arial" w:cs="Arial"/>
          <w:i/>
          <w:sz w:val="20"/>
        </w:rPr>
        <w:t xml:space="preserve">ntrato.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 xml:space="preserve">k.1. No caso de serviços com regime de dedicação exclusiva de mão de obra, avaliar a inclusão de exigências de que a garantia possua previsão de cobertura para o pagamento de encargos trabalhistas e previdenciários não quitados pela contratada.”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 xml:space="preserve">Por fim, o órgão deve definir, quando cabível, de acordo com cada serviço, a produtividade de referência, ou seja, aquela considerada aceitável para a execução do serviço, sendo expressa pelo quantitativo físico do serviço na unidade de medida adotada. A </w:t>
      </w:r>
      <w:r>
        <w:rPr>
          <w:rFonts w:ascii="Arial" w:eastAsia="Arial" w:hAnsi="Arial" w:cs="Arial"/>
          <w:i/>
          <w:sz w:val="20"/>
        </w:rPr>
        <w:t xml:space="preserve">IN SEGES/MP nº 05, de 2017 estabelece que Anexo V, item 2.6, alínea “d” a forma de aferição/medição do serviço para efeito de pagamento com base no resultado.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b/>
          <w:i/>
          <w:sz w:val="20"/>
        </w:rPr>
        <w:t>Nota explicativa 2</w:t>
      </w:r>
      <w:r>
        <w:rPr>
          <w:rFonts w:ascii="Arial" w:eastAsia="Arial" w:hAnsi="Arial" w:cs="Arial"/>
          <w:i/>
          <w:sz w:val="20"/>
        </w:rPr>
        <w:t>: Vale lembrar que, sem o conhecimento preciso das particularidades e das nec</w:t>
      </w:r>
      <w:r>
        <w:rPr>
          <w:rFonts w:ascii="Arial" w:eastAsia="Arial" w:hAnsi="Arial" w:cs="Arial"/>
          <w:i/>
          <w:sz w:val="20"/>
        </w:rPr>
        <w:t xml:space="preserve">essidades do órgão, a licitante terá dificuldade para dimensionar perfeitamente sua proposta, o que poderá acarretar sérios problemas futuros na execução contratual.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502" w:line="249" w:lineRule="auto"/>
        <w:ind w:left="-5" w:right="57" w:hanging="10"/>
        <w:jc w:val="both"/>
      </w:pPr>
      <w:r>
        <w:rPr>
          <w:rFonts w:ascii="Arial" w:eastAsia="Arial" w:hAnsi="Arial" w:cs="Arial"/>
          <w:b/>
          <w:i/>
          <w:sz w:val="20"/>
        </w:rPr>
        <w:t>Nota explicativa 3</w:t>
      </w:r>
      <w:r>
        <w:rPr>
          <w:rFonts w:ascii="Arial" w:eastAsia="Arial" w:hAnsi="Arial" w:cs="Arial"/>
          <w:i/>
          <w:sz w:val="20"/>
        </w:rPr>
        <w:t>:  De acordo com o Anexo I, inciso IX, da IN n. 05, de 2017, o instrume</w:t>
      </w:r>
      <w:r>
        <w:rPr>
          <w:rFonts w:ascii="Arial" w:eastAsia="Arial" w:hAnsi="Arial" w:cs="Arial"/>
          <w:i/>
          <w:sz w:val="20"/>
        </w:rPr>
        <w:t>nto de medição do resultado destina-se a avaliar os níveis esperados de qualidade da prestação do serviço. Desse modo, os indicadores devem guardar pertinência com a fiscalização técnica da execução contratual (Anexo VIII-A, item 1). Eventuais descumprimen</w:t>
      </w:r>
      <w:r>
        <w:rPr>
          <w:rFonts w:ascii="Arial" w:eastAsia="Arial" w:hAnsi="Arial" w:cs="Arial"/>
          <w:i/>
          <w:sz w:val="20"/>
        </w:rPr>
        <w:t xml:space="preserve">tos das obrigações trabalhistas, fiscais e previdenciárias dizem respeito à fiscalização administrativa e implicam em aplicação de sanções e/ou glosas de pagamento.  </w:t>
      </w:r>
    </w:p>
    <w:p w:rsidR="006C145C" w:rsidRDefault="00C62E5A">
      <w:pPr>
        <w:pStyle w:val="Ttulo5"/>
        <w:tabs>
          <w:tab w:val="center" w:pos="454"/>
          <w:tab w:val="center" w:pos="2768"/>
        </w:tabs>
        <w:spacing w:after="136" w:line="265" w:lineRule="auto"/>
        <w:ind w:left="0" w:firstLine="0"/>
        <w:jc w:val="left"/>
      </w:pPr>
      <w:r>
        <w:rPr>
          <w:rFonts w:ascii="Calibri" w:eastAsia="Calibri" w:hAnsi="Calibri" w:cs="Calibri"/>
          <w:b w:val="0"/>
          <w:sz w:val="22"/>
        </w:rPr>
        <w:tab/>
      </w:r>
      <w:r>
        <w:rPr>
          <w:color w:val="FF0000"/>
        </w:rPr>
        <w:t xml:space="preserve">9 </w:t>
      </w:r>
      <w:r>
        <w:rPr>
          <w:color w:val="FF0000"/>
        </w:rPr>
        <w:tab/>
        <w:t xml:space="preserve">MATERIAIS A SEREM DISPONIBILIZADOS </w:t>
      </w:r>
    </w:p>
    <w:p w:rsidR="006C145C" w:rsidRDefault="00C62E5A">
      <w:pPr>
        <w:spacing w:after="131" w:line="269" w:lineRule="auto"/>
        <w:ind w:left="435" w:right="54" w:hanging="10"/>
        <w:jc w:val="both"/>
      </w:pPr>
      <w:r>
        <w:rPr>
          <w:rFonts w:ascii="Arial" w:eastAsia="Arial" w:hAnsi="Arial" w:cs="Arial"/>
          <w:sz w:val="20"/>
        </w:rPr>
        <w:t xml:space="preserve">9.1 </w:t>
      </w:r>
      <w:r>
        <w:rPr>
          <w:rFonts w:ascii="Arial" w:eastAsia="Arial" w:hAnsi="Arial" w:cs="Arial"/>
          <w:color w:val="FF0000"/>
          <w:sz w:val="20"/>
        </w:rPr>
        <w:t>Para a perfeita execução dos serviços, a Cont</w:t>
      </w:r>
      <w:r>
        <w:rPr>
          <w:rFonts w:ascii="Arial" w:eastAsia="Arial" w:hAnsi="Arial" w:cs="Arial"/>
          <w:color w:val="FF0000"/>
          <w:sz w:val="20"/>
        </w:rPr>
        <w:t xml:space="preserve">ratada deverá disponibilizar os materiais, equipamentos, ferramentas e utensílios necessários, nas quantidades estimadas e qualidades a seguir estabelecidas, promovendo sua substituição quando necessário: </w:t>
      </w:r>
    </w:p>
    <w:p w:rsidR="006C145C" w:rsidRDefault="00C62E5A">
      <w:pPr>
        <w:tabs>
          <w:tab w:val="center" w:pos="1469"/>
          <w:tab w:val="center" w:pos="2461"/>
        </w:tabs>
        <w:spacing w:after="131" w:line="269" w:lineRule="auto"/>
      </w:pPr>
      <w:r>
        <w:tab/>
      </w:r>
      <w:r>
        <w:rPr>
          <w:rFonts w:ascii="Arial" w:eastAsia="Arial" w:hAnsi="Arial" w:cs="Arial"/>
          <w:color w:val="FF0000"/>
          <w:sz w:val="20"/>
        </w:rPr>
        <w:t xml:space="preserve">9.1.1 </w:t>
      </w:r>
      <w:r>
        <w:rPr>
          <w:rFonts w:ascii="Arial" w:eastAsia="Arial" w:hAnsi="Arial" w:cs="Arial"/>
          <w:color w:val="FF0000"/>
          <w:sz w:val="20"/>
        </w:rPr>
        <w:tab/>
        <w:t xml:space="preserve">.......; </w:t>
      </w:r>
    </w:p>
    <w:p w:rsidR="006C145C" w:rsidRDefault="00C62E5A">
      <w:pPr>
        <w:tabs>
          <w:tab w:val="center" w:pos="1469"/>
          <w:tab w:val="center" w:pos="2461"/>
        </w:tabs>
        <w:spacing w:after="131" w:line="269" w:lineRule="auto"/>
      </w:pPr>
      <w:r>
        <w:tab/>
      </w:r>
      <w:r>
        <w:rPr>
          <w:rFonts w:ascii="Arial" w:eastAsia="Arial" w:hAnsi="Arial" w:cs="Arial"/>
          <w:color w:val="FF0000"/>
          <w:sz w:val="20"/>
        </w:rPr>
        <w:t xml:space="preserve">9.1.2 </w:t>
      </w:r>
      <w:r>
        <w:rPr>
          <w:rFonts w:ascii="Arial" w:eastAsia="Arial" w:hAnsi="Arial" w:cs="Arial"/>
          <w:color w:val="FF0000"/>
          <w:sz w:val="20"/>
        </w:rPr>
        <w:tab/>
        <w:t xml:space="preserve">.......; </w:t>
      </w:r>
    </w:p>
    <w:p w:rsidR="006C145C" w:rsidRDefault="00C62E5A">
      <w:pPr>
        <w:tabs>
          <w:tab w:val="center" w:pos="1469"/>
          <w:tab w:val="center" w:pos="2461"/>
        </w:tabs>
        <w:spacing w:after="164" w:line="269" w:lineRule="auto"/>
      </w:pPr>
      <w:r>
        <w:tab/>
      </w:r>
      <w:r>
        <w:rPr>
          <w:rFonts w:ascii="Arial" w:eastAsia="Arial" w:hAnsi="Arial" w:cs="Arial"/>
          <w:color w:val="FF0000"/>
          <w:sz w:val="20"/>
        </w:rPr>
        <w:t xml:space="preserve">9.1.3 </w:t>
      </w:r>
      <w:r>
        <w:rPr>
          <w:rFonts w:ascii="Arial" w:eastAsia="Arial" w:hAnsi="Arial" w:cs="Arial"/>
          <w:color w:val="FF0000"/>
          <w:sz w:val="20"/>
        </w:rPr>
        <w:tab/>
      </w:r>
      <w:r>
        <w:rPr>
          <w:rFonts w:ascii="Arial" w:eastAsia="Arial" w:hAnsi="Arial" w:cs="Arial"/>
          <w:color w:val="FF0000"/>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b/>
          <w:i/>
          <w:sz w:val="20"/>
        </w:rPr>
        <w:t>Nota explicativa:</w:t>
      </w:r>
      <w:r>
        <w:rPr>
          <w:rFonts w:ascii="Arial" w:eastAsia="Arial" w:hAnsi="Arial" w:cs="Arial"/>
          <w:i/>
          <w:sz w:val="20"/>
        </w:rPr>
        <w:t xml:space="preserve"> Este item só deverá constar no Termo de Referência caso os serviços englobem também a disponibilização de material de consumo e de uso duradouro em favor da Administração, devendo, nesse caso, ser fixada a previsão da estimativa</w:t>
      </w:r>
      <w:r>
        <w:rPr>
          <w:rFonts w:ascii="Arial" w:eastAsia="Arial" w:hAnsi="Arial" w:cs="Arial"/>
          <w:i/>
          <w:sz w:val="20"/>
        </w:rPr>
        <w:t xml:space="preserve"> de consumo e de padrões mínimos de qualidade. O CATMAT disponibiliza especificações técnicas de materiais com menor impacto ambiental (CATMAT Sustentável). </w:t>
      </w:r>
    </w:p>
    <w:p w:rsidR="006C145C" w:rsidRDefault="00C62E5A">
      <w:pPr>
        <w:pStyle w:val="Ttulo6"/>
        <w:ind w:left="294" w:right="37"/>
      </w:pPr>
      <w:r>
        <w:t xml:space="preserve">10 INFORMAÇÕES RELEVANTES PARA O DIMENSIONAMENTO DA PROPOSTA </w:t>
      </w:r>
    </w:p>
    <w:p w:rsidR="006C145C" w:rsidRDefault="00C62E5A">
      <w:pPr>
        <w:tabs>
          <w:tab w:val="center" w:pos="3895"/>
        </w:tabs>
        <w:spacing w:after="129" w:line="270" w:lineRule="auto"/>
      </w:pPr>
      <w:r>
        <w:rPr>
          <w:rFonts w:ascii="Arial" w:eastAsia="Arial" w:hAnsi="Arial" w:cs="Arial"/>
          <w:sz w:val="20"/>
        </w:rPr>
        <w:t xml:space="preserve">10.1 </w:t>
      </w:r>
      <w:r>
        <w:rPr>
          <w:rFonts w:ascii="Arial" w:eastAsia="Arial" w:hAnsi="Arial" w:cs="Arial"/>
          <w:sz w:val="20"/>
        </w:rPr>
        <w:tab/>
        <w:t>A demanda do órgão tem como ba</w:t>
      </w:r>
      <w:r>
        <w:rPr>
          <w:rFonts w:ascii="Arial" w:eastAsia="Arial" w:hAnsi="Arial" w:cs="Arial"/>
          <w:sz w:val="20"/>
        </w:rPr>
        <w:t xml:space="preserve">se as seguintes características: </w:t>
      </w:r>
    </w:p>
    <w:p w:rsidR="006C145C" w:rsidRDefault="00C62E5A">
      <w:pPr>
        <w:tabs>
          <w:tab w:val="center" w:pos="956"/>
          <w:tab w:val="center" w:pos="1891"/>
        </w:tabs>
        <w:spacing w:after="131" w:line="269" w:lineRule="auto"/>
      </w:pPr>
      <w:r>
        <w:tab/>
      </w:r>
      <w:r>
        <w:rPr>
          <w:rFonts w:ascii="Arial" w:eastAsia="Arial" w:hAnsi="Arial" w:cs="Arial"/>
          <w:color w:val="FF0000"/>
          <w:sz w:val="20"/>
        </w:rPr>
        <w:t xml:space="preserve">10.1.1 </w:t>
      </w:r>
      <w:r>
        <w:rPr>
          <w:rFonts w:ascii="Arial" w:eastAsia="Arial" w:hAnsi="Arial" w:cs="Arial"/>
          <w:color w:val="FF0000"/>
          <w:sz w:val="20"/>
        </w:rPr>
        <w:tab/>
        <w:t xml:space="preserve">.......; </w:t>
      </w:r>
    </w:p>
    <w:p w:rsidR="006C145C" w:rsidRDefault="00C62E5A">
      <w:pPr>
        <w:tabs>
          <w:tab w:val="center" w:pos="956"/>
          <w:tab w:val="center" w:pos="1891"/>
        </w:tabs>
        <w:spacing w:after="131" w:line="269" w:lineRule="auto"/>
      </w:pPr>
      <w:r>
        <w:tab/>
      </w:r>
      <w:r>
        <w:rPr>
          <w:rFonts w:ascii="Arial" w:eastAsia="Arial" w:hAnsi="Arial" w:cs="Arial"/>
          <w:color w:val="FF0000"/>
          <w:sz w:val="20"/>
        </w:rPr>
        <w:t xml:space="preserve">10.1.2 </w:t>
      </w:r>
      <w:r>
        <w:rPr>
          <w:rFonts w:ascii="Arial" w:eastAsia="Arial" w:hAnsi="Arial" w:cs="Arial"/>
          <w:color w:val="FF0000"/>
          <w:sz w:val="20"/>
        </w:rPr>
        <w:tab/>
        <w:t xml:space="preserve">.......; </w:t>
      </w:r>
    </w:p>
    <w:p w:rsidR="006C145C" w:rsidRDefault="00C62E5A">
      <w:pPr>
        <w:tabs>
          <w:tab w:val="center" w:pos="956"/>
          <w:tab w:val="center" w:pos="1831"/>
        </w:tabs>
        <w:spacing w:after="161" w:line="269" w:lineRule="auto"/>
      </w:pPr>
      <w:r>
        <w:lastRenderedPageBreak/>
        <w:tab/>
      </w:r>
      <w:r>
        <w:rPr>
          <w:rFonts w:ascii="Arial" w:eastAsia="Arial" w:hAnsi="Arial" w:cs="Arial"/>
          <w:color w:val="FF0000"/>
          <w:sz w:val="20"/>
        </w:rPr>
        <w:t xml:space="preserve">10.1.3 </w:t>
      </w:r>
      <w:r>
        <w:rPr>
          <w:rFonts w:ascii="Arial" w:eastAsia="Arial" w:hAnsi="Arial" w:cs="Arial"/>
          <w:color w:val="FF0000"/>
          <w:sz w:val="20"/>
        </w:rPr>
        <w:tab/>
        <w:t xml:space="preserve">etc.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370" w:right="57" w:hanging="10"/>
        <w:jc w:val="both"/>
      </w:pPr>
      <w:r>
        <w:rPr>
          <w:rFonts w:ascii="Arial" w:eastAsia="Arial" w:hAnsi="Arial" w:cs="Arial"/>
          <w:b/>
          <w:i/>
          <w:sz w:val="20"/>
        </w:rPr>
        <w:t>Nota explicativa</w:t>
      </w:r>
      <w:r>
        <w:rPr>
          <w:rFonts w:ascii="Arial" w:eastAsia="Arial" w:hAnsi="Arial" w:cs="Arial"/>
          <w:i/>
          <w:sz w:val="20"/>
        </w:rPr>
        <w:t>: Vale lembrar que, sem o conhecimento preciso das particularidades e das necessidades do órgão, a licitante terá dificuldade para dimensionar perfeitame</w:t>
      </w:r>
      <w:r>
        <w:rPr>
          <w:rFonts w:ascii="Arial" w:eastAsia="Arial" w:hAnsi="Arial" w:cs="Arial"/>
          <w:i/>
          <w:sz w:val="20"/>
        </w:rPr>
        <w:t xml:space="preserve">nte sua proposta, o que poderá acarretar sérios problemas futuros na execução contratual.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370" w:right="57" w:hanging="10"/>
        <w:jc w:val="both"/>
      </w:pPr>
      <w:r>
        <w:rPr>
          <w:rFonts w:ascii="Arial" w:eastAsia="Arial" w:hAnsi="Arial" w:cs="Arial"/>
          <w:i/>
          <w:sz w:val="20"/>
        </w:rPr>
        <w:t xml:space="preserve"> </w:t>
      </w:r>
      <w:r>
        <w:rPr>
          <w:rFonts w:ascii="Arial" w:eastAsia="Arial" w:hAnsi="Arial" w:cs="Arial"/>
          <w:i/>
          <w:sz w:val="20"/>
        </w:rPr>
        <w:t xml:space="preserve">A proposta, que compreende a descrição do serviço ofertado pelo licitante, preço unitário e preço total, deverá ser compatível com as especificações constantes do Termo de Referência e seus anexos, bem como atender as seguintes exigências: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370" w:right="57" w:hanging="10"/>
        <w:jc w:val="both"/>
      </w:pPr>
      <w:r>
        <w:rPr>
          <w:rFonts w:ascii="Arial" w:eastAsia="Arial" w:hAnsi="Arial" w:cs="Arial"/>
          <w:i/>
          <w:sz w:val="20"/>
        </w:rPr>
        <w:t xml:space="preserve"> Descrição do s</w:t>
      </w:r>
      <w:r>
        <w:rPr>
          <w:rFonts w:ascii="Arial" w:eastAsia="Arial" w:hAnsi="Arial" w:cs="Arial"/>
          <w:i/>
          <w:sz w:val="20"/>
        </w:rPr>
        <w:t xml:space="preserve">erviço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370" w:right="57" w:hanging="10"/>
        <w:jc w:val="both"/>
      </w:pPr>
      <w:r>
        <w:rPr>
          <w:rFonts w:ascii="Arial" w:eastAsia="Arial" w:hAnsi="Arial" w:cs="Arial"/>
          <w:i/>
          <w:sz w:val="20"/>
        </w:rPr>
        <w:t xml:space="preserve">Preços unitários e total detalhados em planilha;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370" w:right="57" w:hanging="10"/>
        <w:jc w:val="both"/>
      </w:pPr>
      <w:r>
        <w:rPr>
          <w:rFonts w:ascii="Arial" w:eastAsia="Arial" w:hAnsi="Arial" w:cs="Arial"/>
          <w:i/>
          <w:sz w:val="20"/>
        </w:rPr>
        <w:t xml:space="preserve">Prazo de validade da proposta de no mínimo 60 (sessenta) dias, a contar da data de sua assinatura e o prazo de garantia;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22" w:line="249" w:lineRule="auto"/>
        <w:ind w:left="370" w:right="57" w:hanging="10"/>
        <w:jc w:val="both"/>
      </w:pPr>
      <w:r>
        <w:rPr>
          <w:rFonts w:ascii="Arial" w:eastAsia="Arial" w:hAnsi="Arial" w:cs="Arial"/>
          <w:i/>
          <w:sz w:val="20"/>
        </w:rPr>
        <w:t xml:space="preserve">Modelo de proposta em branco a ser enviada pelos licitantes. </w:t>
      </w:r>
    </w:p>
    <w:p w:rsidR="006C145C" w:rsidRDefault="00C62E5A">
      <w:pPr>
        <w:spacing w:after="461"/>
      </w:pPr>
      <w:r>
        <w:rPr>
          <w:rFonts w:ascii="Arial" w:eastAsia="Arial" w:hAnsi="Arial" w:cs="Arial"/>
          <w:sz w:val="20"/>
        </w:rPr>
        <w:t xml:space="preserve"> </w:t>
      </w:r>
    </w:p>
    <w:p w:rsidR="006C145C" w:rsidRDefault="00C62E5A">
      <w:pPr>
        <w:pStyle w:val="Ttulo6"/>
        <w:ind w:left="294" w:right="37"/>
      </w:pPr>
      <w:r>
        <w:t>11 UNIFOR</w:t>
      </w:r>
      <w:r>
        <w:t xml:space="preserve">MES </w:t>
      </w:r>
    </w:p>
    <w:p w:rsidR="006C145C" w:rsidRDefault="00C62E5A">
      <w:pPr>
        <w:spacing w:after="129" w:line="270" w:lineRule="auto"/>
        <w:ind w:left="433" w:right="54" w:hanging="8"/>
        <w:jc w:val="both"/>
      </w:pPr>
      <w:r>
        <w:rPr>
          <w:rFonts w:ascii="Arial" w:eastAsia="Arial" w:hAnsi="Arial" w:cs="Arial"/>
          <w:sz w:val="20"/>
        </w:rPr>
        <w:t xml:space="preserve">11.1 Os uniformes a serem fornecidos pela Contratada a seus empregados deverão ser condizentes com a atividade a ser desempenhada no órgão Contratante, compreendendo peças para todas as estações climáticas do ano, sem qualquer repasse do custo para o </w:t>
      </w:r>
      <w:r>
        <w:rPr>
          <w:rFonts w:ascii="Arial" w:eastAsia="Arial" w:hAnsi="Arial" w:cs="Arial"/>
          <w:sz w:val="20"/>
        </w:rPr>
        <w:t xml:space="preserve">empregado, observando o disposto nos itens seguintes: </w:t>
      </w:r>
    </w:p>
    <w:p w:rsidR="006C145C" w:rsidRDefault="00C62E5A">
      <w:pPr>
        <w:tabs>
          <w:tab w:val="center" w:pos="3889"/>
        </w:tabs>
        <w:spacing w:after="129" w:line="270" w:lineRule="auto"/>
      </w:pPr>
      <w:r>
        <w:rPr>
          <w:rFonts w:ascii="Arial" w:eastAsia="Arial" w:hAnsi="Arial" w:cs="Arial"/>
          <w:sz w:val="20"/>
        </w:rPr>
        <w:t xml:space="preserve">11.2 </w:t>
      </w:r>
      <w:r>
        <w:rPr>
          <w:rFonts w:ascii="Arial" w:eastAsia="Arial" w:hAnsi="Arial" w:cs="Arial"/>
          <w:sz w:val="20"/>
        </w:rPr>
        <w:tab/>
        <w:t xml:space="preserve">O uniforme deverá compreender as seguintes peças do vestuário: </w:t>
      </w:r>
    </w:p>
    <w:p w:rsidR="006C145C" w:rsidRDefault="00C62E5A">
      <w:pPr>
        <w:tabs>
          <w:tab w:val="center" w:pos="956"/>
          <w:tab w:val="center" w:pos="1864"/>
        </w:tabs>
        <w:spacing w:after="131" w:line="269" w:lineRule="auto"/>
      </w:pPr>
      <w:r>
        <w:tab/>
      </w:r>
      <w:r>
        <w:rPr>
          <w:rFonts w:ascii="Arial" w:eastAsia="Arial" w:hAnsi="Arial" w:cs="Arial"/>
          <w:color w:val="FF0000"/>
          <w:sz w:val="20"/>
        </w:rPr>
        <w:t xml:space="preserve">11.2.1 </w:t>
      </w:r>
      <w:r>
        <w:rPr>
          <w:rFonts w:ascii="Arial" w:eastAsia="Arial" w:hAnsi="Arial" w:cs="Arial"/>
          <w:color w:val="FF0000"/>
          <w:sz w:val="20"/>
        </w:rPr>
        <w:tab/>
        <w:t xml:space="preserve">......; </w:t>
      </w:r>
    </w:p>
    <w:p w:rsidR="006C145C" w:rsidRDefault="00C62E5A">
      <w:pPr>
        <w:tabs>
          <w:tab w:val="center" w:pos="956"/>
          <w:tab w:val="center" w:pos="1864"/>
        </w:tabs>
        <w:spacing w:after="131" w:line="269" w:lineRule="auto"/>
      </w:pPr>
      <w:r>
        <w:tab/>
      </w:r>
      <w:r>
        <w:rPr>
          <w:rFonts w:ascii="Arial" w:eastAsia="Arial" w:hAnsi="Arial" w:cs="Arial"/>
          <w:color w:val="FF0000"/>
          <w:sz w:val="20"/>
        </w:rPr>
        <w:t xml:space="preserve">11.2.2 </w:t>
      </w:r>
      <w:r>
        <w:rPr>
          <w:rFonts w:ascii="Arial" w:eastAsia="Arial" w:hAnsi="Arial" w:cs="Arial"/>
          <w:color w:val="FF0000"/>
          <w:sz w:val="20"/>
        </w:rPr>
        <w:tab/>
        <w:t xml:space="preserve">......; </w:t>
      </w:r>
    </w:p>
    <w:p w:rsidR="006C145C" w:rsidRDefault="00C62E5A">
      <w:pPr>
        <w:tabs>
          <w:tab w:val="center" w:pos="956"/>
          <w:tab w:val="center" w:pos="1864"/>
        </w:tabs>
        <w:spacing w:after="131" w:line="269" w:lineRule="auto"/>
      </w:pPr>
      <w:r>
        <w:tab/>
      </w:r>
      <w:r>
        <w:rPr>
          <w:rFonts w:ascii="Arial" w:eastAsia="Arial" w:hAnsi="Arial" w:cs="Arial"/>
          <w:color w:val="FF0000"/>
          <w:sz w:val="20"/>
        </w:rPr>
        <w:t xml:space="preserve">11.2.3 </w:t>
      </w:r>
      <w:r>
        <w:rPr>
          <w:rFonts w:ascii="Arial" w:eastAsia="Arial" w:hAnsi="Arial" w:cs="Arial"/>
          <w:color w:val="FF0000"/>
          <w:sz w:val="20"/>
        </w:rPr>
        <w:tab/>
        <w:t xml:space="preserve">......; </w:t>
      </w:r>
    </w:p>
    <w:p w:rsidR="006C145C" w:rsidRDefault="00C62E5A">
      <w:pPr>
        <w:spacing w:after="129" w:line="270" w:lineRule="auto"/>
        <w:ind w:left="433" w:right="54" w:hanging="8"/>
        <w:jc w:val="both"/>
      </w:pPr>
      <w:r>
        <w:rPr>
          <w:rFonts w:ascii="Arial" w:eastAsia="Arial" w:hAnsi="Arial" w:cs="Arial"/>
          <w:sz w:val="20"/>
        </w:rPr>
        <w:t xml:space="preserve">11.3 </w:t>
      </w:r>
      <w:r>
        <w:rPr>
          <w:rFonts w:ascii="Arial" w:eastAsia="Arial" w:hAnsi="Arial" w:cs="Arial"/>
          <w:sz w:val="20"/>
        </w:rPr>
        <w:t xml:space="preserve">As peças devem ser confeccionadas com tecido e material de qualidade, seguindo os seguintes parâmetros mínimos:  </w:t>
      </w:r>
    </w:p>
    <w:p w:rsidR="006C145C" w:rsidRDefault="00C62E5A">
      <w:pPr>
        <w:tabs>
          <w:tab w:val="center" w:pos="956"/>
          <w:tab w:val="center" w:pos="1891"/>
        </w:tabs>
        <w:spacing w:after="131" w:line="269" w:lineRule="auto"/>
      </w:pPr>
      <w:r>
        <w:tab/>
      </w:r>
      <w:r>
        <w:rPr>
          <w:rFonts w:ascii="Arial" w:eastAsia="Arial" w:hAnsi="Arial" w:cs="Arial"/>
          <w:color w:val="FF0000"/>
          <w:sz w:val="20"/>
        </w:rPr>
        <w:t xml:space="preserve">11.3.1 </w:t>
      </w:r>
      <w:r>
        <w:rPr>
          <w:rFonts w:ascii="Arial" w:eastAsia="Arial" w:hAnsi="Arial" w:cs="Arial"/>
          <w:color w:val="FF0000"/>
          <w:sz w:val="20"/>
        </w:rPr>
        <w:tab/>
        <w:t xml:space="preserve">.......; </w:t>
      </w:r>
    </w:p>
    <w:p w:rsidR="006C145C" w:rsidRDefault="00C62E5A">
      <w:pPr>
        <w:tabs>
          <w:tab w:val="center" w:pos="956"/>
          <w:tab w:val="center" w:pos="1891"/>
        </w:tabs>
        <w:spacing w:after="131" w:line="269" w:lineRule="auto"/>
      </w:pPr>
      <w:r>
        <w:tab/>
      </w:r>
      <w:r>
        <w:rPr>
          <w:rFonts w:ascii="Arial" w:eastAsia="Arial" w:hAnsi="Arial" w:cs="Arial"/>
          <w:color w:val="FF0000"/>
          <w:sz w:val="20"/>
        </w:rPr>
        <w:t xml:space="preserve">11.3.2 </w:t>
      </w:r>
      <w:r>
        <w:rPr>
          <w:rFonts w:ascii="Arial" w:eastAsia="Arial" w:hAnsi="Arial" w:cs="Arial"/>
          <w:color w:val="FF0000"/>
          <w:sz w:val="20"/>
        </w:rPr>
        <w:tab/>
        <w:t xml:space="preserve">.......; </w:t>
      </w:r>
    </w:p>
    <w:p w:rsidR="006C145C" w:rsidRDefault="00C62E5A">
      <w:pPr>
        <w:tabs>
          <w:tab w:val="center" w:pos="956"/>
          <w:tab w:val="center" w:pos="1891"/>
        </w:tabs>
        <w:spacing w:after="164" w:line="269" w:lineRule="auto"/>
      </w:pPr>
      <w:r>
        <w:tab/>
      </w:r>
      <w:r>
        <w:rPr>
          <w:rFonts w:ascii="Arial" w:eastAsia="Arial" w:hAnsi="Arial" w:cs="Arial"/>
          <w:color w:val="FF0000"/>
          <w:sz w:val="20"/>
        </w:rPr>
        <w:t xml:space="preserve">11.3.3 </w:t>
      </w:r>
      <w:r>
        <w:rPr>
          <w:rFonts w:ascii="Arial" w:eastAsia="Arial" w:hAnsi="Arial" w:cs="Arial"/>
          <w:color w:val="FF0000"/>
          <w:sz w:val="20"/>
        </w:rPr>
        <w:tab/>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b/>
          <w:i/>
          <w:sz w:val="20"/>
        </w:rPr>
        <w:t xml:space="preserve">Nota explicativa: </w:t>
      </w:r>
      <w:r>
        <w:rPr>
          <w:rFonts w:ascii="Arial" w:eastAsia="Arial" w:hAnsi="Arial" w:cs="Arial"/>
          <w:i/>
          <w:sz w:val="20"/>
        </w:rPr>
        <w:t>É imprescindível que o Termo de Referência traga a descrição detalh</w:t>
      </w:r>
      <w:r>
        <w:rPr>
          <w:rFonts w:ascii="Arial" w:eastAsia="Arial" w:hAnsi="Arial" w:cs="Arial"/>
          <w:i/>
          <w:sz w:val="20"/>
        </w:rPr>
        <w:t>ada do uniforme a ser utilizado pelos empregados, inclusive quanto aos quantitativos necessários para a prestação do serviço, levando-se em consideração o padrão mantido pelo órgão e as condições climáticas da região no decorrer do ano. Caso se exija padrã</w:t>
      </w:r>
      <w:r>
        <w:rPr>
          <w:rFonts w:ascii="Arial" w:eastAsia="Arial" w:hAnsi="Arial" w:cs="Arial"/>
          <w:i/>
          <w:sz w:val="20"/>
        </w:rPr>
        <w:t xml:space="preserve">o de tecido ou material específico, também deve ser descrito em detalhes.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 xml:space="preserve">Sem tal detalhamento, inviabiliza-se a exigência de padrões mínimos por parte do Pregoeiro, na fase de aceitação da proposta, ou no decorrer da execução do contrato.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 xml:space="preserve">Ressaltamos </w:t>
      </w:r>
      <w:r>
        <w:rPr>
          <w:rFonts w:ascii="Arial" w:eastAsia="Arial" w:hAnsi="Arial" w:cs="Arial"/>
          <w:i/>
          <w:sz w:val="20"/>
        </w:rPr>
        <w:t xml:space="preserve">que, para os serviços de vigilância, a Instrução Normativa SEGES/MP N. 5/2017 no modelo de Planilha de Custos e Formação de Preços constante no Anexo VII-D consta no módulo 5 a previsão de fornecimento dos uniformes.  </w:t>
      </w:r>
    </w:p>
    <w:p w:rsidR="006C145C" w:rsidRDefault="00C62E5A">
      <w:pPr>
        <w:spacing w:after="131" w:line="269" w:lineRule="auto"/>
        <w:ind w:left="1143" w:right="54" w:hanging="10"/>
        <w:jc w:val="both"/>
      </w:pPr>
      <w:r>
        <w:rPr>
          <w:rFonts w:ascii="Arial" w:eastAsia="Arial" w:hAnsi="Arial" w:cs="Arial"/>
          <w:color w:val="FF0000"/>
          <w:sz w:val="20"/>
        </w:rPr>
        <w:t>11.3.4 ..... (....) conjuntos complet</w:t>
      </w:r>
      <w:r>
        <w:rPr>
          <w:rFonts w:ascii="Arial" w:eastAsia="Arial" w:hAnsi="Arial" w:cs="Arial"/>
          <w:color w:val="FF0000"/>
          <w:sz w:val="20"/>
        </w:rPr>
        <w:t>os ao empregado no início da execução do contrato, devendo ser substituído 01 (um) conjunto completo de uniforme a cada 06 (seis) meses, ou a qualquer época, no prazo máximo de ...... (.......) horas, após comunicação escrita da Contratante, sempre que não</w:t>
      </w:r>
      <w:r>
        <w:rPr>
          <w:rFonts w:ascii="Arial" w:eastAsia="Arial" w:hAnsi="Arial" w:cs="Arial"/>
          <w:color w:val="FF0000"/>
          <w:sz w:val="20"/>
        </w:rPr>
        <w:t xml:space="preserve"> atendam as condições mínimas de apresentação; </w:t>
      </w:r>
    </w:p>
    <w:p w:rsidR="006C145C" w:rsidRDefault="00C62E5A">
      <w:pPr>
        <w:spacing w:after="153" w:line="269" w:lineRule="auto"/>
        <w:ind w:left="1143" w:right="54" w:hanging="10"/>
        <w:jc w:val="both"/>
      </w:pPr>
      <w:r>
        <w:rPr>
          <w:rFonts w:ascii="Arial" w:eastAsia="Arial" w:hAnsi="Arial" w:cs="Arial"/>
          <w:color w:val="FF0000"/>
          <w:sz w:val="20"/>
        </w:rPr>
        <w:t xml:space="preserve">11.3.5 No caso de empregada gestante, os uniformes deverão ser apropriados para a situação, substituindo-os sempre que estiverem apertados;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7" w:line="249" w:lineRule="auto"/>
        <w:ind w:left="-5" w:right="57" w:hanging="10"/>
        <w:jc w:val="both"/>
      </w:pPr>
      <w:r>
        <w:rPr>
          <w:rFonts w:ascii="Arial" w:eastAsia="Arial" w:hAnsi="Arial" w:cs="Arial"/>
          <w:b/>
          <w:i/>
          <w:sz w:val="20"/>
        </w:rPr>
        <w:lastRenderedPageBreak/>
        <w:t>Nota explicativa</w:t>
      </w:r>
      <w:r>
        <w:rPr>
          <w:rFonts w:ascii="Arial" w:eastAsia="Arial" w:hAnsi="Arial" w:cs="Arial"/>
          <w:i/>
          <w:sz w:val="20"/>
        </w:rPr>
        <w:t xml:space="preserve">: O órgão deve adaptar este item de acordo com as especificidades do serviço e do local de prestação. </w:t>
      </w:r>
    </w:p>
    <w:p w:rsidR="006C145C" w:rsidRDefault="00C62E5A">
      <w:pPr>
        <w:spacing w:after="483" w:line="270" w:lineRule="auto"/>
        <w:ind w:left="433" w:right="54" w:hanging="8"/>
        <w:jc w:val="both"/>
      </w:pPr>
      <w:r>
        <w:rPr>
          <w:rFonts w:ascii="Arial" w:eastAsia="Arial" w:hAnsi="Arial" w:cs="Arial"/>
          <w:sz w:val="20"/>
        </w:rPr>
        <w:t>11.4 Os uniformes deverão ser entregues mediante recibo, cuja cópia, devidamente acompanhada do original para conferência, deverá ser enviada ao servidor</w:t>
      </w:r>
      <w:r>
        <w:rPr>
          <w:rFonts w:ascii="Arial" w:eastAsia="Arial" w:hAnsi="Arial" w:cs="Arial"/>
          <w:sz w:val="20"/>
        </w:rPr>
        <w:t xml:space="preserve"> responsável pela fiscalização do contrato. </w:t>
      </w:r>
    </w:p>
    <w:p w:rsidR="006C145C" w:rsidRDefault="00C62E5A">
      <w:pPr>
        <w:pStyle w:val="Ttulo6"/>
        <w:spacing w:after="174"/>
        <w:ind w:left="293" w:right="37"/>
      </w:pPr>
      <w:r>
        <w:t xml:space="preserve">12 OBRIGAÇÕES DA CONTRATANTE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5" w:line="249" w:lineRule="auto"/>
        <w:ind w:left="-5" w:right="57" w:hanging="10"/>
        <w:jc w:val="both"/>
      </w:pPr>
      <w:r>
        <w:rPr>
          <w:rFonts w:ascii="Arial" w:eastAsia="Arial" w:hAnsi="Arial" w:cs="Arial"/>
          <w:b/>
          <w:i/>
          <w:sz w:val="20"/>
        </w:rPr>
        <w:t>Nota explicativa</w:t>
      </w:r>
      <w:r>
        <w:rPr>
          <w:rFonts w:ascii="Arial" w:eastAsia="Arial" w:hAnsi="Arial" w:cs="Arial"/>
          <w:i/>
          <w:sz w:val="20"/>
        </w:rPr>
        <w:t xml:space="preserve">: As obrigações que seguem, tanto da contratante como da contratada, são meramente ilustrativas, O órgão ou entidade licitante deverá adaptá-las ou suprimi-las, em </w:t>
      </w:r>
      <w:r>
        <w:rPr>
          <w:rFonts w:ascii="Arial" w:eastAsia="Arial" w:hAnsi="Arial" w:cs="Arial"/>
          <w:i/>
          <w:sz w:val="20"/>
        </w:rPr>
        <w:t xml:space="preserve">conformidade com as peculiaridades do serviço de que necessita. </w:t>
      </w:r>
    </w:p>
    <w:p w:rsidR="006C145C" w:rsidRDefault="00C62E5A">
      <w:pPr>
        <w:spacing w:after="129" w:line="270" w:lineRule="auto"/>
        <w:ind w:left="433" w:right="54" w:hanging="8"/>
        <w:jc w:val="both"/>
      </w:pPr>
      <w:r>
        <w:rPr>
          <w:rFonts w:ascii="Arial" w:eastAsia="Arial" w:hAnsi="Arial" w:cs="Arial"/>
          <w:sz w:val="20"/>
        </w:rPr>
        <w:t xml:space="preserve">12.1 Exigir o cumprimento de todas as obrigações assumidas pela Contratada, de acordo com as cláusulas contratuais e os termos de sua proposta; </w:t>
      </w:r>
    </w:p>
    <w:p w:rsidR="006C145C" w:rsidRDefault="00C62E5A">
      <w:pPr>
        <w:spacing w:after="152" w:line="270" w:lineRule="auto"/>
        <w:ind w:left="433" w:right="54" w:hanging="8"/>
        <w:jc w:val="both"/>
      </w:pPr>
      <w:r>
        <w:rPr>
          <w:rFonts w:ascii="Arial" w:eastAsia="Arial" w:hAnsi="Arial" w:cs="Arial"/>
          <w:sz w:val="20"/>
        </w:rPr>
        <w:t xml:space="preserve">12.2 </w:t>
      </w:r>
      <w:r>
        <w:rPr>
          <w:rFonts w:ascii="Arial" w:eastAsia="Arial" w:hAnsi="Arial" w:cs="Arial"/>
          <w:sz w:val="20"/>
        </w:rPr>
        <w:t>Exercer o acompanhamento e a fiscalização dos serviços, por servidor especialmente designado, anotando em registro próprio as falhas detectadas, indicando dia, mês e ano, bem como o nome dos empregados eventualmente envolvidos, e encaminhando os apontament</w:t>
      </w:r>
      <w:r>
        <w:rPr>
          <w:rFonts w:ascii="Arial" w:eastAsia="Arial" w:hAnsi="Arial" w:cs="Arial"/>
          <w:sz w:val="20"/>
        </w:rPr>
        <w:t xml:space="preserve">os à autoridade competente para as providências cabíveis;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5" w:line="249" w:lineRule="auto"/>
        <w:ind w:left="-5" w:right="57" w:hanging="10"/>
        <w:jc w:val="both"/>
      </w:pPr>
      <w:r>
        <w:rPr>
          <w:rFonts w:ascii="Arial" w:eastAsia="Arial" w:hAnsi="Arial" w:cs="Arial"/>
          <w:b/>
          <w:i/>
          <w:sz w:val="20"/>
        </w:rPr>
        <w:t xml:space="preserve">Nota Explicativa: </w:t>
      </w:r>
      <w:r>
        <w:rPr>
          <w:rFonts w:ascii="Arial" w:eastAsia="Arial" w:hAnsi="Arial" w:cs="Arial"/>
          <w:i/>
          <w:sz w:val="20"/>
        </w:rPr>
        <w:t>Cumpre ao fiscal do contrato</w:t>
      </w:r>
      <w:r>
        <w:rPr>
          <w:rFonts w:ascii="Arial" w:eastAsia="Arial" w:hAnsi="Arial" w:cs="Arial"/>
          <w:b/>
          <w:i/>
          <w:sz w:val="20"/>
        </w:rPr>
        <w:t xml:space="preserve"> </w:t>
      </w:r>
      <w:r>
        <w:rPr>
          <w:rFonts w:ascii="Arial" w:eastAsia="Arial" w:hAnsi="Arial" w:cs="Arial"/>
          <w:i/>
          <w:sz w:val="20"/>
        </w:rPr>
        <w:t>comunicar ao Ministério da Fazenda qualquer irregularidade no recolhimento das contribuições previdenciárias. De igual modo, devem ser realizadas comu</w:t>
      </w:r>
      <w:r>
        <w:rPr>
          <w:rFonts w:ascii="Arial" w:eastAsia="Arial" w:hAnsi="Arial" w:cs="Arial"/>
          <w:i/>
          <w:sz w:val="20"/>
        </w:rPr>
        <w:t xml:space="preserve">nicações acerca de irregularidades no recolhimento do FGTS dos respectivos trabalhadores terceirizados (Ac. TCU 1214/2013-Plenário). </w:t>
      </w:r>
    </w:p>
    <w:p w:rsidR="006C145C" w:rsidRDefault="00C62E5A">
      <w:pPr>
        <w:spacing w:after="129" w:line="270" w:lineRule="auto"/>
        <w:ind w:left="433" w:right="54" w:hanging="8"/>
        <w:jc w:val="both"/>
      </w:pPr>
      <w:r>
        <w:rPr>
          <w:rFonts w:ascii="Arial" w:eastAsia="Arial" w:hAnsi="Arial" w:cs="Arial"/>
          <w:sz w:val="20"/>
        </w:rPr>
        <w:t xml:space="preserve">12.3 Notificar a Contratada por escrito da ocorrência de eventuais imperfeições, falhas ou irregularidades constatadas no </w:t>
      </w:r>
      <w:r>
        <w:rPr>
          <w:rFonts w:ascii="Arial" w:eastAsia="Arial" w:hAnsi="Arial" w:cs="Arial"/>
          <w:sz w:val="20"/>
        </w:rPr>
        <w:t xml:space="preserve">curso da execução dos serviços, fixando prazo para a sua correção, certificando-se que as soluções por ela propostas sejam as mais adequadas; </w:t>
      </w:r>
    </w:p>
    <w:p w:rsidR="006C145C" w:rsidRDefault="00C62E5A">
      <w:pPr>
        <w:spacing w:after="129" w:line="270" w:lineRule="auto"/>
        <w:ind w:left="433" w:right="54" w:hanging="8"/>
        <w:jc w:val="both"/>
      </w:pPr>
      <w:r>
        <w:rPr>
          <w:rFonts w:ascii="Arial" w:eastAsia="Arial" w:hAnsi="Arial" w:cs="Arial"/>
          <w:sz w:val="20"/>
        </w:rPr>
        <w:t>12.4 Não permitir que os empregados da Contratada realizem horas extras, exceto em caso de comprovada necessidade</w:t>
      </w:r>
      <w:r>
        <w:rPr>
          <w:rFonts w:ascii="Arial" w:eastAsia="Arial" w:hAnsi="Arial" w:cs="Arial"/>
          <w:sz w:val="20"/>
        </w:rPr>
        <w:t xml:space="preserve"> de serviço, formalmente justificada pela autoridade do órgão para o qual o trabalho seja prestado e desde que observado o limite da legislação trabalhista; </w:t>
      </w:r>
    </w:p>
    <w:p w:rsidR="006C145C" w:rsidRDefault="00C62E5A">
      <w:pPr>
        <w:spacing w:after="129" w:line="270" w:lineRule="auto"/>
        <w:ind w:left="433" w:right="54" w:hanging="8"/>
        <w:jc w:val="both"/>
      </w:pPr>
      <w:r>
        <w:rPr>
          <w:rFonts w:ascii="Arial" w:eastAsia="Arial" w:hAnsi="Arial" w:cs="Arial"/>
          <w:sz w:val="20"/>
        </w:rPr>
        <w:t>12.5 Pagar à Contratada o valor resultante da prestação do serviço, no prazo e condições estabelec</w:t>
      </w:r>
      <w:r>
        <w:rPr>
          <w:rFonts w:ascii="Arial" w:eastAsia="Arial" w:hAnsi="Arial" w:cs="Arial"/>
          <w:sz w:val="20"/>
        </w:rPr>
        <w:t xml:space="preserve">idas neste Termo de Referência; </w:t>
      </w:r>
    </w:p>
    <w:p w:rsidR="006C145C" w:rsidRDefault="00C62E5A">
      <w:pPr>
        <w:spacing w:after="129" w:line="270" w:lineRule="auto"/>
        <w:ind w:left="433" w:right="54" w:hanging="8"/>
        <w:jc w:val="both"/>
      </w:pPr>
      <w:r>
        <w:rPr>
          <w:rFonts w:ascii="Arial" w:eastAsia="Arial" w:hAnsi="Arial" w:cs="Arial"/>
          <w:sz w:val="20"/>
        </w:rPr>
        <w:t xml:space="preserve">12.6 Efetuar as retenções tributárias devidas sobre o valor da Nota Fiscal/Fatura da contratada, no que couber, em conformidade com o item 6 do Anexo XI da IN SEGES/MP n. 5/2017. </w:t>
      </w:r>
    </w:p>
    <w:p w:rsidR="006C145C" w:rsidRDefault="00C62E5A">
      <w:pPr>
        <w:tabs>
          <w:tab w:val="center" w:pos="733"/>
          <w:tab w:val="center" w:pos="4880"/>
        </w:tabs>
        <w:spacing w:after="129" w:line="270" w:lineRule="auto"/>
      </w:pPr>
      <w:r>
        <w:tab/>
      </w:r>
      <w:r>
        <w:rPr>
          <w:rFonts w:ascii="Arial" w:eastAsia="Arial" w:hAnsi="Arial" w:cs="Arial"/>
          <w:sz w:val="20"/>
        </w:rPr>
        <w:t xml:space="preserve">12.7 </w:t>
      </w:r>
      <w:r>
        <w:rPr>
          <w:rFonts w:ascii="Arial" w:eastAsia="Arial" w:hAnsi="Arial" w:cs="Arial"/>
          <w:sz w:val="20"/>
        </w:rPr>
        <w:tab/>
        <w:t>Não praticar atos de ingerência na a</w:t>
      </w:r>
      <w:r>
        <w:rPr>
          <w:rFonts w:ascii="Arial" w:eastAsia="Arial" w:hAnsi="Arial" w:cs="Arial"/>
          <w:sz w:val="20"/>
        </w:rPr>
        <w:t xml:space="preserve">dministração da Contratada, tais como: </w:t>
      </w:r>
    </w:p>
    <w:p w:rsidR="006C145C" w:rsidRDefault="00C62E5A">
      <w:pPr>
        <w:spacing w:after="129" w:line="270" w:lineRule="auto"/>
        <w:ind w:left="1141" w:right="54" w:hanging="8"/>
        <w:jc w:val="both"/>
      </w:pPr>
      <w:r>
        <w:rPr>
          <w:rFonts w:ascii="Arial" w:eastAsia="Arial" w:hAnsi="Arial" w:cs="Arial"/>
          <w:sz w:val="20"/>
        </w:rPr>
        <w:t xml:space="preserve">12.7.1 exercer o poder de mando sobre os empregados da Contratada, devendo reportar-se somente aos prepostos ou responsáveis por ela indicados, exceto quando o objeto da contratação previr o atendimento direto, tais </w:t>
      </w:r>
      <w:r>
        <w:rPr>
          <w:rFonts w:ascii="Arial" w:eastAsia="Arial" w:hAnsi="Arial" w:cs="Arial"/>
          <w:sz w:val="20"/>
        </w:rPr>
        <w:t xml:space="preserve">como nos serviços de recepção e apoio ao usuário; </w:t>
      </w:r>
    </w:p>
    <w:p w:rsidR="006C145C" w:rsidRDefault="00C62E5A">
      <w:pPr>
        <w:tabs>
          <w:tab w:val="center" w:pos="1525"/>
          <w:tab w:val="right" w:pos="9302"/>
        </w:tabs>
        <w:spacing w:after="3"/>
      </w:pPr>
      <w:r>
        <w:tab/>
      </w:r>
      <w:r>
        <w:rPr>
          <w:rFonts w:ascii="Arial" w:eastAsia="Arial" w:hAnsi="Arial" w:cs="Arial"/>
          <w:sz w:val="20"/>
        </w:rPr>
        <w:t xml:space="preserve">12.7.2 </w:t>
      </w:r>
      <w:r>
        <w:rPr>
          <w:rFonts w:ascii="Arial" w:eastAsia="Arial" w:hAnsi="Arial" w:cs="Arial"/>
          <w:sz w:val="20"/>
        </w:rPr>
        <w:tab/>
        <w:t xml:space="preserve">direcionar a contratação de pessoas para trabalhar nas empresas Contratadas; </w:t>
      </w:r>
    </w:p>
    <w:p w:rsidR="006C145C" w:rsidRDefault="00C62E5A">
      <w:pPr>
        <w:spacing w:after="129" w:line="270" w:lineRule="auto"/>
        <w:ind w:left="1141" w:right="54" w:hanging="8"/>
        <w:jc w:val="both"/>
      </w:pPr>
      <w:r>
        <w:rPr>
          <w:rFonts w:ascii="Arial" w:eastAsia="Arial" w:hAnsi="Arial" w:cs="Arial"/>
          <w:sz w:val="20"/>
        </w:rPr>
        <w:t>12.7.3 promover ou aceitar o desvio de funções dos trabalhadores da Contratada, mediante a utilização destes em ativid</w:t>
      </w:r>
      <w:r>
        <w:rPr>
          <w:rFonts w:ascii="Arial" w:eastAsia="Arial" w:hAnsi="Arial" w:cs="Arial"/>
          <w:sz w:val="20"/>
        </w:rPr>
        <w:t xml:space="preserve">ades distintas daquelas previstas no objeto da contratação e em relação à função específica para a qual o trabalhador foi contratado; e </w:t>
      </w:r>
    </w:p>
    <w:p w:rsidR="006C145C" w:rsidRDefault="00C62E5A">
      <w:pPr>
        <w:spacing w:after="129" w:line="270" w:lineRule="auto"/>
        <w:ind w:left="1141" w:right="54" w:hanging="8"/>
        <w:jc w:val="both"/>
      </w:pPr>
      <w:r>
        <w:rPr>
          <w:rFonts w:ascii="Arial" w:eastAsia="Arial" w:hAnsi="Arial" w:cs="Arial"/>
          <w:sz w:val="20"/>
        </w:rPr>
        <w:t xml:space="preserve">12.7.4 considerar os trabalhadores da Contratada como colaboradores eventuais do próprio órgão ou entidade responsável </w:t>
      </w:r>
      <w:r>
        <w:rPr>
          <w:rFonts w:ascii="Arial" w:eastAsia="Arial" w:hAnsi="Arial" w:cs="Arial"/>
          <w:sz w:val="20"/>
        </w:rPr>
        <w:t xml:space="preserve">pela contratação, especialmente para efeito de concessão de diárias e passagens. </w:t>
      </w:r>
    </w:p>
    <w:p w:rsidR="006C145C" w:rsidRDefault="00C62E5A">
      <w:pPr>
        <w:spacing w:after="129" w:line="270" w:lineRule="auto"/>
        <w:ind w:left="433" w:right="54" w:hanging="8"/>
        <w:jc w:val="both"/>
      </w:pPr>
      <w:r>
        <w:rPr>
          <w:rFonts w:ascii="Arial" w:eastAsia="Arial" w:hAnsi="Arial" w:cs="Arial"/>
          <w:sz w:val="20"/>
        </w:rPr>
        <w:t xml:space="preserve">12.8 fiscalizar mensalmente, por amostragem, o cumprimento das obrigações trabalhistas, previdenciárias e para com o FGTS, especialmente:  </w:t>
      </w:r>
    </w:p>
    <w:p w:rsidR="006C145C" w:rsidRDefault="00C62E5A">
      <w:pPr>
        <w:spacing w:after="129" w:line="270" w:lineRule="auto"/>
        <w:ind w:left="1141" w:right="54" w:hanging="8"/>
        <w:jc w:val="both"/>
      </w:pPr>
      <w:r>
        <w:rPr>
          <w:rFonts w:ascii="Arial" w:eastAsia="Arial" w:hAnsi="Arial" w:cs="Arial"/>
          <w:sz w:val="20"/>
        </w:rPr>
        <w:t xml:space="preserve">12.8.1 </w:t>
      </w:r>
      <w:r>
        <w:rPr>
          <w:rFonts w:ascii="Arial" w:eastAsia="Arial" w:hAnsi="Arial" w:cs="Arial"/>
          <w:sz w:val="20"/>
        </w:rPr>
        <w:t xml:space="preserve">A concessão de férias remuneradas e o pagamento do respectivo adicional, bem como de auxílio-transporte, auxílio-alimentação e auxílio-saúde, quando for devido; </w:t>
      </w:r>
    </w:p>
    <w:p w:rsidR="006C145C" w:rsidRDefault="00C62E5A">
      <w:pPr>
        <w:spacing w:after="129" w:line="270" w:lineRule="auto"/>
        <w:ind w:left="1141" w:right="54" w:hanging="8"/>
        <w:jc w:val="both"/>
      </w:pPr>
      <w:r>
        <w:rPr>
          <w:rFonts w:ascii="Arial" w:eastAsia="Arial" w:hAnsi="Arial" w:cs="Arial"/>
          <w:sz w:val="20"/>
        </w:rPr>
        <w:lastRenderedPageBreak/>
        <w:t>12.8.2 O recolhimento das contribuições previdenciárias e do FGTS dos empregados que efetivame</w:t>
      </w:r>
      <w:r>
        <w:rPr>
          <w:rFonts w:ascii="Arial" w:eastAsia="Arial" w:hAnsi="Arial" w:cs="Arial"/>
          <w:sz w:val="20"/>
        </w:rPr>
        <w:t xml:space="preserve">nte participem da execução dos serviços contratados, a fim de verificar qualquer irregularidade;  </w:t>
      </w:r>
    </w:p>
    <w:p w:rsidR="006C145C" w:rsidRDefault="00C62E5A">
      <w:pPr>
        <w:spacing w:after="129" w:line="270" w:lineRule="auto"/>
        <w:ind w:left="1141" w:right="54" w:hanging="8"/>
        <w:jc w:val="both"/>
      </w:pPr>
      <w:r>
        <w:rPr>
          <w:rFonts w:ascii="Arial" w:eastAsia="Arial" w:hAnsi="Arial" w:cs="Arial"/>
          <w:sz w:val="20"/>
        </w:rPr>
        <w:t xml:space="preserve">12.8.3 O pagamento de obrigações trabalhistas e previdenciárias dos empregados dispensados até a data da extinção do contrato.  </w:t>
      </w:r>
    </w:p>
    <w:p w:rsidR="006C145C" w:rsidRDefault="00C62E5A">
      <w:pPr>
        <w:spacing w:after="152" w:line="270" w:lineRule="auto"/>
        <w:ind w:left="433" w:right="54" w:hanging="8"/>
        <w:jc w:val="both"/>
      </w:pPr>
      <w:r>
        <w:rPr>
          <w:rFonts w:ascii="Arial" w:eastAsia="Arial" w:hAnsi="Arial" w:cs="Arial"/>
          <w:sz w:val="20"/>
        </w:rPr>
        <w:t xml:space="preserve">12.9 </w:t>
      </w:r>
      <w:r>
        <w:rPr>
          <w:rFonts w:ascii="Arial" w:eastAsia="Arial" w:hAnsi="Arial" w:cs="Arial"/>
          <w:sz w:val="20"/>
        </w:rPr>
        <w:t xml:space="preserve">Analisar os termos de rescisão dos contratos de trabalho do pessoal empregado na prestação dos serviços no prazo de 30 (trinta) dias, prorrogável por igual período, após a extinção ou rescisão do contrato.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6" w:line="249" w:lineRule="auto"/>
        <w:ind w:left="-5" w:right="57" w:hanging="10"/>
        <w:jc w:val="both"/>
      </w:pPr>
      <w:r>
        <w:rPr>
          <w:rFonts w:ascii="Arial" w:eastAsia="Arial" w:hAnsi="Arial" w:cs="Arial"/>
          <w:b/>
          <w:i/>
          <w:sz w:val="20"/>
        </w:rPr>
        <w:t xml:space="preserve">Nota Explicativa: </w:t>
      </w:r>
      <w:r>
        <w:rPr>
          <w:rFonts w:ascii="Arial" w:eastAsia="Arial" w:hAnsi="Arial" w:cs="Arial"/>
          <w:i/>
          <w:sz w:val="20"/>
        </w:rPr>
        <w:t>Em relação ao subitem acima, a</w:t>
      </w:r>
      <w:r>
        <w:rPr>
          <w:rFonts w:ascii="Arial" w:eastAsia="Arial" w:hAnsi="Arial" w:cs="Arial"/>
          <w:i/>
          <w:sz w:val="20"/>
        </w:rPr>
        <w:t xml:space="preserve"> fiscalização por amostragem já constava na IN nº 02 SLTI/MP, de 2008. A In nº 5, de 2017, no entanto, estabelece que o objetivo da amostragem é que “todos os empregados tenham tido seus extratos avaliados ao final de um ano (sem que isso signifique que a </w:t>
      </w:r>
      <w:r>
        <w:rPr>
          <w:rFonts w:ascii="Arial" w:eastAsia="Arial" w:hAnsi="Arial" w:cs="Arial"/>
          <w:i/>
          <w:sz w:val="20"/>
        </w:rPr>
        <w:t xml:space="preserve">análise não possa ser realizada mais de uma vez em um mesmo empregado), conforme item 10.5, alínea “c”, do Anexo VIII-B.  </w:t>
      </w:r>
    </w:p>
    <w:p w:rsidR="006C145C" w:rsidRDefault="00C62E5A">
      <w:pPr>
        <w:spacing w:after="129" w:line="270" w:lineRule="auto"/>
        <w:ind w:left="433" w:right="54" w:hanging="8"/>
        <w:jc w:val="both"/>
      </w:pPr>
      <w:r>
        <w:rPr>
          <w:rFonts w:ascii="Arial" w:eastAsia="Arial" w:hAnsi="Arial" w:cs="Arial"/>
          <w:sz w:val="20"/>
        </w:rPr>
        <w:t xml:space="preserve">12.10 </w:t>
      </w:r>
      <w:r>
        <w:rPr>
          <w:rFonts w:ascii="Arial" w:eastAsia="Arial" w:hAnsi="Arial" w:cs="Arial"/>
          <w:sz w:val="20"/>
        </w:rPr>
        <w:tab/>
        <w:t xml:space="preserve">Fornecer por escrito as informações necessárias para o desenvolvimento dos serviços objeto do contrato; </w:t>
      </w:r>
    </w:p>
    <w:p w:rsidR="006C145C" w:rsidRDefault="00C62E5A">
      <w:pPr>
        <w:tabs>
          <w:tab w:val="center" w:pos="4561"/>
        </w:tabs>
        <w:spacing w:after="129" w:line="270" w:lineRule="auto"/>
      </w:pPr>
      <w:r>
        <w:rPr>
          <w:rFonts w:ascii="Arial" w:eastAsia="Arial" w:hAnsi="Arial" w:cs="Arial"/>
          <w:sz w:val="20"/>
        </w:rPr>
        <w:t xml:space="preserve">12.11 </w:t>
      </w:r>
      <w:r>
        <w:rPr>
          <w:rFonts w:ascii="Arial" w:eastAsia="Arial" w:hAnsi="Arial" w:cs="Arial"/>
          <w:sz w:val="20"/>
        </w:rPr>
        <w:tab/>
        <w:t>Realizar avali</w:t>
      </w:r>
      <w:r>
        <w:rPr>
          <w:rFonts w:ascii="Arial" w:eastAsia="Arial" w:hAnsi="Arial" w:cs="Arial"/>
          <w:sz w:val="20"/>
        </w:rPr>
        <w:t xml:space="preserve">ações periódicas da qualidade dos serviços, após seu recebimento; </w:t>
      </w:r>
    </w:p>
    <w:p w:rsidR="006C145C" w:rsidRDefault="00C62E5A">
      <w:pPr>
        <w:spacing w:after="129" w:line="270" w:lineRule="auto"/>
        <w:ind w:left="433" w:right="54" w:hanging="8"/>
        <w:jc w:val="both"/>
      </w:pPr>
      <w:r>
        <w:rPr>
          <w:rFonts w:ascii="Arial" w:eastAsia="Arial" w:hAnsi="Arial" w:cs="Arial"/>
          <w:sz w:val="20"/>
        </w:rPr>
        <w:t xml:space="preserve">12.12 Cientificar o órgão de representação judicial da Advocacia-Geral da União para adoção das medidas cabíveis quando do descumprimento das obrigações pela Contratada;  </w:t>
      </w:r>
    </w:p>
    <w:p w:rsidR="006C145C" w:rsidRDefault="00C62E5A">
      <w:pPr>
        <w:spacing w:after="129" w:line="270" w:lineRule="auto"/>
        <w:ind w:left="433" w:right="54" w:hanging="8"/>
        <w:jc w:val="both"/>
      </w:pPr>
      <w:r>
        <w:rPr>
          <w:rFonts w:ascii="Arial" w:eastAsia="Arial" w:hAnsi="Arial" w:cs="Arial"/>
          <w:sz w:val="20"/>
        </w:rPr>
        <w:t>12.13 Arquivar, e</w:t>
      </w:r>
      <w:r>
        <w:rPr>
          <w:rFonts w:ascii="Arial" w:eastAsia="Arial" w:hAnsi="Arial" w:cs="Arial"/>
          <w:sz w:val="20"/>
        </w:rPr>
        <w:t xml:space="preserve">ntre outros documentos, projetos, </w:t>
      </w:r>
      <w:r>
        <w:rPr>
          <w:rFonts w:ascii="Arial" w:eastAsia="Arial" w:hAnsi="Arial" w:cs="Arial"/>
          <w:i/>
          <w:sz w:val="20"/>
        </w:rPr>
        <w:t>"as built</w:t>
      </w:r>
      <w:r>
        <w:rPr>
          <w:rFonts w:ascii="Arial" w:eastAsia="Arial" w:hAnsi="Arial" w:cs="Arial"/>
          <w:sz w:val="20"/>
        </w:rPr>
        <w:t xml:space="preserve">", especificações técnicas, orçamentos, termos de recebimento, contratos e aditamentos, relatórios de inspeções técnicas após o recebimento do serviço e notificações expedidas; </w:t>
      </w:r>
    </w:p>
    <w:p w:rsidR="006C145C" w:rsidRDefault="00C62E5A">
      <w:pPr>
        <w:spacing w:after="129" w:line="270" w:lineRule="auto"/>
        <w:ind w:left="433" w:right="54" w:hanging="8"/>
        <w:jc w:val="both"/>
      </w:pPr>
      <w:r>
        <w:rPr>
          <w:rFonts w:ascii="Arial" w:eastAsia="Arial" w:hAnsi="Arial" w:cs="Arial"/>
          <w:sz w:val="20"/>
        </w:rPr>
        <w:t xml:space="preserve">12.14 Fiscalizar o cumprimento dos </w:t>
      </w:r>
      <w:r>
        <w:rPr>
          <w:rFonts w:ascii="Arial" w:eastAsia="Arial" w:hAnsi="Arial" w:cs="Arial"/>
          <w:sz w:val="20"/>
        </w:rPr>
        <w:t xml:space="preserve">requisitos legais, quando a contratada houver se beneficiado da preferência estabelecida pelo art. 3º, § 5º, da Lei nº 8.666, de 1993. </w:t>
      </w:r>
    </w:p>
    <w:p w:rsidR="006C145C" w:rsidRDefault="00C62E5A">
      <w:pPr>
        <w:spacing w:after="483" w:line="270" w:lineRule="auto"/>
        <w:ind w:left="433" w:right="54" w:hanging="8"/>
        <w:jc w:val="both"/>
      </w:pPr>
      <w:r>
        <w:rPr>
          <w:rFonts w:ascii="Arial" w:eastAsia="Arial" w:hAnsi="Arial" w:cs="Arial"/>
          <w:sz w:val="20"/>
        </w:rPr>
        <w:t xml:space="preserve">12.15 </w:t>
      </w:r>
      <w:r>
        <w:rPr>
          <w:rFonts w:ascii="Arial" w:eastAsia="Arial" w:hAnsi="Arial" w:cs="Arial"/>
          <w:sz w:val="20"/>
        </w:rPr>
        <w:t>Assegurar que o ambiente de trabalho, inclusive seus equipamentos e instalações, apresentem condições adequadas ao cumprimento, pela contratada, das normas de segurança e saúde no trabalho, quando o serviço for executado em suas dependências, ou em local p</w:t>
      </w:r>
      <w:r>
        <w:rPr>
          <w:rFonts w:ascii="Arial" w:eastAsia="Arial" w:hAnsi="Arial" w:cs="Arial"/>
          <w:sz w:val="20"/>
        </w:rPr>
        <w:t xml:space="preserve">or ela designado. </w:t>
      </w:r>
    </w:p>
    <w:p w:rsidR="006C145C" w:rsidRDefault="00C62E5A">
      <w:pPr>
        <w:pStyle w:val="Ttulo6"/>
        <w:spacing w:after="176"/>
        <w:ind w:left="294" w:right="37"/>
      </w:pPr>
      <w:r>
        <w:t xml:space="preserve">13 OBRIGAÇÕES DA CONTRATADA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7" w:line="249" w:lineRule="auto"/>
        <w:ind w:left="-5" w:right="57" w:hanging="10"/>
        <w:jc w:val="both"/>
      </w:pPr>
      <w:r>
        <w:rPr>
          <w:rFonts w:ascii="Arial" w:eastAsia="Arial" w:hAnsi="Arial" w:cs="Arial"/>
          <w:b/>
          <w:i/>
          <w:sz w:val="20"/>
        </w:rPr>
        <w:t>Nota Explicativa</w:t>
      </w:r>
      <w:r>
        <w:rPr>
          <w:rFonts w:ascii="Arial" w:eastAsia="Arial" w:hAnsi="Arial" w:cs="Arial"/>
          <w:i/>
          <w:sz w:val="20"/>
        </w:rPr>
        <w:t>. Este modelo de TR contém obrigações gerais que podem ser aplicadas aos mais diversos tipos de serviços comuns. Entretanto, compete ao órgão verificar as peculiaridades do serviço a ser contr</w:t>
      </w:r>
      <w:r>
        <w:rPr>
          <w:rFonts w:ascii="Arial" w:eastAsia="Arial" w:hAnsi="Arial" w:cs="Arial"/>
          <w:i/>
          <w:sz w:val="20"/>
        </w:rPr>
        <w:t xml:space="preserve">atado a fim de definir quais obrigações serão aplicáveis, incluindo, modificando ou excluindo itens a depender das especificidades do objeto, justificando ao órgão de Consultoria as alterações efetivadas </w:t>
      </w:r>
    </w:p>
    <w:p w:rsidR="006C145C" w:rsidRDefault="00C62E5A">
      <w:pPr>
        <w:spacing w:after="129" w:line="270" w:lineRule="auto"/>
        <w:ind w:left="433" w:right="54" w:hanging="8"/>
        <w:jc w:val="both"/>
      </w:pPr>
      <w:r>
        <w:rPr>
          <w:rFonts w:ascii="Arial" w:eastAsia="Arial" w:hAnsi="Arial" w:cs="Arial"/>
          <w:sz w:val="20"/>
        </w:rPr>
        <w:t>13.1 Executar os serviços conforme especificações d</w:t>
      </w:r>
      <w:r>
        <w:rPr>
          <w:rFonts w:ascii="Arial" w:eastAsia="Arial" w:hAnsi="Arial" w:cs="Arial"/>
          <w:sz w:val="20"/>
        </w:rPr>
        <w:t>este Termo de Referência e de sua proposta, com a alocação dos empregados necessários ao perfeito cumprimento das cláusulas contratuais, além de fornecer e utilizar os materiais e equipamentos, ferramentas e utensílios necessários, na qualidade e quantidad</w:t>
      </w:r>
      <w:r>
        <w:rPr>
          <w:rFonts w:ascii="Arial" w:eastAsia="Arial" w:hAnsi="Arial" w:cs="Arial"/>
          <w:sz w:val="20"/>
        </w:rPr>
        <w:t xml:space="preserve">e mínimas especificadas neste Termo de Referência e em sua proposta; </w:t>
      </w:r>
    </w:p>
    <w:p w:rsidR="006C145C" w:rsidRDefault="00C62E5A">
      <w:pPr>
        <w:spacing w:after="151" w:line="270" w:lineRule="auto"/>
        <w:ind w:left="433" w:right="54" w:hanging="8"/>
        <w:jc w:val="both"/>
      </w:pPr>
      <w:r>
        <w:rPr>
          <w:rFonts w:ascii="Arial" w:eastAsia="Arial" w:hAnsi="Arial" w:cs="Arial"/>
          <w:sz w:val="20"/>
        </w:rPr>
        <w:t>13.2 Reparar, corrigir, remover ou substituir, às suas expensas, no total ou em parte, no prazo fixado pelo fiscal do contrato, os serviços efetuados em que se verificarem vícios, defeit</w:t>
      </w:r>
      <w:r>
        <w:rPr>
          <w:rFonts w:ascii="Arial" w:eastAsia="Arial" w:hAnsi="Arial" w:cs="Arial"/>
          <w:sz w:val="20"/>
        </w:rPr>
        <w:t xml:space="preserve">os ou incorreções resultantes da execução ou dos materiais empregados;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5" w:line="249" w:lineRule="auto"/>
        <w:ind w:left="-5" w:right="57" w:hanging="10"/>
        <w:jc w:val="both"/>
      </w:pPr>
      <w:r>
        <w:rPr>
          <w:rFonts w:ascii="Arial" w:eastAsia="Arial" w:hAnsi="Arial" w:cs="Arial"/>
          <w:b/>
          <w:i/>
          <w:sz w:val="20"/>
        </w:rPr>
        <w:t>Nota Explicativa</w:t>
      </w:r>
      <w:r>
        <w:rPr>
          <w:rFonts w:ascii="Arial" w:eastAsia="Arial" w:hAnsi="Arial" w:cs="Arial"/>
          <w:i/>
          <w:sz w:val="20"/>
        </w:rPr>
        <w:t>. Nas contratações de serviços, cada vício, defeito ou incorreção verificada pelo fiscal do contrato reveste-</w:t>
      </w:r>
      <w:r>
        <w:rPr>
          <w:rFonts w:ascii="Arial" w:eastAsia="Arial" w:hAnsi="Arial" w:cs="Arial"/>
          <w:i/>
          <w:sz w:val="20"/>
        </w:rPr>
        <w:t xml:space="preserve">se de peculiar característica. Por isso que, diante da natureza do objeto contratado, é impróprio determinar prazo único para as correções devidas, devendo o fiscal do contrato, avaliar o caso concreto, para o fim de fixar prazo para as correções. </w:t>
      </w:r>
    </w:p>
    <w:p w:rsidR="006C145C" w:rsidRDefault="00C62E5A">
      <w:pPr>
        <w:tabs>
          <w:tab w:val="center" w:pos="733"/>
          <w:tab w:val="center" w:pos="4692"/>
        </w:tabs>
        <w:spacing w:after="129" w:line="270" w:lineRule="auto"/>
      </w:pPr>
      <w:r>
        <w:tab/>
      </w:r>
      <w:r>
        <w:rPr>
          <w:rFonts w:ascii="Arial" w:eastAsia="Arial" w:hAnsi="Arial" w:cs="Arial"/>
          <w:sz w:val="20"/>
        </w:rPr>
        <w:t xml:space="preserve">13.3 </w:t>
      </w:r>
      <w:r>
        <w:rPr>
          <w:rFonts w:ascii="Arial" w:eastAsia="Arial" w:hAnsi="Arial" w:cs="Arial"/>
          <w:sz w:val="20"/>
        </w:rPr>
        <w:tab/>
      </w:r>
      <w:r>
        <w:rPr>
          <w:rFonts w:ascii="Arial" w:eastAsia="Arial" w:hAnsi="Arial" w:cs="Arial"/>
          <w:sz w:val="20"/>
        </w:rPr>
        <w:t xml:space="preserve">Manter a execução do serviço nos horários fixados pela Administração.  </w:t>
      </w:r>
    </w:p>
    <w:p w:rsidR="006C145C" w:rsidRDefault="00C62E5A">
      <w:pPr>
        <w:spacing w:after="129" w:line="270" w:lineRule="auto"/>
        <w:ind w:left="433" w:right="54" w:hanging="8"/>
        <w:jc w:val="both"/>
      </w:pPr>
      <w:r>
        <w:rPr>
          <w:rFonts w:ascii="Arial" w:eastAsia="Arial" w:hAnsi="Arial" w:cs="Arial"/>
          <w:sz w:val="20"/>
        </w:rPr>
        <w:lastRenderedPageBreak/>
        <w:t>13.4 Responsabilizar-se pelos vícios e danos decorrentes da execução do objeto, bem como por todo e qualquer dano causado à União ou à entidade federal, devendo ressarcir imediatamente</w:t>
      </w:r>
      <w:r>
        <w:rPr>
          <w:rFonts w:ascii="Arial" w:eastAsia="Arial" w:hAnsi="Arial" w:cs="Arial"/>
          <w:sz w:val="20"/>
        </w:rPr>
        <w:t xml:space="preserve"> a Administração em sua integralidade, ficando a Contratante autorizada a descontar da garantia, caso exigida no edital, ou dos pagamentos devidos à Contratada, o valor correspondente aos danos sofridos; </w:t>
      </w:r>
    </w:p>
    <w:p w:rsidR="006C145C" w:rsidRDefault="00C62E5A">
      <w:pPr>
        <w:spacing w:after="129" w:line="270" w:lineRule="auto"/>
        <w:ind w:left="433" w:right="54" w:hanging="8"/>
        <w:jc w:val="both"/>
      </w:pPr>
      <w:r>
        <w:rPr>
          <w:rFonts w:ascii="Arial" w:eastAsia="Arial" w:hAnsi="Arial" w:cs="Arial"/>
          <w:sz w:val="20"/>
        </w:rPr>
        <w:t>13.5 Utilizar empregados habilitados e com conhecim</w:t>
      </w:r>
      <w:r>
        <w:rPr>
          <w:rFonts w:ascii="Arial" w:eastAsia="Arial" w:hAnsi="Arial" w:cs="Arial"/>
          <w:sz w:val="20"/>
        </w:rPr>
        <w:t xml:space="preserve">entos básicos dos serviços a serem executados, em conformidade com as normas e determinações em vigor; </w:t>
      </w:r>
    </w:p>
    <w:p w:rsidR="006C145C" w:rsidRDefault="00C62E5A">
      <w:pPr>
        <w:spacing w:after="129" w:line="270" w:lineRule="auto"/>
        <w:ind w:left="433" w:right="115" w:hanging="8"/>
        <w:jc w:val="both"/>
      </w:pPr>
      <w:r>
        <w:rPr>
          <w:rFonts w:ascii="Arial" w:eastAsia="Arial" w:hAnsi="Arial" w:cs="Arial"/>
          <w:sz w:val="20"/>
        </w:rPr>
        <w:t>13.6 Vedar a utilização, na execução dos serviços, de empregado que seja familiar de agente público ocupante de cargo em comissão ou função de confiança</w:t>
      </w:r>
      <w:r>
        <w:rPr>
          <w:rFonts w:ascii="Arial" w:eastAsia="Arial" w:hAnsi="Arial" w:cs="Arial"/>
          <w:sz w:val="20"/>
        </w:rPr>
        <w:t xml:space="preserve"> no órgão Contratante, nos termos do artigo 7° do Decreto n° 7.203, de 2010; </w:t>
      </w:r>
    </w:p>
    <w:p w:rsidR="006C145C" w:rsidRDefault="00C62E5A">
      <w:pPr>
        <w:spacing w:after="129" w:line="270" w:lineRule="auto"/>
        <w:ind w:left="433" w:right="54" w:hanging="8"/>
        <w:jc w:val="both"/>
      </w:pPr>
      <w:r>
        <w:rPr>
          <w:rFonts w:ascii="Arial" w:eastAsia="Arial" w:hAnsi="Arial" w:cs="Arial"/>
          <w:sz w:val="20"/>
        </w:rPr>
        <w:t xml:space="preserve">13.7 Disponibilizar à Contratante os empregados devidamente uniformizados e identificados por meio de crachá, além de provê-los com os Equipamentos de Proteção Individual - EPI, </w:t>
      </w:r>
      <w:r>
        <w:rPr>
          <w:rFonts w:ascii="Arial" w:eastAsia="Arial" w:hAnsi="Arial" w:cs="Arial"/>
          <w:sz w:val="20"/>
        </w:rPr>
        <w:t xml:space="preserve">quando for o caso; </w:t>
      </w:r>
    </w:p>
    <w:p w:rsidR="006C145C" w:rsidRDefault="00C62E5A">
      <w:pPr>
        <w:spacing w:after="129" w:line="270" w:lineRule="auto"/>
        <w:ind w:left="433" w:right="54" w:hanging="8"/>
        <w:jc w:val="both"/>
      </w:pPr>
      <w:r>
        <w:rPr>
          <w:rFonts w:ascii="Arial" w:eastAsia="Arial" w:hAnsi="Arial" w:cs="Arial"/>
          <w:sz w:val="20"/>
        </w:rPr>
        <w:t xml:space="preserve">13.8 Fornecer os uniformes a serem utilizados por seus empregados, conforme disposto neste Termo de Referência, sem repassar quaisquer custos a estes; </w:t>
      </w:r>
    </w:p>
    <w:p w:rsidR="006C145C" w:rsidRDefault="00C62E5A">
      <w:pPr>
        <w:spacing w:after="129" w:line="270" w:lineRule="auto"/>
        <w:ind w:left="433" w:right="54" w:hanging="8"/>
        <w:jc w:val="both"/>
      </w:pPr>
      <w:r>
        <w:rPr>
          <w:rFonts w:ascii="Arial" w:eastAsia="Arial" w:hAnsi="Arial" w:cs="Arial"/>
          <w:sz w:val="20"/>
        </w:rPr>
        <w:t>13.9 As empresas contratadas que sejam regidas pela Consolidação das Leis do Trabalh</w:t>
      </w:r>
      <w:r>
        <w:rPr>
          <w:rFonts w:ascii="Arial" w:eastAsia="Arial" w:hAnsi="Arial" w:cs="Arial"/>
          <w:sz w:val="20"/>
        </w:rPr>
        <w:t xml:space="preserve">o (CLT) deverão apresentar a seguinte documentação no primeiro mês de prestação dos serviços, conforme alínea "g" do item 10.1 do Anexo VIII-B da IN SEGES/MP  n. 5/2017: </w:t>
      </w:r>
    </w:p>
    <w:p w:rsidR="006C145C" w:rsidRDefault="00C62E5A">
      <w:pPr>
        <w:spacing w:after="129" w:line="270" w:lineRule="auto"/>
        <w:ind w:left="1141" w:right="54" w:hanging="8"/>
        <w:jc w:val="both"/>
      </w:pPr>
      <w:r>
        <w:rPr>
          <w:rFonts w:ascii="Arial" w:eastAsia="Arial" w:hAnsi="Arial" w:cs="Arial"/>
          <w:sz w:val="20"/>
        </w:rPr>
        <w:t>13.9.1 relação dos empregados, contendo nome completo, cargo ou função, salário,  hor</w:t>
      </w:r>
      <w:r>
        <w:rPr>
          <w:rFonts w:ascii="Arial" w:eastAsia="Arial" w:hAnsi="Arial" w:cs="Arial"/>
          <w:sz w:val="20"/>
        </w:rPr>
        <w:t xml:space="preserve">ário do posto de trabalho, números da carteira de identidade (RG) e da inscrição no Cadastro de Pessoas Físicas (CPF), com indicação dos responsáveis técnicos pela execução dos serviços, quando for o caso; </w:t>
      </w:r>
    </w:p>
    <w:p w:rsidR="006C145C" w:rsidRDefault="00C62E5A">
      <w:pPr>
        <w:spacing w:after="129" w:line="270" w:lineRule="auto"/>
        <w:ind w:left="1141" w:right="54" w:hanging="8"/>
        <w:jc w:val="both"/>
      </w:pPr>
      <w:r>
        <w:rPr>
          <w:rFonts w:ascii="Arial" w:eastAsia="Arial" w:hAnsi="Arial" w:cs="Arial"/>
          <w:sz w:val="20"/>
        </w:rPr>
        <w:t xml:space="preserve">13.9.2 Carteira de Trabalho e Previdência Social </w:t>
      </w:r>
      <w:r>
        <w:rPr>
          <w:rFonts w:ascii="Arial" w:eastAsia="Arial" w:hAnsi="Arial" w:cs="Arial"/>
          <w:sz w:val="20"/>
        </w:rPr>
        <w:t xml:space="preserve">(CTPS) dos empregados admitidos e dos responsáveis técnicos pela execução dos serviços, quando for o caso, devidamente assinada pela contratada; e </w:t>
      </w:r>
    </w:p>
    <w:p w:rsidR="006C145C" w:rsidRDefault="00C62E5A">
      <w:pPr>
        <w:spacing w:after="129" w:line="270" w:lineRule="auto"/>
        <w:ind w:left="1141" w:right="54" w:hanging="8"/>
        <w:jc w:val="both"/>
      </w:pPr>
      <w:r>
        <w:rPr>
          <w:rFonts w:ascii="Arial" w:eastAsia="Arial" w:hAnsi="Arial" w:cs="Arial"/>
          <w:sz w:val="20"/>
        </w:rPr>
        <w:t xml:space="preserve">13.9.3 exames médicos admissionais dos empregados da contratada que prestarão os serviços; </w:t>
      </w:r>
    </w:p>
    <w:p w:rsidR="006C145C" w:rsidRDefault="00C62E5A">
      <w:pPr>
        <w:spacing w:after="129" w:line="270" w:lineRule="auto"/>
        <w:ind w:left="1141" w:right="54" w:hanging="8"/>
        <w:jc w:val="both"/>
      </w:pPr>
      <w:r>
        <w:rPr>
          <w:rFonts w:ascii="Arial" w:eastAsia="Arial" w:hAnsi="Arial" w:cs="Arial"/>
          <w:sz w:val="20"/>
        </w:rPr>
        <w:t>13.9.4 declaraçã</w:t>
      </w:r>
      <w:r>
        <w:rPr>
          <w:rFonts w:ascii="Arial" w:eastAsia="Arial" w:hAnsi="Arial" w:cs="Arial"/>
          <w:sz w:val="20"/>
        </w:rPr>
        <w:t xml:space="preserve">o de responsabilidade exclusiva da contratada sobre a quitação dos encargos trabalhistas e sociais decorrentes do contrato; </w:t>
      </w:r>
    </w:p>
    <w:p w:rsidR="006C145C" w:rsidRDefault="00C62E5A">
      <w:pPr>
        <w:spacing w:after="129" w:line="270" w:lineRule="auto"/>
        <w:ind w:left="1141" w:right="54" w:hanging="8"/>
        <w:jc w:val="both"/>
      </w:pPr>
      <w:r>
        <w:rPr>
          <w:rFonts w:ascii="Arial" w:eastAsia="Arial" w:hAnsi="Arial" w:cs="Arial"/>
          <w:sz w:val="20"/>
        </w:rPr>
        <w:t>13.9.5 Os documentos acima mencionados deverão ser apresentados para cada novo empregado que se vincule à prestação do contrato adm</w:t>
      </w:r>
      <w:r>
        <w:rPr>
          <w:rFonts w:ascii="Arial" w:eastAsia="Arial" w:hAnsi="Arial" w:cs="Arial"/>
          <w:sz w:val="20"/>
        </w:rPr>
        <w:t>inistrativo. De igual modo, o desligamento de empregados no curso do contrato de prestação de serviços deve ser devidamente comunicado, com toda a documentação pertinente ao empregado dispensado, à semelhança do que se exige quando do encerramento do contr</w:t>
      </w:r>
      <w:r>
        <w:rPr>
          <w:rFonts w:ascii="Arial" w:eastAsia="Arial" w:hAnsi="Arial" w:cs="Arial"/>
          <w:sz w:val="20"/>
        </w:rPr>
        <w:t xml:space="preserve">ato administrativo. </w:t>
      </w:r>
    </w:p>
    <w:p w:rsidR="006C145C" w:rsidRDefault="00C62E5A">
      <w:pPr>
        <w:spacing w:after="129" w:line="270" w:lineRule="auto"/>
        <w:ind w:left="433" w:right="54" w:hanging="8"/>
        <w:jc w:val="both"/>
      </w:pPr>
      <w:r>
        <w:rPr>
          <w:rFonts w:ascii="Arial" w:eastAsia="Arial" w:hAnsi="Arial" w:cs="Arial"/>
          <w:sz w:val="20"/>
        </w:rPr>
        <w:t xml:space="preserve">13.10 Apresentar relação mensal dos empregados que expressamente optarem por não receber o vale transporte. </w:t>
      </w:r>
    </w:p>
    <w:p w:rsidR="006C145C" w:rsidRDefault="00C62E5A">
      <w:pPr>
        <w:spacing w:after="152" w:line="270" w:lineRule="auto"/>
        <w:ind w:left="433" w:right="54" w:hanging="8"/>
        <w:jc w:val="both"/>
      </w:pPr>
      <w:r>
        <w:rPr>
          <w:rFonts w:ascii="Arial" w:eastAsia="Arial" w:hAnsi="Arial" w:cs="Arial"/>
          <w:sz w:val="20"/>
        </w:rPr>
        <w:t xml:space="preserve">13.11 Quando não for possível a verificação da regularidade no Sistema de Cadastro de Fornecedores – </w:t>
      </w:r>
      <w:r>
        <w:rPr>
          <w:rFonts w:ascii="Arial" w:eastAsia="Arial" w:hAnsi="Arial" w:cs="Arial"/>
          <w:sz w:val="20"/>
        </w:rPr>
        <w:t>SICAF, a empresa contratada cujos empregados vinculados ao serviço sejam regidos pela CLT deverá entregar ao setor responsável pela fiscalização do contrato, até o dia trinta do mês seguinte ao da prestação dos serviços, os seguintes documentos: 1) prova d</w:t>
      </w:r>
      <w:r>
        <w:rPr>
          <w:rFonts w:ascii="Arial" w:eastAsia="Arial" w:hAnsi="Arial" w:cs="Arial"/>
          <w:sz w:val="20"/>
        </w:rPr>
        <w:t xml:space="preserve">e regularidade relativa à Seguridade Social; 2) certidão conjunta relativa aos tributos federais e à Dívida Ativa da União; 3) certidões que comprovem a regularidade perante as Fazendas Distrital e Municipal do domicílio ou sede do contratado; 4) Certidão </w:t>
      </w:r>
      <w:r>
        <w:rPr>
          <w:rFonts w:ascii="Arial" w:eastAsia="Arial" w:hAnsi="Arial" w:cs="Arial"/>
          <w:sz w:val="20"/>
        </w:rPr>
        <w:t xml:space="preserve">de Regularidade do FGTS – CRF; e 5) Certidão Negativa de Débitos Trabalhistas – CNDT, conforme alínea "c" do item 10.2 do Anexo VIII-B da IN SEGES/MP n. 5/2017;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b/>
          <w:i/>
          <w:sz w:val="20"/>
        </w:rPr>
        <w:t>Nota explicativa:</w:t>
      </w:r>
      <w:r>
        <w:rPr>
          <w:rFonts w:ascii="Arial" w:eastAsia="Arial" w:hAnsi="Arial" w:cs="Arial"/>
          <w:i/>
          <w:sz w:val="20"/>
        </w:rPr>
        <w:t xml:space="preserve"> Trata-se de importante medida para prevenir a responsabilização subsidiária </w:t>
      </w:r>
      <w:r>
        <w:rPr>
          <w:rFonts w:ascii="Arial" w:eastAsia="Arial" w:hAnsi="Arial" w:cs="Arial"/>
          <w:i/>
          <w:sz w:val="20"/>
        </w:rPr>
        <w:t xml:space="preserve">da Administração por eventuais débitos trabalhistas decorrentes da execução do contrato. Veja-se o Acórdão nº 1.937/2009 - 2ª Câmara do TCU: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lastRenderedPageBreak/>
        <w:t>“1.6.2.1. exigência, na contratação de empresas terceirizadas, da apresentação da relação dos empregados que atuar</w:t>
      </w:r>
      <w:r>
        <w:rPr>
          <w:rFonts w:ascii="Arial" w:eastAsia="Arial" w:hAnsi="Arial" w:cs="Arial"/>
          <w:i/>
          <w:sz w:val="20"/>
        </w:rPr>
        <w:t>ão na execução dos serviços e da apresentação de suas CTPS devidamente preenchidas e assinadas, bem como da apresentação pessoal desses empregados ao representante da Administração obrigatório, conforme art. 67 da Lei de Licitações e Contratos, para que el</w:t>
      </w:r>
      <w:r>
        <w:rPr>
          <w:rFonts w:ascii="Arial" w:eastAsia="Arial" w:hAnsi="Arial" w:cs="Arial"/>
          <w:i/>
          <w:sz w:val="20"/>
        </w:rPr>
        <w:t xml:space="preserve">e confira a relação já aprovada pelos responsáveis competentes e identifique os trabalhadores;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 xml:space="preserve">1.6.2.2. adoção periódica e sempre que houver demissão/admissão de novos empregados, dos mesmos procedimentos;”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5" w:line="249" w:lineRule="auto"/>
        <w:ind w:left="-5" w:right="57" w:hanging="10"/>
        <w:jc w:val="both"/>
      </w:pPr>
      <w:r>
        <w:rPr>
          <w:rFonts w:ascii="Arial" w:eastAsia="Arial" w:hAnsi="Arial" w:cs="Arial"/>
          <w:b/>
          <w:i/>
          <w:sz w:val="20"/>
        </w:rPr>
        <w:t xml:space="preserve">Nota explicativa 2: </w:t>
      </w:r>
      <w:r>
        <w:rPr>
          <w:rFonts w:ascii="Arial" w:eastAsia="Arial" w:hAnsi="Arial" w:cs="Arial"/>
          <w:i/>
          <w:sz w:val="20"/>
        </w:rPr>
        <w:t>ajustar de modo que seja e</w:t>
      </w:r>
      <w:r>
        <w:rPr>
          <w:rFonts w:ascii="Arial" w:eastAsia="Arial" w:hAnsi="Arial" w:cs="Arial"/>
          <w:i/>
          <w:sz w:val="20"/>
        </w:rPr>
        <w:t xml:space="preserve">xigida regularidade apenas quanto aos tributos incidentes sobre o objeto contratual. </w:t>
      </w:r>
    </w:p>
    <w:p w:rsidR="006C145C" w:rsidRDefault="00C62E5A">
      <w:pPr>
        <w:spacing w:after="129" w:line="270" w:lineRule="auto"/>
        <w:ind w:left="433" w:right="54" w:hanging="8"/>
        <w:jc w:val="both"/>
      </w:pPr>
      <w:r>
        <w:rPr>
          <w:rFonts w:ascii="Arial" w:eastAsia="Arial" w:hAnsi="Arial" w:cs="Arial"/>
          <w:sz w:val="20"/>
        </w:rPr>
        <w:t xml:space="preserve">13.12 Substituir, no prazo de </w:t>
      </w:r>
      <w:r>
        <w:rPr>
          <w:rFonts w:ascii="Arial" w:eastAsia="Arial" w:hAnsi="Arial" w:cs="Arial"/>
          <w:color w:val="FF0000"/>
          <w:sz w:val="20"/>
        </w:rPr>
        <w:t>..... (horas)</w:t>
      </w:r>
      <w:r>
        <w:rPr>
          <w:rFonts w:ascii="Arial" w:eastAsia="Arial" w:hAnsi="Arial" w:cs="Arial"/>
          <w:sz w:val="20"/>
        </w:rPr>
        <w:t>, em caso de eventual ausência, tais como faltas e licenças, o empregado posto a serviço da Contratante, devendo identificar pr</w:t>
      </w:r>
      <w:r>
        <w:rPr>
          <w:rFonts w:ascii="Arial" w:eastAsia="Arial" w:hAnsi="Arial" w:cs="Arial"/>
          <w:sz w:val="20"/>
        </w:rPr>
        <w:t xml:space="preserve">eviamente o respectivo substituto ao Fiscal do Contrato;  </w:t>
      </w:r>
    </w:p>
    <w:p w:rsidR="006C145C" w:rsidRDefault="00C62E5A">
      <w:pPr>
        <w:spacing w:after="129" w:line="270" w:lineRule="auto"/>
        <w:ind w:left="433" w:right="54" w:hanging="8"/>
        <w:jc w:val="both"/>
      </w:pPr>
      <w:r>
        <w:rPr>
          <w:rFonts w:ascii="Arial" w:eastAsia="Arial" w:hAnsi="Arial" w:cs="Arial"/>
          <w:sz w:val="20"/>
        </w:rPr>
        <w:t>13.13 Responsabilizar-se pelo cumprimento das obrigações previstas em Acordo, Convenção, Dissídio Coletivo de Trabalho ou equivalentes das categorias abrangidas pelo contrato, por todas as obrigaçõ</w:t>
      </w:r>
      <w:r>
        <w:rPr>
          <w:rFonts w:ascii="Arial" w:eastAsia="Arial" w:hAnsi="Arial" w:cs="Arial"/>
          <w:sz w:val="20"/>
        </w:rPr>
        <w:t xml:space="preserve">es trabalhistas, sociais, previdenciárias, tributárias e as demais previstas em legislação específica, cuja inadimplência não transfere a responsabilidade à Contratante;  </w:t>
      </w:r>
    </w:p>
    <w:p w:rsidR="006C145C" w:rsidRDefault="00C62E5A">
      <w:pPr>
        <w:spacing w:after="129" w:line="270" w:lineRule="auto"/>
        <w:ind w:left="708" w:right="54" w:firstLine="708"/>
        <w:jc w:val="both"/>
      </w:pPr>
      <w:r>
        <w:rPr>
          <w:rFonts w:ascii="Arial" w:eastAsia="Arial" w:hAnsi="Arial" w:cs="Arial"/>
          <w:sz w:val="20"/>
        </w:rPr>
        <w:t>13.12.1 Não serão incluídas nas planilhas de custos e formação de preços as disposições contidas em Acordos, Dissídios ou Convenções Coletivas que tratem de pagamento de participação dos trabalhadores nos lucros ou resultados da empresa contratada, de maté</w:t>
      </w:r>
      <w:r>
        <w:rPr>
          <w:rFonts w:ascii="Arial" w:eastAsia="Arial" w:hAnsi="Arial" w:cs="Arial"/>
          <w:sz w:val="20"/>
        </w:rPr>
        <w:t xml:space="preserve">ria não trabalhista, de obrigações e direitos que somente se aplicam aos contratos com a Administração Pública, ou que estabeleçam direitos não previstos em lei, tais como valores ou índices obrigatórios de encargos sociais ou previdenciários, bem como de </w:t>
      </w:r>
      <w:r>
        <w:rPr>
          <w:rFonts w:ascii="Arial" w:eastAsia="Arial" w:hAnsi="Arial" w:cs="Arial"/>
          <w:sz w:val="20"/>
        </w:rPr>
        <w:t xml:space="preserve">preços para os insumos relacionados ao exercício da atividade.  </w:t>
      </w:r>
    </w:p>
    <w:p w:rsidR="006C145C" w:rsidRDefault="00C62E5A">
      <w:pPr>
        <w:spacing w:after="129" w:line="270" w:lineRule="auto"/>
        <w:ind w:left="433" w:right="54" w:hanging="8"/>
        <w:jc w:val="both"/>
      </w:pPr>
      <w:r>
        <w:rPr>
          <w:rFonts w:ascii="Arial" w:eastAsia="Arial" w:hAnsi="Arial" w:cs="Arial"/>
          <w:sz w:val="20"/>
        </w:rPr>
        <w:t xml:space="preserve">13.14 </w:t>
      </w:r>
      <w:r>
        <w:rPr>
          <w:rFonts w:ascii="Arial" w:eastAsia="Arial" w:hAnsi="Arial" w:cs="Arial"/>
          <w:sz w:val="20"/>
        </w:rPr>
        <w:t>Efetuar o pagamento dos salários dos empregados alocados na execução contratual mediante depósito na conta bancária de titularidade do trabalhador, em agência situada na localidade ou região metropolitana em que ocorre a prestação dos serviços, de modo a p</w:t>
      </w:r>
      <w:r>
        <w:rPr>
          <w:rFonts w:ascii="Arial" w:eastAsia="Arial" w:hAnsi="Arial" w:cs="Arial"/>
          <w:sz w:val="20"/>
        </w:rPr>
        <w:t>ossibilitar a conferência do pagamento por parte da Contratante. Em caso de impossibilidade de cumprimento desta disposição, a contratada deverá apresentar justificativa, a fim de que a Administração analise sua plausibilidade e possa verificar a realizaçã</w:t>
      </w:r>
      <w:r>
        <w:rPr>
          <w:rFonts w:ascii="Arial" w:eastAsia="Arial" w:hAnsi="Arial" w:cs="Arial"/>
          <w:sz w:val="20"/>
        </w:rPr>
        <w:t xml:space="preserve">o do pagamento. </w:t>
      </w:r>
    </w:p>
    <w:p w:rsidR="006C145C" w:rsidRDefault="00C62E5A">
      <w:pPr>
        <w:spacing w:after="129" w:line="270" w:lineRule="auto"/>
        <w:ind w:left="433" w:right="54" w:hanging="8"/>
        <w:jc w:val="both"/>
      </w:pPr>
      <w:r>
        <w:rPr>
          <w:rFonts w:ascii="Arial" w:eastAsia="Arial" w:hAnsi="Arial" w:cs="Arial"/>
          <w:sz w:val="20"/>
        </w:rPr>
        <w:t xml:space="preserve">13.15 Autorizar a Administração contratante, no momento da assinatura do contrato, a fazer o desconto nas faturas e realizar os pagamentos dos salários e demais verbas trabalhistas diretamente aos trabalhadores, bem como das contribuições </w:t>
      </w:r>
      <w:r>
        <w:rPr>
          <w:rFonts w:ascii="Arial" w:eastAsia="Arial" w:hAnsi="Arial" w:cs="Arial"/>
          <w:sz w:val="20"/>
        </w:rPr>
        <w:t xml:space="preserve">previdenciárias e do FGTS, quando não demonstrado o cumprimento tempestivo e regular dessas obrigações, até o momento da regularização, sem prejuízo das sanções cabíveis. </w:t>
      </w:r>
    </w:p>
    <w:p w:rsidR="006C145C" w:rsidRDefault="00C62E5A">
      <w:pPr>
        <w:spacing w:after="152" w:line="270" w:lineRule="auto"/>
        <w:ind w:left="781" w:right="54" w:hanging="8"/>
        <w:jc w:val="both"/>
      </w:pPr>
      <w:r>
        <w:rPr>
          <w:rFonts w:ascii="Arial" w:eastAsia="Arial" w:hAnsi="Arial" w:cs="Arial"/>
          <w:sz w:val="20"/>
        </w:rPr>
        <w:t>13.15.1 Quando não for possível a realização desses pagamentos pela própria Administ</w:t>
      </w:r>
      <w:r>
        <w:rPr>
          <w:rFonts w:ascii="Arial" w:eastAsia="Arial" w:hAnsi="Arial" w:cs="Arial"/>
          <w:sz w:val="20"/>
        </w:rPr>
        <w:t>ração (ex.: por falta da documentação pertinente, tais como folha de pagamento, rescisões dos contratos e guias de recolhimento), os valores retidos cautelarmente serão depositados junto à Justiça do Trabalho, com o objetivo de serem utilizados exclusivame</w:t>
      </w:r>
      <w:r>
        <w:rPr>
          <w:rFonts w:ascii="Arial" w:eastAsia="Arial" w:hAnsi="Arial" w:cs="Arial"/>
          <w:sz w:val="20"/>
        </w:rPr>
        <w:t xml:space="preserve">nte no pagamento de salários e das demais verbas trabalhistas, bem como das contribuições sociais e FGTS decorrentes.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7" w:line="249" w:lineRule="auto"/>
        <w:ind w:left="-5" w:right="57" w:hanging="10"/>
        <w:jc w:val="both"/>
      </w:pPr>
      <w:r>
        <w:rPr>
          <w:rFonts w:ascii="Arial" w:eastAsia="Arial" w:hAnsi="Arial" w:cs="Arial"/>
          <w:b/>
          <w:i/>
          <w:sz w:val="20"/>
        </w:rPr>
        <w:t>Nota explicativa</w:t>
      </w:r>
      <w:r>
        <w:rPr>
          <w:rFonts w:ascii="Arial" w:eastAsia="Arial" w:hAnsi="Arial" w:cs="Arial"/>
          <w:i/>
          <w:sz w:val="20"/>
        </w:rPr>
        <w:t>: Excepcionalmente, em determinadas contratações, podem ser exigidos os atestados de antecedentes criminais ou outros qu</w:t>
      </w:r>
      <w:r>
        <w:rPr>
          <w:rFonts w:ascii="Arial" w:eastAsia="Arial" w:hAnsi="Arial" w:cs="Arial"/>
          <w:i/>
          <w:sz w:val="20"/>
        </w:rPr>
        <w:t xml:space="preserve">e forem pertinentes apenas quando  imprescindível à segurança de pessoas, bens, informações ou instalações, de forma motivada. </w:t>
      </w:r>
    </w:p>
    <w:p w:rsidR="006C145C" w:rsidRDefault="00C62E5A">
      <w:pPr>
        <w:spacing w:after="129" w:line="270" w:lineRule="auto"/>
        <w:ind w:left="5" w:right="54" w:hanging="8"/>
        <w:jc w:val="both"/>
      </w:pPr>
      <w:r>
        <w:rPr>
          <w:rFonts w:ascii="Arial" w:eastAsia="Arial" w:hAnsi="Arial" w:cs="Arial"/>
          <w:sz w:val="20"/>
        </w:rPr>
        <w:t>13.16 Não permitir que o empregado designado para trabalhar em um turno preste seus serviços no turno imediatamente subsequente;</w:t>
      </w:r>
      <w:r>
        <w:rPr>
          <w:rFonts w:ascii="Arial" w:eastAsia="Arial" w:hAnsi="Arial" w:cs="Arial"/>
          <w:sz w:val="20"/>
        </w:rPr>
        <w:t xml:space="preserve"> </w:t>
      </w:r>
    </w:p>
    <w:p w:rsidR="006C145C" w:rsidRDefault="00C62E5A">
      <w:pPr>
        <w:spacing w:after="129" w:line="270" w:lineRule="auto"/>
        <w:ind w:left="5" w:right="54" w:hanging="8"/>
        <w:jc w:val="both"/>
      </w:pPr>
      <w:r>
        <w:rPr>
          <w:rFonts w:ascii="Arial" w:eastAsia="Arial" w:hAnsi="Arial" w:cs="Arial"/>
          <w:sz w:val="20"/>
        </w:rPr>
        <w:t xml:space="preserve">13.17 Atender às solicitações da Contratante quanto à substituição dos empregados alocados, no prazo fixado pelo fiscal do contrato, nos casos em que ficar constatado descumprimento das obrigações relativas à execução do serviço, conforme descrito neste </w:t>
      </w:r>
      <w:r>
        <w:rPr>
          <w:rFonts w:ascii="Arial" w:eastAsia="Arial" w:hAnsi="Arial" w:cs="Arial"/>
          <w:sz w:val="20"/>
        </w:rPr>
        <w:t xml:space="preserve">Termo de Referência; </w:t>
      </w:r>
    </w:p>
    <w:p w:rsidR="006C145C" w:rsidRDefault="00C62E5A">
      <w:pPr>
        <w:spacing w:after="129" w:line="270" w:lineRule="auto"/>
        <w:ind w:left="5" w:right="54" w:hanging="8"/>
        <w:jc w:val="both"/>
      </w:pPr>
      <w:r>
        <w:rPr>
          <w:rFonts w:ascii="Arial" w:eastAsia="Arial" w:hAnsi="Arial" w:cs="Arial"/>
          <w:sz w:val="20"/>
        </w:rPr>
        <w:t xml:space="preserve">13.18 </w:t>
      </w:r>
      <w:r>
        <w:rPr>
          <w:rFonts w:ascii="Arial" w:eastAsia="Arial" w:hAnsi="Arial" w:cs="Arial"/>
          <w:sz w:val="20"/>
        </w:rPr>
        <w:tab/>
        <w:t xml:space="preserve">Instruir seus empregados quanto à necessidade de acatar as Normas Internas da Administração; </w:t>
      </w:r>
    </w:p>
    <w:p w:rsidR="006C145C" w:rsidRDefault="00C62E5A">
      <w:pPr>
        <w:spacing w:after="129" w:line="270" w:lineRule="auto"/>
        <w:ind w:left="5" w:right="54" w:hanging="8"/>
        <w:jc w:val="both"/>
      </w:pPr>
      <w:r>
        <w:rPr>
          <w:rFonts w:ascii="Arial" w:eastAsia="Arial" w:hAnsi="Arial" w:cs="Arial"/>
          <w:sz w:val="20"/>
        </w:rPr>
        <w:lastRenderedPageBreak/>
        <w:t>13.19 Instruir seus empregados a respeito das atividades a serem desempenhadas, alertando-os a não executar atividades não abrangidas</w:t>
      </w:r>
      <w:r>
        <w:rPr>
          <w:rFonts w:ascii="Arial" w:eastAsia="Arial" w:hAnsi="Arial" w:cs="Arial"/>
          <w:sz w:val="20"/>
        </w:rPr>
        <w:t xml:space="preserve"> pelo contrato, devendo a Contratada relatar à Contratante toda e qualquer ocorrência neste sentido, a fim de evitar desvio de função; </w:t>
      </w:r>
    </w:p>
    <w:p w:rsidR="006C145C" w:rsidRDefault="00C62E5A">
      <w:pPr>
        <w:spacing w:after="129" w:line="270" w:lineRule="auto"/>
        <w:ind w:left="5" w:right="54" w:hanging="8"/>
        <w:jc w:val="both"/>
      </w:pPr>
      <w:r>
        <w:rPr>
          <w:rFonts w:ascii="Arial" w:eastAsia="Arial" w:hAnsi="Arial" w:cs="Arial"/>
          <w:sz w:val="20"/>
        </w:rPr>
        <w:t xml:space="preserve">13.20  Instruir seus empregados, no início da execução contratual, quanto à obtenção das informações de seus interesses </w:t>
      </w:r>
      <w:r>
        <w:rPr>
          <w:rFonts w:ascii="Arial" w:eastAsia="Arial" w:hAnsi="Arial" w:cs="Arial"/>
          <w:sz w:val="20"/>
        </w:rPr>
        <w:t xml:space="preserve">junto aos órgãos públicos, relativas ao contrato de trabalho e obrigações a ele inerentes, adotando, entre outras, as seguintes medidas: </w:t>
      </w:r>
    </w:p>
    <w:p w:rsidR="006C145C" w:rsidRDefault="00C62E5A">
      <w:pPr>
        <w:spacing w:after="129" w:line="270" w:lineRule="auto"/>
        <w:ind w:left="781" w:right="54" w:hanging="8"/>
        <w:jc w:val="both"/>
      </w:pPr>
      <w:r>
        <w:rPr>
          <w:rFonts w:ascii="Arial" w:eastAsia="Arial" w:hAnsi="Arial" w:cs="Arial"/>
          <w:sz w:val="20"/>
        </w:rPr>
        <w:t xml:space="preserve">13.20.1 viabilizar o acesso de seus empregados, via internet, por meio de senha própria, aos sistemas da Previdência </w:t>
      </w:r>
      <w:r>
        <w:rPr>
          <w:rFonts w:ascii="Arial" w:eastAsia="Arial" w:hAnsi="Arial" w:cs="Arial"/>
          <w:sz w:val="20"/>
        </w:rPr>
        <w:t xml:space="preserve">Social e da Receita do Brasil, com o objetivo de verificar se as suas contribuições previdenciárias foram recolhidas, no prazo máximo de 60 (sessenta) dias, contados do início da prestação dos serviços ou da admissão do empregado; </w:t>
      </w:r>
    </w:p>
    <w:p w:rsidR="006C145C" w:rsidRDefault="00C62E5A">
      <w:pPr>
        <w:spacing w:after="129" w:line="270" w:lineRule="auto"/>
        <w:ind w:left="781" w:right="54" w:hanging="8"/>
        <w:jc w:val="both"/>
      </w:pPr>
      <w:r>
        <w:rPr>
          <w:rFonts w:ascii="Arial" w:eastAsia="Arial" w:hAnsi="Arial" w:cs="Arial"/>
          <w:sz w:val="20"/>
        </w:rPr>
        <w:t>13.20.2 viabilizar a emi</w:t>
      </w:r>
      <w:r>
        <w:rPr>
          <w:rFonts w:ascii="Arial" w:eastAsia="Arial" w:hAnsi="Arial" w:cs="Arial"/>
          <w:sz w:val="20"/>
        </w:rPr>
        <w:t xml:space="preserve">ssão do cartão cidadão pela Caixa Econômica Federal para todos os empregados, no prazo máximo de 60 (sessenta) dias, contados do início da prestação dos serviços ou da admissão do empregado; </w:t>
      </w:r>
    </w:p>
    <w:p w:rsidR="006C145C" w:rsidRDefault="00C62E5A">
      <w:pPr>
        <w:spacing w:after="129" w:line="270" w:lineRule="auto"/>
        <w:ind w:left="781" w:right="54" w:hanging="8"/>
        <w:jc w:val="both"/>
      </w:pPr>
      <w:r>
        <w:rPr>
          <w:rFonts w:ascii="Arial" w:eastAsia="Arial" w:hAnsi="Arial" w:cs="Arial"/>
          <w:sz w:val="20"/>
        </w:rPr>
        <w:t>13.20.3  oferecer todos os meios necessários aos seus empregados</w:t>
      </w:r>
      <w:r>
        <w:rPr>
          <w:rFonts w:ascii="Arial" w:eastAsia="Arial" w:hAnsi="Arial" w:cs="Arial"/>
          <w:sz w:val="20"/>
        </w:rPr>
        <w:t xml:space="preserve"> para a obtenção de extratos de recolhimentos de seus direitos sociais, preferencialmente por meio eletrônico, quando disponível. </w:t>
      </w:r>
    </w:p>
    <w:p w:rsidR="006C145C" w:rsidRDefault="00C62E5A">
      <w:pPr>
        <w:spacing w:after="129" w:line="270" w:lineRule="auto"/>
        <w:ind w:left="5" w:right="54" w:hanging="8"/>
        <w:jc w:val="both"/>
      </w:pPr>
      <w:r>
        <w:rPr>
          <w:rFonts w:ascii="Arial" w:eastAsia="Arial" w:hAnsi="Arial" w:cs="Arial"/>
          <w:sz w:val="20"/>
        </w:rPr>
        <w:t>13.21 Manter preposto nos locais de prestação de serviço, aceito pela Administração, para representá-la na execução do contra</w:t>
      </w:r>
      <w:r>
        <w:rPr>
          <w:rFonts w:ascii="Arial" w:eastAsia="Arial" w:hAnsi="Arial" w:cs="Arial"/>
          <w:sz w:val="20"/>
        </w:rPr>
        <w:t xml:space="preserve">to; </w:t>
      </w:r>
    </w:p>
    <w:p w:rsidR="006C145C" w:rsidRDefault="00C62E5A">
      <w:pPr>
        <w:spacing w:after="129" w:line="270" w:lineRule="auto"/>
        <w:ind w:left="5" w:right="54" w:hanging="8"/>
        <w:jc w:val="both"/>
      </w:pPr>
      <w:r>
        <w:rPr>
          <w:rFonts w:ascii="Arial" w:eastAsia="Arial" w:hAnsi="Arial" w:cs="Arial"/>
          <w:sz w:val="20"/>
        </w:rPr>
        <w:t xml:space="preserve">13.22 Relatar à Contratante toda e qualquer irregularidade verificada no decorrer da prestação dos serviços; </w:t>
      </w:r>
    </w:p>
    <w:p w:rsidR="006C145C" w:rsidRDefault="00C62E5A">
      <w:pPr>
        <w:spacing w:after="129" w:line="270" w:lineRule="auto"/>
        <w:ind w:left="5" w:right="54" w:hanging="8"/>
        <w:jc w:val="both"/>
      </w:pPr>
      <w:r>
        <w:rPr>
          <w:rFonts w:ascii="Arial" w:eastAsia="Arial" w:hAnsi="Arial" w:cs="Arial"/>
          <w:sz w:val="20"/>
        </w:rPr>
        <w:t xml:space="preserve">13.23 Fornecer, sempre que solicitados pela Contratante, os comprovantes do cumprimento das obrigações previdenciárias, do Fundo de Garantia </w:t>
      </w:r>
      <w:r>
        <w:rPr>
          <w:rFonts w:ascii="Arial" w:eastAsia="Arial" w:hAnsi="Arial" w:cs="Arial"/>
          <w:sz w:val="20"/>
        </w:rPr>
        <w:t xml:space="preserve">do Tempo de Serviço - FGTS, e do pagamento dos salários e demais benefícios trabalhistas dos empregados colocados à disposição da Contratante; </w:t>
      </w:r>
    </w:p>
    <w:p w:rsidR="006C145C" w:rsidRDefault="00C62E5A">
      <w:pPr>
        <w:spacing w:after="129" w:line="270" w:lineRule="auto"/>
        <w:ind w:left="781" w:right="54" w:hanging="8"/>
        <w:jc w:val="both"/>
      </w:pPr>
      <w:r>
        <w:rPr>
          <w:rFonts w:ascii="Arial" w:eastAsia="Arial" w:hAnsi="Arial" w:cs="Arial"/>
          <w:sz w:val="20"/>
        </w:rPr>
        <w:t>13.23.1 A ausência da documentação pertinente ou da comprovação do cumprimento das obrigações trabalhistas, prev</w:t>
      </w:r>
      <w:r>
        <w:rPr>
          <w:rFonts w:ascii="Arial" w:eastAsia="Arial" w:hAnsi="Arial" w:cs="Arial"/>
          <w:sz w:val="20"/>
        </w:rPr>
        <w:t xml:space="preserve">idenciárias e relativas ao FGTS implicará a retenção do pagamento da fatura mensal, em valor proporcional ao inadimplemento, mediante prévia comunicação, até que a situação seja regularizada, sem prejuízo das demais sanções cabíveis. </w:t>
      </w:r>
    </w:p>
    <w:p w:rsidR="006C145C" w:rsidRDefault="00C62E5A">
      <w:pPr>
        <w:spacing w:after="129" w:line="270" w:lineRule="auto"/>
        <w:ind w:left="1141" w:right="54" w:hanging="8"/>
        <w:jc w:val="both"/>
      </w:pPr>
      <w:r>
        <w:rPr>
          <w:rFonts w:ascii="Arial" w:eastAsia="Arial" w:hAnsi="Arial" w:cs="Arial"/>
          <w:sz w:val="20"/>
        </w:rPr>
        <w:t xml:space="preserve">13.23.2 Ultrapassado </w:t>
      </w:r>
      <w:r>
        <w:rPr>
          <w:rFonts w:ascii="Arial" w:eastAsia="Arial" w:hAnsi="Arial" w:cs="Arial"/>
          <w:sz w:val="20"/>
        </w:rPr>
        <w:t>o prazo de 15 (quinze) dias, contados na comunicação mencionada no subitem anterior, sem a regularização da falta, a Administração poderá efetuar o pagamento das obrigações diretamente aos empregados da contratada que tenham participado da execução dos ser</w:t>
      </w:r>
      <w:r>
        <w:rPr>
          <w:rFonts w:ascii="Arial" w:eastAsia="Arial" w:hAnsi="Arial" w:cs="Arial"/>
          <w:sz w:val="20"/>
        </w:rPr>
        <w:t xml:space="preserve">viços objeto do contrato, sem prejuízo das demais sanções cabíveis. </w:t>
      </w:r>
    </w:p>
    <w:p w:rsidR="006C145C" w:rsidRDefault="00C62E5A">
      <w:pPr>
        <w:spacing w:after="152" w:line="270" w:lineRule="auto"/>
        <w:ind w:left="1710" w:right="54" w:hanging="8"/>
        <w:jc w:val="both"/>
      </w:pPr>
      <w:r>
        <w:rPr>
          <w:rFonts w:ascii="Arial" w:eastAsia="Arial" w:hAnsi="Arial" w:cs="Arial"/>
          <w:sz w:val="20"/>
        </w:rPr>
        <w:t xml:space="preserve">13.23.2.1 O sindicato representante da categoria do trabalhador deverá ser notificado pela contratante para acompanhar o pagamento das respectivas verbas.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4" w:line="249" w:lineRule="auto"/>
        <w:ind w:left="370" w:right="57" w:hanging="10"/>
        <w:jc w:val="both"/>
      </w:pPr>
      <w:r>
        <w:rPr>
          <w:rFonts w:ascii="Arial" w:eastAsia="Arial" w:hAnsi="Arial" w:cs="Arial"/>
          <w:b/>
          <w:i/>
          <w:sz w:val="20"/>
        </w:rPr>
        <w:t>Nota explicativa</w:t>
      </w:r>
      <w:r>
        <w:rPr>
          <w:rFonts w:ascii="Arial" w:eastAsia="Arial" w:hAnsi="Arial" w:cs="Arial"/>
          <w:i/>
          <w:sz w:val="20"/>
        </w:rPr>
        <w:t>: Como a fiscal</w:t>
      </w:r>
      <w:r>
        <w:rPr>
          <w:rFonts w:ascii="Arial" w:eastAsia="Arial" w:hAnsi="Arial" w:cs="Arial"/>
          <w:i/>
          <w:sz w:val="20"/>
        </w:rPr>
        <w:t xml:space="preserve">ização é por amostragem, a documentação deve ser encaminhada quando solicitada pela Administração.  </w:t>
      </w:r>
    </w:p>
    <w:p w:rsidR="006C145C" w:rsidRDefault="00C62E5A">
      <w:pPr>
        <w:spacing w:after="117" w:line="280" w:lineRule="auto"/>
        <w:ind w:left="420" w:hanging="10"/>
      </w:pPr>
      <w:r>
        <w:rPr>
          <w:rFonts w:ascii="Arial" w:eastAsia="Arial" w:hAnsi="Arial" w:cs="Arial"/>
          <w:sz w:val="20"/>
        </w:rPr>
        <w:t xml:space="preserve">13.24 </w:t>
      </w:r>
      <w:r>
        <w:rPr>
          <w:rFonts w:ascii="Arial" w:eastAsia="Arial" w:hAnsi="Arial" w:cs="Arial"/>
          <w:sz w:val="20"/>
        </w:rPr>
        <w:tab/>
      </w:r>
      <w:r>
        <w:rPr>
          <w:rFonts w:ascii="Arial" w:eastAsia="Arial" w:hAnsi="Arial" w:cs="Arial"/>
          <w:sz w:val="20"/>
        </w:rPr>
        <w:t xml:space="preserve">Não permitir a utilização de qualquer trabalho do menor de dezesseis anos, exceto na condição de aprendiz para os maiores de quatorze anos; nem permitir a utilização do trabalho do menor de dezoito anos em trabalho noturno, perigoso ou insalubre; </w:t>
      </w:r>
    </w:p>
    <w:p w:rsidR="006C145C" w:rsidRDefault="00C62E5A">
      <w:pPr>
        <w:spacing w:after="129" w:line="270" w:lineRule="auto"/>
        <w:ind w:left="433" w:right="54" w:hanging="8"/>
        <w:jc w:val="both"/>
      </w:pPr>
      <w:r>
        <w:rPr>
          <w:rFonts w:ascii="Arial" w:eastAsia="Arial" w:hAnsi="Arial" w:cs="Arial"/>
          <w:sz w:val="20"/>
        </w:rPr>
        <w:t>13.25  M</w:t>
      </w:r>
      <w:r>
        <w:rPr>
          <w:rFonts w:ascii="Arial" w:eastAsia="Arial" w:hAnsi="Arial" w:cs="Arial"/>
          <w:sz w:val="20"/>
        </w:rPr>
        <w:t xml:space="preserve">anter durante toda a vigência do contrato, em compatibilidade com as obrigações assumidas, todas as condições de habilitação e qualificação exigidas na licitação; </w:t>
      </w:r>
    </w:p>
    <w:p w:rsidR="006C145C" w:rsidRDefault="00C62E5A">
      <w:pPr>
        <w:spacing w:after="129" w:line="270" w:lineRule="auto"/>
        <w:ind w:left="433" w:right="54" w:hanging="8"/>
        <w:jc w:val="both"/>
      </w:pPr>
      <w:r>
        <w:rPr>
          <w:rFonts w:ascii="Arial" w:eastAsia="Arial" w:hAnsi="Arial" w:cs="Arial"/>
          <w:sz w:val="20"/>
        </w:rPr>
        <w:t xml:space="preserve">13.26 </w:t>
      </w:r>
      <w:r>
        <w:rPr>
          <w:rFonts w:ascii="Arial" w:eastAsia="Arial" w:hAnsi="Arial" w:cs="Arial"/>
          <w:sz w:val="20"/>
        </w:rPr>
        <w:tab/>
        <w:t>Guardar sigilo sobre todas as informações obtidas em decorrência do cumprimento do co</w:t>
      </w:r>
      <w:r>
        <w:rPr>
          <w:rFonts w:ascii="Arial" w:eastAsia="Arial" w:hAnsi="Arial" w:cs="Arial"/>
          <w:sz w:val="20"/>
        </w:rPr>
        <w:t xml:space="preserve">ntrato; </w:t>
      </w:r>
    </w:p>
    <w:p w:rsidR="006C145C" w:rsidRDefault="00C62E5A">
      <w:pPr>
        <w:spacing w:after="129" w:line="270" w:lineRule="auto"/>
        <w:ind w:left="433" w:right="54" w:hanging="8"/>
        <w:jc w:val="both"/>
      </w:pPr>
      <w:r>
        <w:rPr>
          <w:rFonts w:ascii="Arial" w:eastAsia="Arial" w:hAnsi="Arial" w:cs="Arial"/>
          <w:sz w:val="20"/>
        </w:rPr>
        <w:t xml:space="preserve">13.27 Não beneficiar-se da condição de optante pelo Simples Nacional, salvo as exceções previstas no § 5º-C do art. 18 da Lei Complementar no 123, de 14 de dezembro de 2006;  </w:t>
      </w:r>
    </w:p>
    <w:p w:rsidR="006C145C" w:rsidRDefault="00C62E5A">
      <w:pPr>
        <w:spacing w:after="129" w:line="270" w:lineRule="auto"/>
        <w:ind w:left="433" w:right="54" w:hanging="8"/>
        <w:jc w:val="both"/>
      </w:pPr>
      <w:r>
        <w:rPr>
          <w:rFonts w:ascii="Arial" w:eastAsia="Arial" w:hAnsi="Arial" w:cs="Arial"/>
          <w:sz w:val="20"/>
        </w:rPr>
        <w:lastRenderedPageBreak/>
        <w:t xml:space="preserve">13.28 Comunicar formalmente à Receita Federal a assinatura do contrato </w:t>
      </w:r>
      <w:r>
        <w:rPr>
          <w:rFonts w:ascii="Arial" w:eastAsia="Arial" w:hAnsi="Arial" w:cs="Arial"/>
          <w:sz w:val="20"/>
        </w:rPr>
        <w:t>de prestação de serviços mediante cessão de mão de obra, salvo as exceções previstas no § 5º-C do art. 18 da Lei Complementar no 123, de 14 de dezembro de 2006, para fins de exclusão obrigatória do Simples Nacional a contar do mês seguinte ao da contrataçã</w:t>
      </w:r>
      <w:r>
        <w:rPr>
          <w:rFonts w:ascii="Arial" w:eastAsia="Arial" w:hAnsi="Arial" w:cs="Arial"/>
          <w:sz w:val="20"/>
        </w:rPr>
        <w:t xml:space="preserve">o, conforme previsão do art.17, XII, art.30, §1º, II e do art. 31, II, todos da LC 123, de 2006. </w:t>
      </w:r>
    </w:p>
    <w:p w:rsidR="006C145C" w:rsidRDefault="00C62E5A">
      <w:pPr>
        <w:spacing w:after="129" w:line="270" w:lineRule="auto"/>
        <w:ind w:left="1141" w:right="54" w:hanging="8"/>
        <w:jc w:val="both"/>
      </w:pPr>
      <w:r>
        <w:rPr>
          <w:rFonts w:ascii="Arial" w:eastAsia="Arial" w:hAnsi="Arial" w:cs="Arial"/>
          <w:sz w:val="20"/>
        </w:rPr>
        <w:t>13.28.1 Para efeito de comprovação da comunicação, a contratada deverá apresentar cópia do ofício enviado à Receita Federal do Brasil, com comprovante de entr</w:t>
      </w:r>
      <w:r>
        <w:rPr>
          <w:rFonts w:ascii="Arial" w:eastAsia="Arial" w:hAnsi="Arial" w:cs="Arial"/>
          <w:sz w:val="20"/>
        </w:rPr>
        <w:t xml:space="preserve">ega e recebimento, comunicando a assinatura do contrato de prestação de serviços mediante cessão de mão de obra, até o último dia útil do mês subsequente ao da ocorrência da situação de vedação. </w:t>
      </w:r>
    </w:p>
    <w:p w:rsidR="006C145C" w:rsidRDefault="00C62E5A">
      <w:pPr>
        <w:spacing w:after="152" w:line="270" w:lineRule="auto"/>
        <w:ind w:left="433" w:right="54" w:hanging="8"/>
        <w:jc w:val="both"/>
      </w:pPr>
      <w:r>
        <w:rPr>
          <w:rFonts w:ascii="Arial" w:eastAsia="Arial" w:hAnsi="Arial" w:cs="Arial"/>
          <w:sz w:val="20"/>
        </w:rPr>
        <w:t>13.29 Arcar com o ônus decorrente de eventual equívoco no di</w:t>
      </w:r>
      <w:r>
        <w:rPr>
          <w:rFonts w:ascii="Arial" w:eastAsia="Arial" w:hAnsi="Arial" w:cs="Arial"/>
          <w:sz w:val="20"/>
        </w:rPr>
        <w:t xml:space="preserve">mensionamento dos quantitativos de sua proposta, inclusive quanto aos custos variáveis decorrentes de fatores futuros e incertos, tais como os valores providos com o quantitativo de vale transporte, devendo complementá-los, caso o previsto inicialmente em </w:t>
      </w:r>
      <w:r>
        <w:rPr>
          <w:rFonts w:ascii="Arial" w:eastAsia="Arial" w:hAnsi="Arial" w:cs="Arial"/>
          <w:sz w:val="20"/>
        </w:rPr>
        <w:t xml:space="preserve">sua proposta não seja satisfatório para o atendimento do objeto da licitação, exceto quando ocorrer algum dos eventos arrolados nos incisos do § 1º do art. 57 da Lei nº 8.666, de 1993.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b/>
          <w:i/>
          <w:sz w:val="20"/>
        </w:rPr>
        <w:t>Nota explicativa:</w:t>
      </w:r>
      <w:r>
        <w:rPr>
          <w:rFonts w:ascii="Arial" w:eastAsia="Arial" w:hAnsi="Arial" w:cs="Arial"/>
          <w:i/>
          <w:sz w:val="20"/>
        </w:rPr>
        <w:t xml:space="preserve"> As cláusulas acima são as mínimas necessárias. A Ins</w:t>
      </w:r>
      <w:r>
        <w:rPr>
          <w:rFonts w:ascii="Arial" w:eastAsia="Arial" w:hAnsi="Arial" w:cs="Arial"/>
          <w:i/>
          <w:sz w:val="20"/>
        </w:rPr>
        <w:t xml:space="preserve">trução Normativa prevê obrigações específicas para os serviços de limpeza e conservação e de vigilância. Além disso, a regulamentação de cada profissão também pode trazer outras obrigações específicas, como no caso da exigência de contratação de seguro de </w:t>
      </w:r>
      <w:r>
        <w:rPr>
          <w:rFonts w:ascii="Arial" w:eastAsia="Arial" w:hAnsi="Arial" w:cs="Arial"/>
          <w:i/>
          <w:sz w:val="20"/>
        </w:rPr>
        <w:t xml:space="preserve">vida em grupo para os vigilantes. Por fim, também pode ser necessário que se arrolem outras obrigações conforme as necessidades peculiares do órgão a ser atendido e as especificações do serviço a ser executado.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Portanto, dependendo do objeto da licitação</w:t>
      </w:r>
      <w:r>
        <w:rPr>
          <w:rFonts w:ascii="Arial" w:eastAsia="Arial" w:hAnsi="Arial" w:cs="Arial"/>
          <w:i/>
          <w:sz w:val="20"/>
        </w:rPr>
        <w:t xml:space="preserve"> e das peculiaridades da contratação, as cláusulas de obrigações da Contratada sofrerão as devidas alterações.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5" w:line="249" w:lineRule="auto"/>
        <w:ind w:left="-5" w:right="57" w:hanging="10"/>
        <w:jc w:val="both"/>
      </w:pPr>
      <w:r>
        <w:rPr>
          <w:rFonts w:ascii="Arial" w:eastAsia="Arial" w:hAnsi="Arial" w:cs="Arial"/>
          <w:i/>
          <w:sz w:val="20"/>
        </w:rPr>
        <w:t>O órgão assessorado deve atentar que, dependendo do serviço a ser prestado, há especificidades de sustentabilidade a serem acrescentadas como obrigações da contratada, como as constantes dos artigos 6º e 7º do Decreto 7.746/12. Consultar, igualmente, a Ins</w:t>
      </w:r>
      <w:r>
        <w:rPr>
          <w:rFonts w:ascii="Arial" w:eastAsia="Arial" w:hAnsi="Arial" w:cs="Arial"/>
          <w:i/>
          <w:sz w:val="20"/>
        </w:rPr>
        <w:t xml:space="preserve">trução Normativa n. 01/2010, SLTI/MP. </w:t>
      </w:r>
    </w:p>
    <w:p w:rsidR="006C145C" w:rsidRDefault="00C62E5A">
      <w:pPr>
        <w:spacing w:after="129" w:line="270" w:lineRule="auto"/>
        <w:ind w:left="433" w:right="54" w:hanging="8"/>
        <w:jc w:val="both"/>
      </w:pPr>
      <w:r>
        <w:rPr>
          <w:rFonts w:ascii="Arial" w:eastAsia="Arial" w:hAnsi="Arial" w:cs="Arial"/>
          <w:sz w:val="20"/>
        </w:rPr>
        <w:t xml:space="preserve">13.30 Comunicar ao Fiscal do contrato, no prazo de 24 (vinte e quatro) horas, qualquer ocorrência anormal ou acidente que se verifique no local dos serviços. </w:t>
      </w:r>
    </w:p>
    <w:p w:rsidR="006C145C" w:rsidRDefault="00C62E5A">
      <w:pPr>
        <w:spacing w:after="129" w:line="270" w:lineRule="auto"/>
        <w:ind w:left="5" w:right="54" w:hanging="8"/>
        <w:jc w:val="both"/>
      </w:pPr>
      <w:r>
        <w:rPr>
          <w:rFonts w:ascii="Arial" w:eastAsia="Arial" w:hAnsi="Arial" w:cs="Arial"/>
          <w:sz w:val="20"/>
        </w:rPr>
        <w:t>13.31 Prestar todo esclarecimento ou informação solicitada</w:t>
      </w:r>
      <w:r>
        <w:rPr>
          <w:rFonts w:ascii="Arial" w:eastAsia="Arial" w:hAnsi="Arial" w:cs="Arial"/>
          <w:sz w:val="20"/>
        </w:rPr>
        <w:t xml:space="preserve"> pela Contratante ou por seus prepostos, garantindo-lhes o acesso, a qualquer tempo, ao local dos trabalhos, bem como aos documentos relativos à execução do serviço. </w:t>
      </w:r>
    </w:p>
    <w:p w:rsidR="006C145C" w:rsidRDefault="00C62E5A">
      <w:pPr>
        <w:spacing w:after="129" w:line="270" w:lineRule="auto"/>
        <w:ind w:left="5" w:right="54" w:hanging="8"/>
        <w:jc w:val="both"/>
      </w:pPr>
      <w:r>
        <w:rPr>
          <w:rFonts w:ascii="Arial" w:eastAsia="Arial" w:hAnsi="Arial" w:cs="Arial"/>
          <w:sz w:val="20"/>
        </w:rPr>
        <w:t>13.32 Prestar todo esclarecimento ou informação solicitada pela Contratante ou por seus p</w:t>
      </w:r>
      <w:r>
        <w:rPr>
          <w:rFonts w:ascii="Arial" w:eastAsia="Arial" w:hAnsi="Arial" w:cs="Arial"/>
          <w:sz w:val="20"/>
        </w:rPr>
        <w:t xml:space="preserve">repostos, garantindo-lhes o acesso, a qualquer tempo, ao local dos trabalhos, bem como aos documentos relativos à execução do serviço. </w:t>
      </w:r>
    </w:p>
    <w:p w:rsidR="006C145C" w:rsidRDefault="00C62E5A">
      <w:pPr>
        <w:spacing w:after="129" w:line="270" w:lineRule="auto"/>
        <w:ind w:left="5" w:right="54" w:hanging="8"/>
        <w:jc w:val="both"/>
      </w:pPr>
      <w:r>
        <w:rPr>
          <w:rFonts w:ascii="Arial" w:eastAsia="Arial" w:hAnsi="Arial" w:cs="Arial"/>
          <w:sz w:val="20"/>
        </w:rPr>
        <w:t xml:space="preserve">13.33 Paralisar, por determinação da Contratante, qualquer atividade que não esteja sendo executada de acordo com a boa </w:t>
      </w:r>
      <w:r>
        <w:rPr>
          <w:rFonts w:ascii="Arial" w:eastAsia="Arial" w:hAnsi="Arial" w:cs="Arial"/>
          <w:sz w:val="20"/>
        </w:rPr>
        <w:t xml:space="preserve">técnica ou que ponha em risco a segurança de pessoas ou bens de terceiros. </w:t>
      </w:r>
    </w:p>
    <w:p w:rsidR="006C145C" w:rsidRDefault="00C62E5A">
      <w:pPr>
        <w:spacing w:after="129" w:line="270" w:lineRule="auto"/>
        <w:ind w:left="5" w:right="54" w:hanging="8"/>
        <w:jc w:val="both"/>
      </w:pPr>
      <w:r>
        <w:rPr>
          <w:rFonts w:ascii="Arial" w:eastAsia="Arial" w:hAnsi="Arial" w:cs="Arial"/>
          <w:sz w:val="20"/>
        </w:rPr>
        <w:t xml:space="preserve">13.34 Promover a guarda, manutenção e vigilância de materiais, ferramentas, e tudo o que for necessário à execução dos serviços, durante a vigência do contrato. </w:t>
      </w:r>
    </w:p>
    <w:p w:rsidR="006C145C" w:rsidRDefault="00C62E5A">
      <w:pPr>
        <w:spacing w:after="129" w:line="270" w:lineRule="auto"/>
        <w:ind w:left="5" w:right="54" w:hanging="8"/>
        <w:jc w:val="both"/>
      </w:pPr>
      <w:r>
        <w:rPr>
          <w:rFonts w:ascii="Arial" w:eastAsia="Arial" w:hAnsi="Arial" w:cs="Arial"/>
          <w:sz w:val="20"/>
        </w:rPr>
        <w:t>13.35 Promover a o</w:t>
      </w:r>
      <w:r>
        <w:rPr>
          <w:rFonts w:ascii="Arial" w:eastAsia="Arial" w:hAnsi="Arial" w:cs="Arial"/>
          <w:sz w:val="20"/>
        </w:rPr>
        <w:t xml:space="preserve">rganização técnica e administrativa dos serviços, de modo a conduzi-los eficaz e eficientemente, de acordo com os documentos e especificações que integram este Termo de Referência, no prazo determinado. </w:t>
      </w:r>
    </w:p>
    <w:p w:rsidR="006C145C" w:rsidRDefault="00C62E5A">
      <w:pPr>
        <w:spacing w:after="129" w:line="270" w:lineRule="auto"/>
        <w:ind w:left="5" w:right="54" w:hanging="8"/>
        <w:jc w:val="both"/>
      </w:pPr>
      <w:r>
        <w:rPr>
          <w:rFonts w:ascii="Arial" w:eastAsia="Arial" w:hAnsi="Arial" w:cs="Arial"/>
          <w:sz w:val="20"/>
        </w:rPr>
        <w:t xml:space="preserve">13.36 Conduzir os trabalhos com estrita observância </w:t>
      </w:r>
      <w:r>
        <w:rPr>
          <w:rFonts w:ascii="Arial" w:eastAsia="Arial" w:hAnsi="Arial" w:cs="Arial"/>
          <w:sz w:val="20"/>
        </w:rPr>
        <w:t xml:space="preserve">às normas da legislação pertinente, cumprindo as determinações dos Poderes Públicos, mantendo sempre limpo o local dos serviços e nas melhores condições de segurança, higiene e disciplina. </w:t>
      </w:r>
    </w:p>
    <w:p w:rsidR="006C145C" w:rsidRDefault="00C62E5A">
      <w:pPr>
        <w:spacing w:after="129" w:line="270" w:lineRule="auto"/>
        <w:ind w:left="5" w:right="54" w:hanging="8"/>
        <w:jc w:val="both"/>
      </w:pPr>
      <w:r>
        <w:rPr>
          <w:rFonts w:ascii="Arial" w:eastAsia="Arial" w:hAnsi="Arial" w:cs="Arial"/>
          <w:sz w:val="20"/>
        </w:rPr>
        <w:t>13.37 Submeter previamente, por escrito, à Contratante, para análi</w:t>
      </w:r>
      <w:r>
        <w:rPr>
          <w:rFonts w:ascii="Arial" w:eastAsia="Arial" w:hAnsi="Arial" w:cs="Arial"/>
          <w:sz w:val="20"/>
        </w:rPr>
        <w:t xml:space="preserve">se e aprovação, qualquer mudança no método de execução do serviço que fuja das especificações constantes deste Termo de Referência. </w:t>
      </w:r>
    </w:p>
    <w:p w:rsidR="006C145C" w:rsidRDefault="00C62E5A">
      <w:pPr>
        <w:spacing w:after="117" w:line="280" w:lineRule="auto"/>
        <w:ind w:left="10" w:hanging="10"/>
      </w:pPr>
      <w:r>
        <w:rPr>
          <w:rFonts w:ascii="Arial" w:eastAsia="Arial" w:hAnsi="Arial" w:cs="Arial"/>
          <w:sz w:val="20"/>
        </w:rPr>
        <w:lastRenderedPageBreak/>
        <w:t xml:space="preserve">13.38 </w:t>
      </w:r>
      <w:r>
        <w:rPr>
          <w:rFonts w:ascii="Arial" w:eastAsia="Arial" w:hAnsi="Arial" w:cs="Arial"/>
          <w:sz w:val="20"/>
        </w:rPr>
        <w:tab/>
        <w:t>Não permitir a utilização de qualquer trabalho do menor de dezesseis anos, exceto na condição de aprendiz para os ma</w:t>
      </w:r>
      <w:r>
        <w:rPr>
          <w:rFonts w:ascii="Arial" w:eastAsia="Arial" w:hAnsi="Arial" w:cs="Arial"/>
          <w:sz w:val="20"/>
        </w:rPr>
        <w:t xml:space="preserve">iores de quatorze anos; nem permitir a utilização do trabalho do menor de dezoito anos em trabalho noturno, perigoso ou insalubre; </w:t>
      </w:r>
    </w:p>
    <w:p w:rsidR="006C145C" w:rsidRDefault="00C62E5A">
      <w:pPr>
        <w:spacing w:after="129" w:line="270" w:lineRule="auto"/>
        <w:ind w:left="5" w:right="54" w:hanging="8"/>
        <w:jc w:val="both"/>
      </w:pPr>
      <w:r>
        <w:rPr>
          <w:rFonts w:ascii="Arial" w:eastAsia="Arial" w:hAnsi="Arial" w:cs="Arial"/>
          <w:sz w:val="20"/>
        </w:rPr>
        <w:t>13.39  Manter durante toda a vigência do contrato, em compatibilidade com as obrigações assumidas, todas as condições de hab</w:t>
      </w:r>
      <w:r>
        <w:rPr>
          <w:rFonts w:ascii="Arial" w:eastAsia="Arial" w:hAnsi="Arial" w:cs="Arial"/>
          <w:sz w:val="20"/>
        </w:rPr>
        <w:t xml:space="preserve">ilitação e qualificação exigidas na licitação; </w:t>
      </w:r>
    </w:p>
    <w:p w:rsidR="006C145C" w:rsidRDefault="00C62E5A">
      <w:pPr>
        <w:spacing w:after="129" w:line="270" w:lineRule="auto"/>
        <w:ind w:left="5" w:right="54" w:hanging="8"/>
        <w:jc w:val="both"/>
      </w:pPr>
      <w:r>
        <w:rPr>
          <w:rFonts w:ascii="Arial" w:eastAsia="Arial" w:hAnsi="Arial" w:cs="Arial"/>
          <w:sz w:val="20"/>
        </w:rPr>
        <w:t>13.40 Cumprir, durante todo o período de execução do contrato, a reserva de cargos prevista em lei para pessoa com deficiência ou para reabilitado da Previdência Social, bem como as regras de acessibilidade p</w:t>
      </w:r>
      <w:r>
        <w:rPr>
          <w:rFonts w:ascii="Arial" w:eastAsia="Arial" w:hAnsi="Arial" w:cs="Arial"/>
          <w:sz w:val="20"/>
        </w:rPr>
        <w:t xml:space="preserve">revistas na legislação, quando a contratada houver se beneficiado da preferência estabelecida pela Lei nº 13.146, de 2015. </w:t>
      </w:r>
    </w:p>
    <w:p w:rsidR="006C145C" w:rsidRDefault="00C62E5A">
      <w:pPr>
        <w:spacing w:after="129" w:line="270" w:lineRule="auto"/>
        <w:ind w:left="5" w:right="54" w:hanging="8"/>
        <w:jc w:val="both"/>
      </w:pPr>
      <w:r>
        <w:rPr>
          <w:rFonts w:ascii="Arial" w:eastAsia="Arial" w:hAnsi="Arial" w:cs="Arial"/>
          <w:sz w:val="20"/>
        </w:rPr>
        <w:t xml:space="preserve">13.41 Guardar sigilo sobre todas as informações obtidas em decorrência do cumprimento do contrato; </w:t>
      </w:r>
    </w:p>
    <w:p w:rsidR="006C145C" w:rsidRDefault="00C62E5A">
      <w:pPr>
        <w:spacing w:after="129" w:line="270" w:lineRule="auto"/>
        <w:ind w:left="5" w:right="54" w:hanging="8"/>
        <w:jc w:val="both"/>
      </w:pPr>
      <w:r>
        <w:rPr>
          <w:rFonts w:ascii="Arial" w:eastAsia="Arial" w:hAnsi="Arial" w:cs="Arial"/>
          <w:sz w:val="20"/>
        </w:rPr>
        <w:t xml:space="preserve">13.42 </w:t>
      </w:r>
      <w:r>
        <w:rPr>
          <w:rFonts w:ascii="Arial" w:eastAsia="Arial" w:hAnsi="Arial" w:cs="Arial"/>
          <w:sz w:val="20"/>
        </w:rPr>
        <w:t>Arcar com o ônus decorrente de eventual equívoco no dimensionamento dos quantitativos de sua proposta, inclusive quanto aos custos variáveis decorrentes de fatores futuros e incertos, tais como os valores providos com o quantitativo de vale transporte, dev</w:t>
      </w:r>
      <w:r>
        <w:rPr>
          <w:rFonts w:ascii="Arial" w:eastAsia="Arial" w:hAnsi="Arial" w:cs="Arial"/>
          <w:sz w:val="20"/>
        </w:rPr>
        <w:t xml:space="preserve">endo complementá-los, caso o previsto inicialmente em sua proposta não seja satisfatório para o atendimento do objeto da licitação, exceto quando ocorrer algum dos eventos arrolados nos incisos do § 1º do art. 57 da Lei nº 8.666, de 1993. </w:t>
      </w:r>
    </w:p>
    <w:p w:rsidR="006C145C" w:rsidRDefault="00C62E5A">
      <w:pPr>
        <w:spacing w:after="129" w:line="270" w:lineRule="auto"/>
        <w:ind w:left="5" w:right="54" w:hanging="8"/>
        <w:jc w:val="both"/>
      </w:pPr>
      <w:r>
        <w:rPr>
          <w:rFonts w:ascii="Arial" w:eastAsia="Arial" w:hAnsi="Arial" w:cs="Arial"/>
          <w:sz w:val="20"/>
        </w:rPr>
        <w:t>13.43 Cumprir, a</w:t>
      </w:r>
      <w:r>
        <w:rPr>
          <w:rFonts w:ascii="Arial" w:eastAsia="Arial" w:hAnsi="Arial" w:cs="Arial"/>
          <w:sz w:val="20"/>
        </w:rPr>
        <w:t xml:space="preserve">lém dos postulados legais vigentes de âmbito federal, estadual ou municipal, as normas de segurança da Contratante; </w:t>
      </w:r>
    </w:p>
    <w:p w:rsidR="006C145C" w:rsidRDefault="00C62E5A">
      <w:pPr>
        <w:spacing w:after="158" w:line="270" w:lineRule="auto"/>
        <w:ind w:left="5" w:right="54" w:hanging="8"/>
        <w:jc w:val="both"/>
      </w:pPr>
      <w:r>
        <w:rPr>
          <w:rFonts w:ascii="Arial" w:eastAsia="Arial" w:hAnsi="Arial" w:cs="Arial"/>
          <w:sz w:val="20"/>
        </w:rPr>
        <w:t xml:space="preserve">13.44 </w:t>
      </w:r>
      <w:r>
        <w:rPr>
          <w:rFonts w:ascii="Arial" w:eastAsia="Arial" w:hAnsi="Arial" w:cs="Arial"/>
          <w:sz w:val="20"/>
        </w:rPr>
        <w:t xml:space="preserve">Prestar os serviços dentro dos parâmetros e rotinas estabelecidos, fornecendo todos os materiais, equipamentos e utensílios em quantidade, qualidade e tecnologia adequadas, com a observância às recomendações aceitas pela boa técnica, normas e legislação; </w:t>
      </w:r>
    </w:p>
    <w:p w:rsidR="006C145C" w:rsidRDefault="00C62E5A">
      <w:pPr>
        <w:spacing w:after="129" w:line="270" w:lineRule="auto"/>
        <w:ind w:left="5" w:right="54" w:hanging="8"/>
        <w:jc w:val="both"/>
      </w:pPr>
      <w:r>
        <w:rPr>
          <w:rFonts w:ascii="Arial" w:eastAsia="Arial" w:hAnsi="Arial" w:cs="Arial"/>
          <w:sz w:val="20"/>
        </w:rPr>
        <w:t xml:space="preserve">13.45 Assegurar à CONTRATANTE, em conformidade com o previsto no subitem 6.1, “a”e “b”, do Anexo VII – F da Instrução Normativa SEGES/MP nº 5, de 25/05/2017: </w:t>
      </w:r>
    </w:p>
    <w:p w:rsidR="006C145C" w:rsidRDefault="00C62E5A">
      <w:pPr>
        <w:spacing w:after="8" w:line="270" w:lineRule="auto"/>
        <w:ind w:left="1505" w:right="54" w:hanging="720"/>
        <w:jc w:val="both"/>
      </w:pPr>
      <w:r>
        <w:rPr>
          <w:rFonts w:ascii="Arial" w:eastAsia="Arial" w:hAnsi="Arial" w:cs="Arial"/>
          <w:sz w:val="20"/>
        </w:rPr>
        <w:t>13.45.1 O direito de propriedade intelectual dos produtos desenvolvidos, inclusive sobre as event</w:t>
      </w:r>
      <w:r>
        <w:rPr>
          <w:rFonts w:ascii="Arial" w:eastAsia="Arial" w:hAnsi="Arial" w:cs="Arial"/>
          <w:sz w:val="20"/>
        </w:rPr>
        <w:t xml:space="preserve">uais adequações e atualizações que vierem a ser realizadas, logo após o recebimento de cada parcela, de forma permanente, permitindo à Contratante distribuir, alterar e utilizar os mesmos sem limitações; </w:t>
      </w:r>
    </w:p>
    <w:p w:rsidR="006C145C" w:rsidRDefault="00C62E5A">
      <w:pPr>
        <w:spacing w:after="5" w:line="270" w:lineRule="auto"/>
        <w:ind w:left="1505" w:right="54" w:hanging="720"/>
        <w:jc w:val="both"/>
      </w:pPr>
      <w:r>
        <w:rPr>
          <w:rFonts w:ascii="Arial" w:eastAsia="Arial" w:hAnsi="Arial" w:cs="Arial"/>
          <w:sz w:val="20"/>
        </w:rPr>
        <w:t>13.45.2 Os direitos autorais da solução, do projeto</w:t>
      </w:r>
      <w:r>
        <w:rPr>
          <w:rFonts w:ascii="Arial" w:eastAsia="Arial" w:hAnsi="Arial" w:cs="Arial"/>
          <w:sz w:val="20"/>
        </w:rPr>
        <w:t>, de suas especificações técnicas, da documentação produzida e congêneres, e de todos os demais produtos gerados na execução do contrato, inclusive aqueles produzidos por terceiros subcontratados, ficando proibida a sua utilização sem que exista autorizaçã</w:t>
      </w:r>
      <w:r>
        <w:rPr>
          <w:rFonts w:ascii="Arial" w:eastAsia="Arial" w:hAnsi="Arial" w:cs="Arial"/>
          <w:sz w:val="20"/>
        </w:rPr>
        <w:t xml:space="preserve">o expressa da Contratante, sob pena de multa, sem prejuízo das sanções civis e penais cabíveis. </w:t>
      </w:r>
    </w:p>
    <w:p w:rsidR="006C145C" w:rsidRDefault="00C62E5A">
      <w:pPr>
        <w:spacing w:after="0" w:line="277" w:lineRule="auto"/>
        <w:ind w:left="1038" w:hanging="646"/>
      </w:pPr>
      <w:r>
        <w:rPr>
          <w:rFonts w:ascii="Arial" w:eastAsia="Arial" w:hAnsi="Arial" w:cs="Arial"/>
          <w:i/>
          <w:color w:val="FF0000"/>
          <w:sz w:val="20"/>
          <w:shd w:val="clear" w:color="auto" w:fill="D3D3D3"/>
        </w:rPr>
        <w:t>13.46 Comprovar, ao longo da vigência contratual, a regularidade fiscal das microempresas e/ou</w:t>
      </w:r>
      <w:r>
        <w:rPr>
          <w:rFonts w:ascii="Arial" w:eastAsia="Arial" w:hAnsi="Arial" w:cs="Arial"/>
          <w:i/>
          <w:color w:val="FF0000"/>
          <w:sz w:val="20"/>
        </w:rPr>
        <w:t xml:space="preserve"> </w:t>
      </w:r>
      <w:r>
        <w:rPr>
          <w:rFonts w:ascii="Arial" w:eastAsia="Arial" w:hAnsi="Arial" w:cs="Arial"/>
          <w:i/>
          <w:color w:val="FF0000"/>
          <w:sz w:val="20"/>
          <w:shd w:val="clear" w:color="auto" w:fill="D3D3D3"/>
        </w:rPr>
        <w:t>empresas de pequeno porte subcontratadas no decorrer da execução</w:t>
      </w:r>
      <w:r>
        <w:rPr>
          <w:rFonts w:ascii="Arial" w:eastAsia="Arial" w:hAnsi="Arial" w:cs="Arial"/>
          <w:i/>
          <w:color w:val="FF0000"/>
          <w:sz w:val="20"/>
          <w:shd w:val="clear" w:color="auto" w:fill="D3D3D3"/>
        </w:rPr>
        <w:t xml:space="preserve"> do contrato, quando</w:t>
      </w:r>
      <w:r>
        <w:rPr>
          <w:rFonts w:ascii="Arial" w:eastAsia="Arial" w:hAnsi="Arial" w:cs="Arial"/>
          <w:i/>
          <w:color w:val="FF0000"/>
          <w:sz w:val="20"/>
        </w:rPr>
        <w:t xml:space="preserve"> </w:t>
      </w:r>
      <w:r>
        <w:rPr>
          <w:rFonts w:ascii="Arial" w:eastAsia="Arial" w:hAnsi="Arial" w:cs="Arial"/>
          <w:i/>
          <w:color w:val="FF0000"/>
          <w:sz w:val="20"/>
          <w:shd w:val="clear" w:color="auto" w:fill="D3D3D3"/>
        </w:rPr>
        <w:t>se tratar da subcontratação prevista no artigo 48, II, da Lei Complementar n. 123, de 2006</w:t>
      </w:r>
      <w:r>
        <w:rPr>
          <w:rFonts w:ascii="Arial" w:eastAsia="Arial" w:hAnsi="Arial" w:cs="Arial"/>
          <w:i/>
          <w:color w:val="FF0000"/>
          <w:sz w:val="20"/>
        </w:rPr>
        <w:t xml:space="preserve"> </w:t>
      </w:r>
      <w:r>
        <w:rPr>
          <w:rFonts w:ascii="Arial" w:eastAsia="Arial" w:hAnsi="Arial" w:cs="Arial"/>
          <w:i/>
          <w:color w:val="FF0000"/>
          <w:sz w:val="20"/>
          <w:shd w:val="clear" w:color="auto" w:fill="D3D3D3"/>
        </w:rPr>
        <w:t>e artigo 7º do Decreto n. 8.538/2015.</w:t>
      </w:r>
      <w:r>
        <w:rPr>
          <w:rFonts w:ascii="Arial" w:eastAsia="Arial" w:hAnsi="Arial" w:cs="Arial"/>
          <w:i/>
          <w:color w:val="FF0000"/>
          <w:sz w:val="20"/>
        </w:rPr>
        <w:t xml:space="preserve"> </w:t>
      </w:r>
    </w:p>
    <w:p w:rsidR="006C145C" w:rsidRDefault="00C62E5A">
      <w:pPr>
        <w:spacing w:after="9" w:line="269" w:lineRule="auto"/>
        <w:ind w:left="1515" w:right="55" w:hanging="730"/>
        <w:jc w:val="both"/>
      </w:pPr>
      <w:r>
        <w:rPr>
          <w:rFonts w:ascii="Arial" w:eastAsia="Arial" w:hAnsi="Arial" w:cs="Arial"/>
          <w:i/>
          <w:color w:val="FF0000"/>
          <w:sz w:val="20"/>
          <w:shd w:val="clear" w:color="auto" w:fill="D3D3D3"/>
        </w:rPr>
        <w:t>13.46.1 Substituir a empresa subcontratada, no prazo máximo de trinta dias, na hipótese de</w:t>
      </w:r>
      <w:r>
        <w:rPr>
          <w:rFonts w:ascii="Arial" w:eastAsia="Arial" w:hAnsi="Arial" w:cs="Arial"/>
          <w:i/>
          <w:color w:val="FF0000"/>
          <w:sz w:val="20"/>
        </w:rPr>
        <w:t xml:space="preserve"> </w:t>
      </w:r>
      <w:r>
        <w:rPr>
          <w:rFonts w:ascii="Arial" w:eastAsia="Arial" w:hAnsi="Arial" w:cs="Arial"/>
          <w:i/>
          <w:color w:val="FF0000"/>
          <w:sz w:val="20"/>
          <w:shd w:val="clear" w:color="auto" w:fill="D3D3D3"/>
        </w:rPr>
        <w:t>extinção da su</w:t>
      </w:r>
      <w:r>
        <w:rPr>
          <w:rFonts w:ascii="Arial" w:eastAsia="Arial" w:hAnsi="Arial" w:cs="Arial"/>
          <w:i/>
          <w:color w:val="FF0000"/>
          <w:sz w:val="20"/>
          <w:shd w:val="clear" w:color="auto" w:fill="D3D3D3"/>
        </w:rPr>
        <w:t>bcontratação, mantendo o percentual originalmente subcontratado até</w:t>
      </w:r>
      <w:r>
        <w:rPr>
          <w:rFonts w:ascii="Arial" w:eastAsia="Arial" w:hAnsi="Arial" w:cs="Arial"/>
          <w:i/>
          <w:color w:val="FF0000"/>
          <w:sz w:val="20"/>
        </w:rPr>
        <w:t xml:space="preserve"> </w:t>
      </w:r>
      <w:r>
        <w:rPr>
          <w:rFonts w:ascii="Arial" w:eastAsia="Arial" w:hAnsi="Arial" w:cs="Arial"/>
          <w:i/>
          <w:color w:val="FF0000"/>
          <w:sz w:val="20"/>
          <w:shd w:val="clear" w:color="auto" w:fill="D3D3D3"/>
        </w:rPr>
        <w:t>a sua execução total, notificando o órgão ou entidade contratante, sob pena de</w:t>
      </w:r>
      <w:r>
        <w:rPr>
          <w:rFonts w:ascii="Arial" w:eastAsia="Arial" w:hAnsi="Arial" w:cs="Arial"/>
          <w:i/>
          <w:color w:val="FF0000"/>
          <w:sz w:val="20"/>
        </w:rPr>
        <w:t xml:space="preserve"> </w:t>
      </w:r>
      <w:r>
        <w:rPr>
          <w:rFonts w:ascii="Arial" w:eastAsia="Arial" w:hAnsi="Arial" w:cs="Arial"/>
          <w:i/>
          <w:color w:val="FF0000"/>
          <w:sz w:val="20"/>
          <w:shd w:val="clear" w:color="auto" w:fill="D3D3D3"/>
        </w:rPr>
        <w:t>rescisão, sem prejuízo das sanções cabíveis, ou a demonstrar a inviabilidade da</w:t>
      </w:r>
      <w:r>
        <w:rPr>
          <w:rFonts w:ascii="Arial" w:eastAsia="Arial" w:hAnsi="Arial" w:cs="Arial"/>
          <w:i/>
          <w:color w:val="FF0000"/>
          <w:sz w:val="20"/>
        </w:rPr>
        <w:t xml:space="preserve"> </w:t>
      </w:r>
      <w:r>
        <w:rPr>
          <w:rFonts w:ascii="Arial" w:eastAsia="Arial" w:hAnsi="Arial" w:cs="Arial"/>
          <w:i/>
          <w:color w:val="FF0000"/>
          <w:sz w:val="20"/>
          <w:shd w:val="clear" w:color="auto" w:fill="D3D3D3"/>
        </w:rPr>
        <w:t>substituição, hipótese em que</w:t>
      </w:r>
      <w:r>
        <w:rPr>
          <w:rFonts w:ascii="Arial" w:eastAsia="Arial" w:hAnsi="Arial" w:cs="Arial"/>
          <w:i/>
          <w:color w:val="FF0000"/>
          <w:sz w:val="20"/>
          <w:shd w:val="clear" w:color="auto" w:fill="D3D3D3"/>
        </w:rPr>
        <w:t xml:space="preserve"> ficará responsável pela execução da parcela</w:t>
      </w:r>
      <w:r>
        <w:rPr>
          <w:rFonts w:ascii="Arial" w:eastAsia="Arial" w:hAnsi="Arial" w:cs="Arial"/>
          <w:i/>
          <w:color w:val="FF0000"/>
          <w:sz w:val="20"/>
        </w:rPr>
        <w:t xml:space="preserve"> </w:t>
      </w:r>
      <w:r>
        <w:rPr>
          <w:rFonts w:ascii="Arial" w:eastAsia="Arial" w:hAnsi="Arial" w:cs="Arial"/>
          <w:i/>
          <w:color w:val="FF0000"/>
          <w:sz w:val="20"/>
          <w:shd w:val="clear" w:color="auto" w:fill="D3D3D3"/>
        </w:rPr>
        <w:t>originalmente subcontratada.</w:t>
      </w:r>
      <w:r>
        <w:rPr>
          <w:rFonts w:ascii="Arial" w:eastAsia="Arial" w:hAnsi="Arial" w:cs="Arial"/>
          <w:i/>
          <w:color w:val="FF0000"/>
          <w:sz w:val="20"/>
        </w:rPr>
        <w:t xml:space="preserve"> </w:t>
      </w:r>
    </w:p>
    <w:p w:rsidR="006C145C" w:rsidRDefault="00C62E5A">
      <w:pPr>
        <w:spacing w:after="155" w:line="269" w:lineRule="auto"/>
        <w:ind w:left="1515" w:right="55" w:hanging="730"/>
        <w:jc w:val="both"/>
      </w:pPr>
      <w:r>
        <w:rPr>
          <w:rFonts w:ascii="Arial" w:eastAsia="Arial" w:hAnsi="Arial" w:cs="Arial"/>
          <w:i/>
          <w:color w:val="FF0000"/>
          <w:sz w:val="20"/>
          <w:shd w:val="clear" w:color="auto" w:fill="D3D3D3"/>
        </w:rPr>
        <w:t>13.46.2 Responsabilizar-se pela padronização, pela compatibilidade, pelo gerenciamento</w:t>
      </w:r>
      <w:r>
        <w:rPr>
          <w:rFonts w:ascii="Arial" w:eastAsia="Arial" w:hAnsi="Arial" w:cs="Arial"/>
          <w:i/>
          <w:color w:val="FF0000"/>
          <w:sz w:val="20"/>
        </w:rPr>
        <w:t xml:space="preserve"> </w:t>
      </w:r>
      <w:r>
        <w:rPr>
          <w:rFonts w:ascii="Arial" w:eastAsia="Arial" w:hAnsi="Arial" w:cs="Arial"/>
          <w:i/>
          <w:color w:val="FF0000"/>
          <w:sz w:val="20"/>
          <w:shd w:val="clear" w:color="auto" w:fill="D3D3D3"/>
        </w:rPr>
        <w:t>centralizado e pela qualidade da subcontratação.</w:t>
      </w:r>
      <w:r>
        <w:rPr>
          <w:rFonts w:ascii="Arial" w:eastAsia="Arial" w:hAnsi="Arial" w:cs="Arial"/>
          <w:i/>
          <w:color w:val="FF0000"/>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b/>
          <w:i/>
          <w:sz w:val="20"/>
        </w:rPr>
        <w:t>Nota Explicativa</w:t>
      </w:r>
      <w:r>
        <w:rPr>
          <w:rFonts w:ascii="Arial" w:eastAsia="Arial" w:hAnsi="Arial" w:cs="Arial"/>
          <w:i/>
          <w:sz w:val="20"/>
        </w:rPr>
        <w:t>: As obrigações constantes nos itens acima devem ser mantidas no contrato quando a autoridade houver exigido, no instrumento convocatório e neste termo de referência, a subcontratação de micro ou pequenas empresas para a prestação de serviços, nos termos d</w:t>
      </w:r>
      <w:r>
        <w:rPr>
          <w:rFonts w:ascii="Arial" w:eastAsia="Arial" w:hAnsi="Arial" w:cs="Arial"/>
          <w:i/>
          <w:sz w:val="20"/>
        </w:rPr>
        <w:t xml:space="preserve">o art. 7º  do Decreto nº 8.538, de 2015. </w:t>
      </w:r>
    </w:p>
    <w:p w:rsidR="006C145C" w:rsidRDefault="00C62E5A">
      <w:pPr>
        <w:spacing w:after="158" w:line="269" w:lineRule="auto"/>
        <w:ind w:left="1038" w:right="55" w:hanging="646"/>
        <w:jc w:val="both"/>
      </w:pPr>
      <w:r>
        <w:rPr>
          <w:rFonts w:ascii="Arial" w:eastAsia="Arial" w:hAnsi="Arial" w:cs="Arial"/>
          <w:i/>
          <w:color w:val="FF0000"/>
          <w:sz w:val="20"/>
          <w:shd w:val="clear" w:color="auto" w:fill="D3D3D3"/>
        </w:rPr>
        <w:lastRenderedPageBreak/>
        <w:t>13.47 Realizar a transição contratual com transferência de conhecimento, tecnologia e técnicas</w:t>
      </w:r>
      <w:r>
        <w:rPr>
          <w:rFonts w:ascii="Arial" w:eastAsia="Arial" w:hAnsi="Arial" w:cs="Arial"/>
          <w:i/>
          <w:color w:val="FF0000"/>
          <w:sz w:val="20"/>
        </w:rPr>
        <w:t xml:space="preserve"> </w:t>
      </w:r>
      <w:r>
        <w:rPr>
          <w:rFonts w:ascii="Arial" w:eastAsia="Arial" w:hAnsi="Arial" w:cs="Arial"/>
          <w:i/>
          <w:color w:val="FF0000"/>
          <w:sz w:val="20"/>
          <w:shd w:val="clear" w:color="auto" w:fill="D3D3D3"/>
        </w:rPr>
        <w:t>empregadas, sem perda de informações, podendo exigir, inclusive, a capacitação dos</w:t>
      </w:r>
      <w:r>
        <w:rPr>
          <w:rFonts w:ascii="Arial" w:eastAsia="Arial" w:hAnsi="Arial" w:cs="Arial"/>
          <w:i/>
          <w:color w:val="FF0000"/>
          <w:sz w:val="20"/>
        </w:rPr>
        <w:t xml:space="preserve"> </w:t>
      </w:r>
      <w:r>
        <w:rPr>
          <w:rFonts w:ascii="Arial" w:eastAsia="Arial" w:hAnsi="Arial" w:cs="Arial"/>
          <w:i/>
          <w:color w:val="FF0000"/>
          <w:sz w:val="20"/>
          <w:shd w:val="clear" w:color="auto" w:fill="D3D3D3"/>
        </w:rPr>
        <w:t>técnicos da contratante ou da nova e</w:t>
      </w:r>
      <w:r>
        <w:rPr>
          <w:rFonts w:ascii="Arial" w:eastAsia="Arial" w:hAnsi="Arial" w:cs="Arial"/>
          <w:i/>
          <w:color w:val="FF0000"/>
          <w:sz w:val="20"/>
          <w:shd w:val="clear" w:color="auto" w:fill="D3D3D3"/>
        </w:rPr>
        <w:t>mpresa que continuará a execução dos serviços.</w:t>
      </w:r>
      <w:r>
        <w:rPr>
          <w:rFonts w:ascii="Arial" w:eastAsia="Arial" w:hAnsi="Arial" w:cs="Arial"/>
          <w:i/>
          <w:color w:val="FF0000"/>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b/>
          <w:i/>
          <w:sz w:val="20"/>
        </w:rPr>
        <w:t xml:space="preserve">Nota explicativa: </w:t>
      </w:r>
      <w:r>
        <w:rPr>
          <w:rFonts w:ascii="Arial" w:eastAsia="Arial" w:hAnsi="Arial" w:cs="Arial"/>
          <w:i/>
          <w:sz w:val="20"/>
        </w:rPr>
        <w:t>Dispõe a IN nº 05/2017, ANEXO V, item 2.5, alínea e, que na contratação de serviços de natureza intelectual ou outro serviço que o órgão ou entidade identifique a necessidade, deverá ser est</w:t>
      </w:r>
      <w:r>
        <w:rPr>
          <w:rFonts w:ascii="Arial" w:eastAsia="Arial" w:hAnsi="Arial" w:cs="Arial"/>
          <w:i/>
          <w:sz w:val="20"/>
        </w:rPr>
        <w:t>abelecida como obrigação da contratada realizar a transição contratual com transferência de conhecimento, tecnologia e técnicas empregadas, sem perda de informações, podendo exigir, inclusive, a capacitação dos técnicos da contratante ou da nova empresa qu</w:t>
      </w:r>
      <w:r>
        <w:rPr>
          <w:rFonts w:ascii="Arial" w:eastAsia="Arial" w:hAnsi="Arial" w:cs="Arial"/>
          <w:i/>
          <w:sz w:val="20"/>
        </w:rPr>
        <w:t xml:space="preserve">e continuará a execução dos serviços.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b/>
          <w:i/>
          <w:sz w:val="20"/>
        </w:rPr>
        <w:t>Nota explicativa:</w:t>
      </w:r>
      <w:r>
        <w:rPr>
          <w:rFonts w:ascii="Arial" w:eastAsia="Arial" w:hAnsi="Arial" w:cs="Arial"/>
          <w:i/>
          <w:sz w:val="20"/>
        </w:rPr>
        <w:t xml:space="preserve"> As cláusulas acima são as mínimas necessárias. A Instrução Normativa prevê obrigações específicas para os serviços de limpeza e conservação e de vigilância. Além disso, a regulamentação de cada profi</w:t>
      </w:r>
      <w:r>
        <w:rPr>
          <w:rFonts w:ascii="Arial" w:eastAsia="Arial" w:hAnsi="Arial" w:cs="Arial"/>
          <w:i/>
          <w:sz w:val="20"/>
        </w:rPr>
        <w:t>ssão também pode trazer outras obrigações específicas, como no caso da exigência de contratação de seguro de vida em grupo para os vigilantes. Por fim, também pode ser necessário que se arrolem outras obrigações conforme as necessidades peculiares do órgão</w:t>
      </w:r>
      <w:r>
        <w:rPr>
          <w:rFonts w:ascii="Arial" w:eastAsia="Arial" w:hAnsi="Arial" w:cs="Arial"/>
          <w:i/>
          <w:sz w:val="20"/>
        </w:rPr>
        <w:t xml:space="preserve"> a ser atendido e as especificações do serviço a ser executado.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 xml:space="preserve">Portanto, dependendo do objeto da licitação e das peculiaridades da contratação, as cláusulas de obrigações da Contratada sofrerão as devidas alterações.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505" w:line="249" w:lineRule="auto"/>
        <w:ind w:left="-5" w:right="57" w:hanging="10"/>
        <w:jc w:val="both"/>
      </w:pPr>
      <w:r>
        <w:rPr>
          <w:rFonts w:ascii="Arial" w:eastAsia="Arial" w:hAnsi="Arial" w:cs="Arial"/>
          <w:i/>
          <w:sz w:val="20"/>
        </w:rPr>
        <w:t>O órgão assessorado deve atentar q</w:t>
      </w:r>
      <w:r>
        <w:rPr>
          <w:rFonts w:ascii="Arial" w:eastAsia="Arial" w:hAnsi="Arial" w:cs="Arial"/>
          <w:i/>
          <w:sz w:val="20"/>
        </w:rPr>
        <w:t>ue, dependendo do serviço a ser prestado, há especificidades de sustentabilidade a serem acrescentadas como obrigações da contratada, como as constantes dos artigos 6º e 7º do Decreto 7.746/12. Consultar, igualmente, a Instrução Normativa n. 01/2010, SLTI/</w:t>
      </w:r>
      <w:r>
        <w:rPr>
          <w:rFonts w:ascii="Arial" w:eastAsia="Arial" w:hAnsi="Arial" w:cs="Arial"/>
          <w:i/>
          <w:sz w:val="20"/>
        </w:rPr>
        <w:t xml:space="preserve">MP. </w:t>
      </w:r>
    </w:p>
    <w:p w:rsidR="006C145C" w:rsidRDefault="00C62E5A">
      <w:pPr>
        <w:pStyle w:val="Ttulo6"/>
        <w:tabs>
          <w:tab w:val="center" w:pos="1356"/>
        </w:tabs>
        <w:spacing w:after="180"/>
        <w:ind w:left="-3" w:firstLine="0"/>
        <w:jc w:val="left"/>
      </w:pPr>
      <w:r>
        <w:t xml:space="preserve">14 </w:t>
      </w:r>
      <w:r>
        <w:tab/>
        <w:t xml:space="preserve">DA SUBCONTRATAÇÃO   </w:t>
      </w:r>
    </w:p>
    <w:p w:rsidR="006C145C" w:rsidRDefault="00C62E5A">
      <w:pPr>
        <w:pBdr>
          <w:top w:val="single" w:sz="4" w:space="0" w:color="000080"/>
          <w:left w:val="single" w:sz="4" w:space="0" w:color="000080"/>
          <w:right w:val="single" w:sz="4" w:space="0" w:color="000080"/>
        </w:pBdr>
        <w:shd w:val="clear" w:color="auto" w:fill="FFFFCC"/>
        <w:spacing w:after="122" w:line="241" w:lineRule="auto"/>
        <w:ind w:left="-5" w:right="60" w:hanging="10"/>
        <w:jc w:val="both"/>
      </w:pPr>
      <w:r>
        <w:rPr>
          <w:rFonts w:ascii="Arial" w:eastAsia="Arial" w:hAnsi="Arial" w:cs="Arial"/>
          <w:b/>
          <w:i/>
          <w:sz w:val="20"/>
        </w:rPr>
        <w:t xml:space="preserve">Nota Explicativa: </w:t>
      </w:r>
      <w:r>
        <w:rPr>
          <w:rFonts w:ascii="Arial" w:eastAsia="Arial" w:hAnsi="Arial" w:cs="Arial"/>
          <w:i/>
          <w:sz w:val="20"/>
        </w:rPr>
        <w:t xml:space="preserve">Dispõe a Lei nº 8.666/93, em seu art. 72, que a Contratada, na execução do contrato, sem prejuízo das responsabilidades contratuais e legais, poderá subcontratar partes do serviço ou fornecimento, até o limite admitido, em cada caso, pela Administração. A </w:t>
      </w:r>
      <w:r>
        <w:rPr>
          <w:rFonts w:ascii="Arial" w:eastAsia="Arial" w:hAnsi="Arial" w:cs="Arial"/>
          <w:i/>
          <w:sz w:val="20"/>
        </w:rPr>
        <w:t xml:space="preserve">subcontratação, desde que prevista no instrumento convocatório, possibilita que terceiro, que não participou do certame licitatório, realize parte do objeto. </w:t>
      </w:r>
    </w:p>
    <w:p w:rsidR="006C145C" w:rsidRDefault="00C62E5A">
      <w:pPr>
        <w:pBdr>
          <w:left w:val="single" w:sz="4" w:space="0" w:color="000080"/>
          <w:bottom w:val="single" w:sz="4" w:space="0" w:color="000080"/>
          <w:right w:val="single" w:sz="4" w:space="0" w:color="000080"/>
        </w:pBdr>
        <w:shd w:val="clear" w:color="auto" w:fill="FFFFCC"/>
        <w:spacing w:after="112" w:line="250" w:lineRule="auto"/>
        <w:ind w:left="-5" w:right="111" w:hanging="10"/>
        <w:jc w:val="both"/>
      </w:pPr>
      <w:r>
        <w:rPr>
          <w:rFonts w:ascii="Arial" w:eastAsia="Arial" w:hAnsi="Arial" w:cs="Arial"/>
          <w:i/>
          <w:sz w:val="20"/>
        </w:rPr>
        <w:t>À Administração contratante cabe, exercitando a previsão do edital, autorizar a subcontratação. E</w:t>
      </w:r>
      <w:r>
        <w:rPr>
          <w:rFonts w:ascii="Arial" w:eastAsia="Arial" w:hAnsi="Arial" w:cs="Arial"/>
          <w:i/>
          <w:sz w:val="20"/>
        </w:rPr>
        <w:t>sta, mais do que possível, é desejável, na medida em que o Termo de Referência demonstrou-lhe a necessidade, de acordo com a complexidade do objeto, cuja execução carece de especialização encontrável na subcontratada. Por isto que a Administração autorizar</w:t>
      </w:r>
      <w:r>
        <w:rPr>
          <w:rFonts w:ascii="Arial" w:eastAsia="Arial" w:hAnsi="Arial" w:cs="Arial"/>
          <w:i/>
          <w:sz w:val="20"/>
        </w:rPr>
        <w:t xml:space="preserve">á e dimensionará a subcontratação mediante ato motivado, a comprovar que atende às recomendações do Termo de Referência e convém à consecução das finalidades do contrato. Caso admitida, cabe ao Termo de Referência estabelecer com detalhamento seus limites </w:t>
      </w:r>
      <w:r>
        <w:rPr>
          <w:rFonts w:ascii="Arial" w:eastAsia="Arial" w:hAnsi="Arial" w:cs="Arial"/>
          <w:i/>
          <w:sz w:val="20"/>
        </w:rPr>
        <w:t xml:space="preserve">e condições. </w:t>
      </w:r>
    </w:p>
    <w:p w:rsidR="006C145C" w:rsidRDefault="00C62E5A">
      <w:pPr>
        <w:pBdr>
          <w:left w:val="single" w:sz="4" w:space="0" w:color="000080"/>
          <w:bottom w:val="single" w:sz="4" w:space="0" w:color="000080"/>
          <w:right w:val="single" w:sz="4" w:space="0" w:color="000080"/>
        </w:pBdr>
        <w:shd w:val="clear" w:color="auto" w:fill="FFFFCC"/>
        <w:spacing w:after="112" w:line="250" w:lineRule="auto"/>
        <w:ind w:left="-5" w:right="111" w:hanging="10"/>
        <w:jc w:val="both"/>
      </w:pPr>
      <w:r>
        <w:rPr>
          <w:rFonts w:ascii="Arial" w:eastAsia="Arial" w:hAnsi="Arial" w:cs="Arial"/>
          <w:i/>
          <w:sz w:val="20"/>
        </w:rPr>
        <w:t>Quando a qualificação técnica da empresa for fator preponderante para sua contratação, e a subcontratação for admitida, é imprescindível que se exija o cumprimento dos mesmos requisitos por parte da subcontratada (Acórdão n° 1.229/2008 – Plen</w:t>
      </w:r>
      <w:r>
        <w:rPr>
          <w:rFonts w:ascii="Arial" w:eastAsia="Arial" w:hAnsi="Arial" w:cs="Arial"/>
          <w:i/>
          <w:sz w:val="20"/>
        </w:rPr>
        <w:t xml:space="preserve">ário do TCU). </w:t>
      </w:r>
    </w:p>
    <w:p w:rsidR="006C145C" w:rsidRDefault="00C62E5A">
      <w:pPr>
        <w:pBdr>
          <w:left w:val="single" w:sz="4" w:space="0" w:color="000080"/>
          <w:bottom w:val="single" w:sz="4" w:space="0" w:color="000080"/>
          <w:right w:val="single" w:sz="4" w:space="0" w:color="000080"/>
        </w:pBdr>
        <w:shd w:val="clear" w:color="auto" w:fill="FFFFCC"/>
        <w:spacing w:after="112" w:line="250" w:lineRule="auto"/>
        <w:ind w:left="-5" w:right="111" w:hanging="10"/>
        <w:jc w:val="both"/>
      </w:pPr>
      <w:r>
        <w:rPr>
          <w:rFonts w:ascii="Arial" w:eastAsia="Arial" w:hAnsi="Arial" w:cs="Arial"/>
          <w:i/>
          <w:sz w:val="20"/>
        </w:rPr>
        <w:t xml:space="preserve">Veja-se excerto do Acórdão n° 1.941/2006 – Plenário do TCU: </w:t>
      </w:r>
    </w:p>
    <w:p w:rsidR="006C145C" w:rsidRDefault="00C62E5A">
      <w:pPr>
        <w:pBdr>
          <w:left w:val="single" w:sz="4" w:space="0" w:color="000080"/>
          <w:bottom w:val="single" w:sz="4" w:space="0" w:color="000080"/>
          <w:right w:val="single" w:sz="4" w:space="0" w:color="000080"/>
        </w:pBdr>
        <w:shd w:val="clear" w:color="auto" w:fill="FFFFCC"/>
        <w:spacing w:after="112" w:line="250" w:lineRule="auto"/>
        <w:ind w:left="-5" w:right="111" w:hanging="10"/>
        <w:jc w:val="both"/>
      </w:pPr>
      <w:r>
        <w:rPr>
          <w:rFonts w:ascii="Arial" w:eastAsia="Arial" w:hAnsi="Arial" w:cs="Arial"/>
          <w:i/>
          <w:sz w:val="20"/>
        </w:rPr>
        <w:t>“9.1.3.5. fundamente adequadamente os atos de aceitação ou rejeição das empresas subcontratadas, em conformidade com os limites e condições que devem ser estabelecidos previamente nos editais de licitação, em consonância com o disposto no art. 72 da Lei n.</w:t>
      </w:r>
      <w:r>
        <w:rPr>
          <w:rFonts w:ascii="Arial" w:eastAsia="Arial" w:hAnsi="Arial" w:cs="Arial"/>
          <w:i/>
          <w:sz w:val="20"/>
        </w:rPr>
        <w:t xml:space="preserve"> 8.666/1993, mormente quando as subcontratações referirem-se a partes da obra para as quais forem exigidas, no instrumento convocatório, qualificação técnica da empresa licitante;” </w:t>
      </w:r>
    </w:p>
    <w:p w:rsidR="006C145C" w:rsidRDefault="00C62E5A">
      <w:pPr>
        <w:pBdr>
          <w:left w:val="single" w:sz="4" w:space="0" w:color="000080"/>
          <w:bottom w:val="single" w:sz="4" w:space="0" w:color="000080"/>
          <w:right w:val="single" w:sz="4" w:space="0" w:color="000080"/>
        </w:pBdr>
        <w:shd w:val="clear" w:color="auto" w:fill="FFFFCC"/>
        <w:spacing w:after="502" w:line="250" w:lineRule="auto"/>
        <w:ind w:left="-5" w:right="111" w:hanging="10"/>
        <w:jc w:val="both"/>
      </w:pPr>
      <w:r>
        <w:rPr>
          <w:rFonts w:ascii="Arial" w:eastAsia="Arial" w:hAnsi="Arial" w:cs="Arial"/>
          <w:i/>
          <w:sz w:val="20"/>
        </w:rPr>
        <w:t>A redação que segue é meramente ilustrativa e contempla a vedação à subcon</w:t>
      </w:r>
      <w:r>
        <w:rPr>
          <w:rFonts w:ascii="Arial" w:eastAsia="Arial" w:hAnsi="Arial" w:cs="Arial"/>
          <w:i/>
          <w:sz w:val="20"/>
        </w:rPr>
        <w:t xml:space="preserve">tratação, assim como a subcontratação parcial do objeto.  </w:t>
      </w:r>
    </w:p>
    <w:p w:rsidR="006C145C" w:rsidRDefault="00C62E5A">
      <w:pPr>
        <w:spacing w:after="1" w:line="402" w:lineRule="auto"/>
        <w:ind w:left="425" w:right="3106" w:hanging="142"/>
        <w:jc w:val="both"/>
      </w:pPr>
      <w:r>
        <w:rPr>
          <w:rFonts w:ascii="Arial" w:eastAsia="Arial" w:hAnsi="Arial" w:cs="Arial"/>
          <w:i/>
          <w:color w:val="FF0000"/>
          <w:sz w:val="20"/>
        </w:rPr>
        <w:t xml:space="preserve">14.1  Não será admitida a subcontratação do objeto licitatório. Ou </w:t>
      </w:r>
    </w:p>
    <w:p w:rsidR="006C145C" w:rsidRDefault="00C62E5A">
      <w:pPr>
        <w:spacing w:after="8" w:line="270" w:lineRule="auto"/>
        <w:ind w:left="360" w:right="58" w:hanging="360"/>
        <w:jc w:val="both"/>
      </w:pPr>
      <w:r>
        <w:rPr>
          <w:rFonts w:ascii="Arial" w:eastAsia="Arial" w:hAnsi="Arial" w:cs="Arial"/>
          <w:color w:val="FF0000"/>
          <w:sz w:val="18"/>
        </w:rPr>
        <w:t xml:space="preserve">14.1 </w:t>
      </w:r>
      <w:r>
        <w:rPr>
          <w:rFonts w:ascii="Arial" w:eastAsia="Arial" w:hAnsi="Arial" w:cs="Arial"/>
          <w:i/>
          <w:color w:val="FF0000"/>
          <w:sz w:val="20"/>
        </w:rPr>
        <w:t xml:space="preserve">É permitida a subcontratação parcial do objeto, até o limite de ......%(..... por cento) do valor total do contrato, nas seguintes condições: </w:t>
      </w:r>
    </w:p>
    <w:p w:rsidR="006C145C" w:rsidRDefault="00C62E5A">
      <w:pPr>
        <w:spacing w:after="8" w:line="270" w:lineRule="auto"/>
        <w:ind w:left="10" w:right="58" w:hanging="10"/>
        <w:jc w:val="both"/>
      </w:pPr>
      <w:r>
        <w:rPr>
          <w:rFonts w:ascii="Arial" w:eastAsia="Arial" w:hAnsi="Arial" w:cs="Arial"/>
          <w:i/>
          <w:color w:val="FF0000"/>
          <w:sz w:val="20"/>
        </w:rPr>
        <w:t xml:space="preserve">14.1.1 É vedada a sub-rogação completa ou da parcela principal da obrigação </w:t>
      </w:r>
    </w:p>
    <w:p w:rsidR="006C145C" w:rsidRDefault="00C62E5A">
      <w:pPr>
        <w:spacing w:after="8" w:line="270" w:lineRule="auto"/>
        <w:ind w:left="10" w:right="58" w:hanging="10"/>
        <w:jc w:val="both"/>
      </w:pPr>
      <w:r>
        <w:rPr>
          <w:rFonts w:ascii="Arial" w:eastAsia="Arial" w:hAnsi="Arial" w:cs="Arial"/>
          <w:i/>
          <w:color w:val="FF0000"/>
          <w:sz w:val="20"/>
        </w:rPr>
        <w:t xml:space="preserve">14.1.2 ... </w:t>
      </w:r>
    </w:p>
    <w:p w:rsidR="006C145C" w:rsidRDefault="00C62E5A">
      <w:pPr>
        <w:spacing w:after="157" w:line="270" w:lineRule="auto"/>
        <w:ind w:left="10" w:right="58" w:hanging="10"/>
        <w:jc w:val="both"/>
      </w:pPr>
      <w:r>
        <w:rPr>
          <w:rFonts w:ascii="Arial" w:eastAsia="Arial" w:hAnsi="Arial" w:cs="Arial"/>
          <w:i/>
          <w:color w:val="FF0000"/>
          <w:sz w:val="20"/>
        </w:rPr>
        <w:lastRenderedPageBreak/>
        <w:t xml:space="preserve">14.1.3 ....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3" w:line="249" w:lineRule="auto"/>
        <w:ind w:left="-5" w:right="57" w:hanging="10"/>
        <w:jc w:val="both"/>
      </w:pPr>
      <w:r>
        <w:rPr>
          <w:rFonts w:ascii="Arial" w:eastAsia="Arial" w:hAnsi="Arial" w:cs="Arial"/>
          <w:b/>
          <w:i/>
          <w:sz w:val="20"/>
        </w:rPr>
        <w:t>Nota explic</w:t>
      </w:r>
      <w:r>
        <w:rPr>
          <w:rFonts w:ascii="Arial" w:eastAsia="Arial" w:hAnsi="Arial" w:cs="Arial"/>
          <w:b/>
          <w:i/>
          <w:sz w:val="20"/>
        </w:rPr>
        <w:t>ativa</w:t>
      </w:r>
      <w:r>
        <w:rPr>
          <w:rFonts w:ascii="Arial" w:eastAsia="Arial" w:hAnsi="Arial" w:cs="Arial"/>
          <w:i/>
          <w:sz w:val="20"/>
        </w:rPr>
        <w:t>: A subcontratação parcial é permitida e deverá ser analisada pela Administração com base nas informações dos estudos preliminares, em cada caso concreto. Caso admitida, o edital deve estabelecer com detalhamento seus limites e condições, inclusive es</w:t>
      </w:r>
      <w:r>
        <w:rPr>
          <w:rFonts w:ascii="Arial" w:eastAsia="Arial" w:hAnsi="Arial" w:cs="Arial"/>
          <w:i/>
          <w:sz w:val="20"/>
        </w:rPr>
        <w:t xml:space="preserve">pecificando quais parcelas do objeto poderão ser subcontratadas. A prestação de serviços com dedicação de mão de obra exclusiva deve ser considerada como a parcela principal da obrigação e não pode ser subcontratada. É importante verificar que </w:t>
      </w:r>
      <w:r>
        <w:rPr>
          <w:rFonts w:ascii="Arial" w:eastAsia="Arial" w:hAnsi="Arial" w:cs="Arial"/>
          <w:b/>
          <w:i/>
          <w:sz w:val="20"/>
        </w:rPr>
        <w:t>são vedadas</w:t>
      </w:r>
      <w:r>
        <w:rPr>
          <w:rFonts w:ascii="Arial" w:eastAsia="Arial" w:hAnsi="Arial" w:cs="Arial"/>
          <w:i/>
          <w:sz w:val="20"/>
        </w:rPr>
        <w:t xml:space="preserve"> </w:t>
      </w:r>
      <w:r>
        <w:rPr>
          <w:rFonts w:ascii="Arial" w:eastAsia="Arial" w:hAnsi="Arial" w:cs="Arial"/>
          <w:i/>
          <w:sz w:val="20"/>
        </w:rPr>
        <w:t xml:space="preserve">(i) a exigência no instrumento convocatório de subcontratação de itens ou parcelas determinadas ou de empresas específicas; (ii) </w:t>
      </w:r>
      <w:r>
        <w:rPr>
          <w:rFonts w:ascii="Arial" w:eastAsia="Arial" w:hAnsi="Arial" w:cs="Arial"/>
          <w:b/>
          <w:i/>
          <w:sz w:val="20"/>
        </w:rPr>
        <w:t>a subcontratação das parcelas de maior relevância técnica, assim definidas no instrumento convocatório;</w:t>
      </w:r>
      <w:r>
        <w:rPr>
          <w:rFonts w:ascii="Arial" w:eastAsia="Arial" w:hAnsi="Arial" w:cs="Arial"/>
          <w:i/>
          <w:sz w:val="20"/>
        </w:rPr>
        <w:t xml:space="preserve"> (iii) a subcontratação </w:t>
      </w:r>
      <w:r>
        <w:rPr>
          <w:rFonts w:ascii="Arial" w:eastAsia="Arial" w:hAnsi="Arial" w:cs="Arial"/>
          <w:i/>
          <w:sz w:val="20"/>
        </w:rPr>
        <w:t>de microempresas e empresas de pequeno porte que estejam participando da licitação; e (iv) a subcontratação de microempresas ou empresas de pequeno porte que tenham um ou mais sócios em comum com a empresa contratante.</w:t>
      </w:r>
      <w:r>
        <w:rPr>
          <w:rFonts w:ascii="Arial" w:eastAsia="Arial" w:hAnsi="Arial" w:cs="Arial"/>
          <w:color w:val="FF0000"/>
          <w:sz w:val="20"/>
        </w:rPr>
        <w:t xml:space="preserve"> </w:t>
      </w:r>
    </w:p>
    <w:p w:rsidR="006C145C" w:rsidRDefault="00C62E5A">
      <w:pPr>
        <w:spacing w:after="9" w:line="270" w:lineRule="auto"/>
        <w:ind w:left="360" w:right="58" w:hanging="360"/>
        <w:jc w:val="both"/>
      </w:pPr>
      <w:r>
        <w:rPr>
          <w:rFonts w:ascii="Arial" w:eastAsia="Arial" w:hAnsi="Arial" w:cs="Arial"/>
          <w:color w:val="FF0000"/>
          <w:sz w:val="18"/>
        </w:rPr>
        <w:t xml:space="preserve">14.2 </w:t>
      </w:r>
      <w:r>
        <w:rPr>
          <w:rFonts w:ascii="Arial" w:eastAsia="Arial" w:hAnsi="Arial" w:cs="Arial"/>
          <w:i/>
          <w:color w:val="FF0000"/>
          <w:sz w:val="20"/>
        </w:rPr>
        <w:t xml:space="preserve">  A subcontratação depende de a</w:t>
      </w:r>
      <w:r>
        <w:rPr>
          <w:rFonts w:ascii="Arial" w:eastAsia="Arial" w:hAnsi="Arial" w:cs="Arial"/>
          <w:i/>
          <w:color w:val="FF0000"/>
          <w:sz w:val="20"/>
        </w:rPr>
        <w:t xml:space="preserve">utorização prévia da Contratante, a quem incumbe avaliar se a subcontratada cumpre os requisitos de qualificação técnica necessários para a execução do objeto.  </w:t>
      </w:r>
    </w:p>
    <w:p w:rsidR="006C145C" w:rsidRDefault="00C62E5A">
      <w:pPr>
        <w:spacing w:after="157" w:line="270" w:lineRule="auto"/>
        <w:ind w:left="360" w:right="119" w:hanging="360"/>
        <w:jc w:val="both"/>
      </w:pPr>
      <w:r>
        <w:rPr>
          <w:rFonts w:ascii="Arial" w:eastAsia="Arial" w:hAnsi="Arial" w:cs="Arial"/>
          <w:color w:val="FF0000"/>
          <w:sz w:val="18"/>
        </w:rPr>
        <w:t xml:space="preserve">14.3 </w:t>
      </w:r>
      <w:r>
        <w:rPr>
          <w:rFonts w:ascii="Arial" w:eastAsia="Arial" w:hAnsi="Arial" w:cs="Arial"/>
          <w:i/>
          <w:color w:val="FF0000"/>
          <w:sz w:val="20"/>
        </w:rPr>
        <w:t xml:space="preserve"> Em qualquer hipótese de subcontratação, permanece a responsabilidade integral da Contrat</w:t>
      </w:r>
      <w:r>
        <w:rPr>
          <w:rFonts w:ascii="Arial" w:eastAsia="Arial" w:hAnsi="Arial" w:cs="Arial"/>
          <w:i/>
          <w:color w:val="FF0000"/>
          <w:sz w:val="20"/>
        </w:rPr>
        <w:t>ada pela perfeita execução contratual, cabendo-lhe realizar a supervisão e coordenação das atividades da subcontratada, bem como responder perante a Contratante pelo rigoroso cumprimento das obrigações contratuais correspondentes ao objeto da subcontrataçã</w:t>
      </w:r>
      <w:r>
        <w:rPr>
          <w:rFonts w:ascii="Arial" w:eastAsia="Arial" w:hAnsi="Arial" w:cs="Arial"/>
          <w:i/>
          <w:color w:val="FF0000"/>
          <w:sz w:val="20"/>
        </w:rPr>
        <w:t xml:space="preserve">o. </w:t>
      </w:r>
    </w:p>
    <w:p w:rsidR="006C145C" w:rsidRDefault="00C62E5A">
      <w:pPr>
        <w:pBdr>
          <w:top w:val="single" w:sz="4" w:space="0" w:color="000080"/>
          <w:left w:val="single" w:sz="4" w:space="0" w:color="000080"/>
          <w:bottom w:val="single" w:sz="4" w:space="0" w:color="000080"/>
          <w:right w:val="single" w:sz="4" w:space="0" w:color="000080"/>
        </w:pBdr>
        <w:shd w:val="clear" w:color="auto" w:fill="FFFFCC"/>
        <w:spacing w:after="4" w:line="250" w:lineRule="auto"/>
        <w:ind w:left="7" w:right="52" w:hanging="10"/>
        <w:jc w:val="both"/>
      </w:pPr>
      <w:r>
        <w:rPr>
          <w:rFonts w:ascii="Arial" w:eastAsia="Arial" w:hAnsi="Arial" w:cs="Arial"/>
          <w:b/>
          <w:i/>
          <w:sz w:val="20"/>
        </w:rPr>
        <w:t>Nota Explicativa</w:t>
      </w:r>
      <w:r>
        <w:rPr>
          <w:rFonts w:ascii="Arial" w:eastAsia="Arial" w:hAnsi="Arial" w:cs="Arial"/>
          <w:i/>
          <w:sz w:val="20"/>
        </w:rPr>
        <w:t>: Além de permitir a Subcontratação em geral, a Administração poderá, também, com base no art. 7º do Decreto nº 8.538, de 2015, estabelecer exigência de subcontratação de Microempresas e Empresas de Pequeno Porte, no percentual indicado pela licitante venc</w:t>
      </w:r>
      <w:r>
        <w:rPr>
          <w:rFonts w:ascii="Arial" w:eastAsia="Arial" w:hAnsi="Arial" w:cs="Arial"/>
          <w:i/>
          <w:sz w:val="20"/>
        </w:rPr>
        <w:t xml:space="preserve">edora em sua proposta, desde que em conformidade com os percentuais mínimo e máximo previstos no instrumento convocatório.  </w:t>
      </w:r>
    </w:p>
    <w:p w:rsidR="006C145C" w:rsidRDefault="00C62E5A">
      <w:pPr>
        <w:pBdr>
          <w:top w:val="single" w:sz="4" w:space="0" w:color="000080"/>
          <w:left w:val="single" w:sz="4" w:space="0" w:color="000080"/>
          <w:bottom w:val="single" w:sz="4" w:space="0" w:color="000080"/>
          <w:right w:val="single" w:sz="4" w:space="0" w:color="000080"/>
        </w:pBdr>
        <w:shd w:val="clear" w:color="auto" w:fill="FFFFCC"/>
        <w:spacing w:after="113" w:line="250" w:lineRule="auto"/>
        <w:ind w:left="7" w:right="52" w:hanging="10"/>
        <w:jc w:val="both"/>
      </w:pPr>
      <w:r>
        <w:rPr>
          <w:rFonts w:ascii="Arial" w:eastAsia="Arial" w:hAnsi="Arial" w:cs="Arial"/>
          <w:i/>
          <w:sz w:val="20"/>
        </w:rPr>
        <w:t xml:space="preserve">A subcontratação obrigatória de ME/EPP não poderá ser aplicada nos casos previstos no art. 10 do Decreto nº 8.538, de 2015. </w:t>
      </w:r>
    </w:p>
    <w:p w:rsidR="006C145C" w:rsidRDefault="00C62E5A">
      <w:pPr>
        <w:pBdr>
          <w:top w:val="single" w:sz="4" w:space="0" w:color="000080"/>
          <w:left w:val="single" w:sz="4" w:space="0" w:color="000080"/>
          <w:bottom w:val="single" w:sz="4" w:space="0" w:color="000080"/>
          <w:right w:val="single" w:sz="4" w:space="0" w:color="000080"/>
        </w:pBdr>
        <w:shd w:val="clear" w:color="auto" w:fill="FFFFCC"/>
        <w:spacing w:after="113" w:line="250" w:lineRule="auto"/>
        <w:ind w:left="7" w:right="52" w:hanging="10"/>
        <w:jc w:val="both"/>
      </w:pPr>
      <w:r>
        <w:rPr>
          <w:rFonts w:ascii="Arial" w:eastAsia="Arial" w:hAnsi="Arial" w:cs="Arial"/>
          <w:i/>
          <w:sz w:val="20"/>
        </w:rPr>
        <w:t>Salien</w:t>
      </w:r>
      <w:r>
        <w:rPr>
          <w:rFonts w:ascii="Arial" w:eastAsia="Arial" w:hAnsi="Arial" w:cs="Arial"/>
          <w:i/>
          <w:sz w:val="20"/>
        </w:rPr>
        <w:t>te-se que é possível que, em um mesmo contrato, haja a presença de Microempresas e Empresas de Pequeno Porte compulsoriamente subcontratadas (art. 7º do Decreto nº 8.538, de 2015) e outras empresas (ME/EPP ou não) subcontratadas pela empresa vencedora do c</w:t>
      </w:r>
      <w:r>
        <w:rPr>
          <w:rFonts w:ascii="Arial" w:eastAsia="Arial" w:hAnsi="Arial" w:cs="Arial"/>
          <w:i/>
          <w:sz w:val="20"/>
        </w:rPr>
        <w:t>ertame, por seu interesse, com base apenas na permissão geral de subcontratação parcial do objeto. Não existe obrigatoriedade de que a totalidade da parcela passível de subcontratação em uma determinada licitação esteja enquadrada na subcontratação obrigat</w:t>
      </w:r>
      <w:r>
        <w:rPr>
          <w:rFonts w:ascii="Arial" w:eastAsia="Arial" w:hAnsi="Arial" w:cs="Arial"/>
          <w:i/>
          <w:sz w:val="20"/>
        </w:rPr>
        <w:t>ória do Decreto supracitado. Da mesma forma, é possível que o Edital preveja que todo o percentual passível de subcontratação deve ser preenchido por ME/EPP, de modo que nada impede que a Administração opte por permitir apenas a subcontratação convencional</w:t>
      </w:r>
      <w:r>
        <w:rPr>
          <w:rFonts w:ascii="Arial" w:eastAsia="Arial" w:hAnsi="Arial" w:cs="Arial"/>
          <w:i/>
          <w:sz w:val="20"/>
        </w:rPr>
        <w:t xml:space="preserve"> ou a acumulação entre a convencional e a obrigatória para ME/EPP ou ainda que se estabeleça que todo o percentual previsto para a subcontratação seja preenchido por ME/EPP. </w:t>
      </w:r>
    </w:p>
    <w:p w:rsidR="006C145C" w:rsidRDefault="00C62E5A">
      <w:pPr>
        <w:pBdr>
          <w:top w:val="single" w:sz="4" w:space="0" w:color="000080"/>
          <w:left w:val="single" w:sz="4" w:space="0" w:color="000080"/>
          <w:bottom w:val="single" w:sz="4" w:space="0" w:color="000080"/>
          <w:right w:val="single" w:sz="4" w:space="0" w:color="000080"/>
        </w:pBdr>
        <w:shd w:val="clear" w:color="auto" w:fill="FFFFCC"/>
        <w:spacing w:after="4" w:line="250" w:lineRule="auto"/>
        <w:ind w:left="7" w:right="52" w:hanging="10"/>
        <w:jc w:val="both"/>
      </w:pPr>
      <w:r>
        <w:rPr>
          <w:rFonts w:ascii="Arial" w:eastAsia="Arial" w:hAnsi="Arial" w:cs="Arial"/>
          <w:i/>
          <w:sz w:val="20"/>
        </w:rPr>
        <w:t>De qualquer modo, entendendo a Administração ser o caso de aplicar a exigência de</w:t>
      </w:r>
      <w:r>
        <w:rPr>
          <w:rFonts w:ascii="Arial" w:eastAsia="Arial" w:hAnsi="Arial" w:cs="Arial"/>
          <w:i/>
          <w:sz w:val="20"/>
        </w:rPr>
        <w:t xml:space="preserve"> subcontratação de ME/EPP, deve haver, em adição aos subitens acima que tratam da possibilidade geral de subcontratação, a inclusão dos dispositivos abaixo. </w:t>
      </w:r>
    </w:p>
    <w:p w:rsidR="006C145C" w:rsidRDefault="00C62E5A">
      <w:pPr>
        <w:spacing w:after="101"/>
        <w:ind w:left="12"/>
      </w:pPr>
      <w:r>
        <w:rPr>
          <w:rFonts w:ascii="Arial" w:eastAsia="Arial" w:hAnsi="Arial" w:cs="Arial"/>
          <w:color w:val="FF0000"/>
          <w:sz w:val="20"/>
        </w:rPr>
        <w:t xml:space="preserve"> </w:t>
      </w:r>
    </w:p>
    <w:tbl>
      <w:tblPr>
        <w:tblStyle w:val="TableGrid"/>
        <w:tblpPr w:vertAnchor="text" w:tblpX="437" w:tblpY="-5"/>
        <w:tblOverlap w:val="never"/>
        <w:tblW w:w="991" w:type="dxa"/>
        <w:tblInd w:w="0" w:type="dxa"/>
        <w:tblCellMar>
          <w:top w:w="22" w:type="dxa"/>
          <w:left w:w="0" w:type="dxa"/>
          <w:bottom w:w="0" w:type="dxa"/>
          <w:right w:w="115" w:type="dxa"/>
        </w:tblCellMar>
        <w:tblLook w:val="04A0" w:firstRow="1" w:lastRow="0" w:firstColumn="1" w:lastColumn="0" w:noHBand="0" w:noVBand="1"/>
      </w:tblPr>
      <w:tblGrid>
        <w:gridCol w:w="991"/>
      </w:tblGrid>
      <w:tr w:rsidR="006C145C">
        <w:trPr>
          <w:trHeight w:val="230"/>
        </w:trPr>
        <w:tc>
          <w:tcPr>
            <w:tcW w:w="991" w:type="dxa"/>
            <w:tcBorders>
              <w:top w:val="nil"/>
              <w:left w:val="nil"/>
              <w:bottom w:val="nil"/>
              <w:right w:val="nil"/>
            </w:tcBorders>
            <w:shd w:val="clear" w:color="auto" w:fill="D3D3D3"/>
          </w:tcPr>
          <w:p w:rsidR="006C145C" w:rsidRDefault="00C62E5A">
            <w:pPr>
              <w:spacing w:after="0"/>
            </w:pPr>
            <w:r>
              <w:rPr>
                <w:rFonts w:ascii="Arial" w:eastAsia="Arial" w:hAnsi="Arial" w:cs="Arial"/>
                <w:color w:val="FF0000"/>
                <w:sz w:val="18"/>
              </w:rPr>
              <w:t xml:space="preserve">14.4 </w:t>
            </w:r>
          </w:p>
        </w:tc>
      </w:tr>
    </w:tbl>
    <w:p w:rsidR="006C145C" w:rsidRDefault="00C62E5A">
      <w:pPr>
        <w:spacing w:after="131" w:line="269" w:lineRule="auto"/>
        <w:ind w:left="437" w:right="55" w:firstLine="991"/>
        <w:jc w:val="both"/>
      </w:pPr>
      <w:r>
        <w:rPr>
          <w:rFonts w:ascii="Arial" w:eastAsia="Arial" w:hAnsi="Arial" w:cs="Arial"/>
          <w:i/>
          <w:color w:val="FF0000"/>
          <w:sz w:val="20"/>
        </w:rPr>
        <w:t xml:space="preserve">A </w:t>
      </w:r>
      <w:r>
        <w:rPr>
          <w:rFonts w:ascii="Arial" w:eastAsia="Arial" w:hAnsi="Arial" w:cs="Arial"/>
          <w:i/>
          <w:color w:val="FF0000"/>
          <w:sz w:val="20"/>
          <w:shd w:val="clear" w:color="auto" w:fill="D3D3D3"/>
        </w:rPr>
        <w:t>licitante vencedora deverá subcontratar Microempresas e Empresas de Pequeno</w:t>
      </w:r>
      <w:r>
        <w:rPr>
          <w:rFonts w:ascii="Arial" w:eastAsia="Arial" w:hAnsi="Arial" w:cs="Arial"/>
          <w:i/>
          <w:color w:val="FF0000"/>
          <w:sz w:val="20"/>
        </w:rPr>
        <w:t xml:space="preserve"> </w:t>
      </w:r>
      <w:r>
        <w:rPr>
          <w:rFonts w:ascii="Arial" w:eastAsia="Arial" w:hAnsi="Arial" w:cs="Arial"/>
          <w:i/>
          <w:color w:val="FF0000"/>
          <w:sz w:val="20"/>
          <w:shd w:val="clear" w:color="auto" w:fill="D3D3D3"/>
        </w:rPr>
        <w:t>Porte, nos termos do art. 7º do Decreto nº 8.538, de 2015, no percentuais mínimo de ...... e máximo</w:t>
      </w:r>
      <w:r>
        <w:rPr>
          <w:rFonts w:ascii="Arial" w:eastAsia="Arial" w:hAnsi="Arial" w:cs="Arial"/>
          <w:i/>
          <w:color w:val="FF0000"/>
          <w:sz w:val="20"/>
        </w:rPr>
        <w:t xml:space="preserve"> </w:t>
      </w:r>
      <w:r>
        <w:rPr>
          <w:rFonts w:ascii="Arial" w:eastAsia="Arial" w:hAnsi="Arial" w:cs="Arial"/>
          <w:i/>
          <w:color w:val="FF0000"/>
          <w:sz w:val="20"/>
          <w:shd w:val="clear" w:color="auto" w:fill="D3D3D3"/>
        </w:rPr>
        <w:t>de ..... , atendidas as disposições dos subitens acima, bem como as seguintes regras:</w:t>
      </w:r>
      <w:r>
        <w:rPr>
          <w:rFonts w:ascii="Arial" w:eastAsia="Arial" w:hAnsi="Arial" w:cs="Arial"/>
          <w:i/>
          <w:color w:val="FF0000"/>
          <w:sz w:val="20"/>
        </w:rPr>
        <w:t xml:space="preserve"> </w:t>
      </w:r>
    </w:p>
    <w:p w:rsidR="006C145C" w:rsidRDefault="00C62E5A">
      <w:pPr>
        <w:spacing w:after="131" w:line="269" w:lineRule="auto"/>
        <w:ind w:left="727" w:right="55" w:hanging="730"/>
        <w:jc w:val="both"/>
      </w:pPr>
      <w:r>
        <w:rPr>
          <w:rFonts w:ascii="Arial" w:eastAsia="Arial" w:hAnsi="Arial" w:cs="Arial"/>
          <w:i/>
          <w:color w:val="FF0000"/>
          <w:sz w:val="20"/>
          <w:shd w:val="clear" w:color="auto" w:fill="D3D3D3"/>
        </w:rPr>
        <w:t>14.4.1 as microempresas e as empresas de pequeno porte a serem subcon</w:t>
      </w:r>
      <w:r>
        <w:rPr>
          <w:rFonts w:ascii="Arial" w:eastAsia="Arial" w:hAnsi="Arial" w:cs="Arial"/>
          <w:i/>
          <w:color w:val="FF0000"/>
          <w:sz w:val="20"/>
          <w:shd w:val="clear" w:color="auto" w:fill="D3D3D3"/>
        </w:rPr>
        <w:t>tratadas deverão ser</w:t>
      </w:r>
      <w:r>
        <w:rPr>
          <w:rFonts w:ascii="Arial" w:eastAsia="Arial" w:hAnsi="Arial" w:cs="Arial"/>
          <w:i/>
          <w:color w:val="FF0000"/>
          <w:sz w:val="20"/>
        </w:rPr>
        <w:t xml:space="preserve"> </w:t>
      </w:r>
      <w:r>
        <w:rPr>
          <w:rFonts w:ascii="Arial" w:eastAsia="Arial" w:hAnsi="Arial" w:cs="Arial"/>
          <w:i/>
          <w:color w:val="FF0000"/>
          <w:sz w:val="20"/>
          <w:shd w:val="clear" w:color="auto" w:fill="D3D3D3"/>
        </w:rPr>
        <w:t>indicadas e qualificadas pelos licitantes no momento da apresentação das propostas</w:t>
      </w:r>
      <w:r>
        <w:rPr>
          <w:rFonts w:ascii="Arial" w:eastAsia="Arial" w:hAnsi="Arial" w:cs="Arial"/>
          <w:b/>
          <w:i/>
          <w:color w:val="FF0000"/>
          <w:sz w:val="20"/>
          <w:shd w:val="clear" w:color="auto" w:fill="D3D3D3"/>
        </w:rPr>
        <w:t xml:space="preserve">,  </w:t>
      </w:r>
      <w:r>
        <w:rPr>
          <w:rFonts w:ascii="Arial" w:eastAsia="Arial" w:hAnsi="Arial" w:cs="Arial"/>
          <w:i/>
          <w:color w:val="FF0000"/>
          <w:sz w:val="20"/>
          <w:shd w:val="clear" w:color="auto" w:fill="D3D3D3"/>
        </w:rPr>
        <w:t>com a</w:t>
      </w:r>
      <w:r>
        <w:rPr>
          <w:rFonts w:ascii="Arial" w:eastAsia="Arial" w:hAnsi="Arial" w:cs="Arial"/>
          <w:i/>
          <w:color w:val="FF0000"/>
          <w:sz w:val="20"/>
        </w:rPr>
        <w:t xml:space="preserve"> </w:t>
      </w:r>
      <w:r>
        <w:rPr>
          <w:rFonts w:ascii="Arial" w:eastAsia="Arial" w:hAnsi="Arial" w:cs="Arial"/>
          <w:i/>
          <w:color w:val="FF0000"/>
          <w:sz w:val="20"/>
          <w:shd w:val="clear" w:color="auto" w:fill="D3D3D3"/>
        </w:rPr>
        <w:t>descrição dos bens e serviços a serem fornecidos e seus respectivos valores;</w:t>
      </w:r>
      <w:r>
        <w:rPr>
          <w:rFonts w:ascii="Arial" w:eastAsia="Arial" w:hAnsi="Arial" w:cs="Arial"/>
          <w:i/>
          <w:color w:val="FF0000"/>
          <w:sz w:val="20"/>
        </w:rPr>
        <w:t xml:space="preserve">  </w:t>
      </w:r>
    </w:p>
    <w:p w:rsidR="006C145C" w:rsidRDefault="00C62E5A">
      <w:pPr>
        <w:spacing w:after="131" w:line="269" w:lineRule="auto"/>
        <w:ind w:left="727" w:right="55" w:hanging="730"/>
        <w:jc w:val="both"/>
      </w:pPr>
      <w:r>
        <w:rPr>
          <w:rFonts w:ascii="Arial" w:eastAsia="Arial" w:hAnsi="Arial" w:cs="Arial"/>
          <w:i/>
          <w:color w:val="FF0000"/>
          <w:sz w:val="20"/>
          <w:shd w:val="clear" w:color="auto" w:fill="D3D3D3"/>
        </w:rPr>
        <w:t xml:space="preserve">14.4.2 </w:t>
      </w:r>
      <w:r>
        <w:rPr>
          <w:rFonts w:ascii="Arial" w:eastAsia="Arial" w:hAnsi="Arial" w:cs="Arial"/>
          <w:i/>
          <w:color w:val="FF0000"/>
          <w:sz w:val="20"/>
          <w:shd w:val="clear" w:color="auto" w:fill="D3D3D3"/>
        </w:rPr>
        <w:t>no momento da habilitação e ao longo da vigência contratual, será apresentada a</w:t>
      </w:r>
      <w:r>
        <w:rPr>
          <w:rFonts w:ascii="Arial" w:eastAsia="Arial" w:hAnsi="Arial" w:cs="Arial"/>
          <w:i/>
          <w:color w:val="FF0000"/>
          <w:sz w:val="20"/>
        </w:rPr>
        <w:t xml:space="preserve"> </w:t>
      </w:r>
      <w:r>
        <w:rPr>
          <w:rFonts w:ascii="Arial" w:eastAsia="Arial" w:hAnsi="Arial" w:cs="Arial"/>
          <w:i/>
          <w:color w:val="FF0000"/>
          <w:sz w:val="20"/>
          <w:shd w:val="clear" w:color="auto" w:fill="D3D3D3"/>
        </w:rPr>
        <w:t>documentação de regularidade fiscal das microempresas e empresas de pequeno porte</w:t>
      </w:r>
      <w:r>
        <w:rPr>
          <w:rFonts w:ascii="Arial" w:eastAsia="Arial" w:hAnsi="Arial" w:cs="Arial"/>
          <w:i/>
          <w:color w:val="FF0000"/>
          <w:sz w:val="20"/>
        </w:rPr>
        <w:t xml:space="preserve"> </w:t>
      </w:r>
      <w:r>
        <w:rPr>
          <w:rFonts w:ascii="Arial" w:eastAsia="Arial" w:hAnsi="Arial" w:cs="Arial"/>
          <w:i/>
          <w:color w:val="FF0000"/>
          <w:sz w:val="20"/>
          <w:shd w:val="clear" w:color="auto" w:fill="D3D3D3"/>
        </w:rPr>
        <w:t>subcontratadas, sob pena de rescisão, aplicando-se o prazo para regularização previsto no §</w:t>
      </w:r>
      <w:r>
        <w:rPr>
          <w:rFonts w:ascii="Arial" w:eastAsia="Arial" w:hAnsi="Arial" w:cs="Arial"/>
          <w:i/>
          <w:color w:val="FF0000"/>
          <w:sz w:val="20"/>
        </w:rPr>
        <w:t xml:space="preserve"> </w:t>
      </w:r>
      <w:r>
        <w:rPr>
          <w:rFonts w:ascii="Arial" w:eastAsia="Arial" w:hAnsi="Arial" w:cs="Arial"/>
          <w:i/>
          <w:color w:val="FF0000"/>
          <w:sz w:val="20"/>
          <w:shd w:val="clear" w:color="auto" w:fill="D3D3D3"/>
        </w:rPr>
        <w:t>1º</w:t>
      </w:r>
      <w:r>
        <w:rPr>
          <w:rFonts w:ascii="Arial" w:eastAsia="Arial" w:hAnsi="Arial" w:cs="Arial"/>
          <w:i/>
          <w:color w:val="FF0000"/>
          <w:sz w:val="20"/>
          <w:shd w:val="clear" w:color="auto" w:fill="D3D3D3"/>
        </w:rPr>
        <w:t xml:space="preserve"> do art. 4º do Decreto nº 8.538, de 2015;</w:t>
      </w:r>
      <w:r>
        <w:rPr>
          <w:rFonts w:ascii="Arial" w:eastAsia="Arial" w:hAnsi="Arial" w:cs="Arial"/>
          <w:i/>
          <w:color w:val="FF0000"/>
          <w:sz w:val="20"/>
        </w:rPr>
        <w:t xml:space="preserve"> </w:t>
      </w:r>
    </w:p>
    <w:p w:rsidR="006C145C" w:rsidRDefault="00C62E5A">
      <w:pPr>
        <w:spacing w:after="131" w:line="269" w:lineRule="auto"/>
        <w:ind w:left="727" w:right="55" w:hanging="730"/>
        <w:jc w:val="both"/>
      </w:pPr>
      <w:r>
        <w:rPr>
          <w:rFonts w:ascii="Arial" w:eastAsia="Arial" w:hAnsi="Arial" w:cs="Arial"/>
          <w:i/>
          <w:color w:val="FF0000"/>
          <w:sz w:val="20"/>
          <w:shd w:val="clear" w:color="auto" w:fill="D3D3D3"/>
        </w:rPr>
        <w:t>14.4.3 a empresa contratada se comprometerá a substituir a subcontratada, no prazo máximo de trinta</w:t>
      </w:r>
      <w:r>
        <w:rPr>
          <w:rFonts w:ascii="Arial" w:eastAsia="Arial" w:hAnsi="Arial" w:cs="Arial"/>
          <w:i/>
          <w:color w:val="FF0000"/>
          <w:sz w:val="20"/>
        </w:rPr>
        <w:t xml:space="preserve"> </w:t>
      </w:r>
      <w:r>
        <w:rPr>
          <w:rFonts w:ascii="Arial" w:eastAsia="Arial" w:hAnsi="Arial" w:cs="Arial"/>
          <w:i/>
          <w:color w:val="FF0000"/>
          <w:sz w:val="20"/>
          <w:shd w:val="clear" w:color="auto" w:fill="D3D3D3"/>
        </w:rPr>
        <w:t>dias, na hipótese de extinção da subcontratação, mantendo o percentual originalmente</w:t>
      </w:r>
      <w:r>
        <w:rPr>
          <w:rFonts w:ascii="Arial" w:eastAsia="Arial" w:hAnsi="Arial" w:cs="Arial"/>
          <w:i/>
          <w:color w:val="FF0000"/>
          <w:sz w:val="20"/>
        </w:rPr>
        <w:t xml:space="preserve"> </w:t>
      </w:r>
      <w:r>
        <w:rPr>
          <w:rFonts w:ascii="Arial" w:eastAsia="Arial" w:hAnsi="Arial" w:cs="Arial"/>
          <w:i/>
          <w:color w:val="FF0000"/>
          <w:sz w:val="20"/>
          <w:shd w:val="clear" w:color="auto" w:fill="D3D3D3"/>
        </w:rPr>
        <w:t>subcontratado até a sua exec</w:t>
      </w:r>
      <w:r>
        <w:rPr>
          <w:rFonts w:ascii="Arial" w:eastAsia="Arial" w:hAnsi="Arial" w:cs="Arial"/>
          <w:i/>
          <w:color w:val="FF0000"/>
          <w:sz w:val="20"/>
          <w:shd w:val="clear" w:color="auto" w:fill="D3D3D3"/>
        </w:rPr>
        <w:t>ução total, notificando o órgão ou entidade contratante, sob pena</w:t>
      </w:r>
      <w:r>
        <w:rPr>
          <w:rFonts w:ascii="Arial" w:eastAsia="Arial" w:hAnsi="Arial" w:cs="Arial"/>
          <w:i/>
          <w:color w:val="FF0000"/>
          <w:sz w:val="20"/>
        </w:rPr>
        <w:t xml:space="preserve"> </w:t>
      </w:r>
      <w:r>
        <w:rPr>
          <w:rFonts w:ascii="Arial" w:eastAsia="Arial" w:hAnsi="Arial" w:cs="Arial"/>
          <w:i/>
          <w:color w:val="FF0000"/>
          <w:sz w:val="20"/>
          <w:shd w:val="clear" w:color="auto" w:fill="D3D3D3"/>
        </w:rPr>
        <w:lastRenderedPageBreak/>
        <w:t>de rescisão, sem prejuízo das sanções cabíveis, ou a demonstrar a inviabilidade da</w:t>
      </w:r>
      <w:r>
        <w:rPr>
          <w:rFonts w:ascii="Arial" w:eastAsia="Arial" w:hAnsi="Arial" w:cs="Arial"/>
          <w:i/>
          <w:color w:val="FF0000"/>
          <w:sz w:val="20"/>
        </w:rPr>
        <w:t xml:space="preserve"> </w:t>
      </w:r>
      <w:r>
        <w:rPr>
          <w:rFonts w:ascii="Arial" w:eastAsia="Arial" w:hAnsi="Arial" w:cs="Arial"/>
          <w:i/>
          <w:color w:val="FF0000"/>
          <w:sz w:val="20"/>
          <w:shd w:val="clear" w:color="auto" w:fill="D3D3D3"/>
        </w:rPr>
        <w:t>substituição, hipótese em que ficará responsável pela execução da parcela originalmente</w:t>
      </w:r>
      <w:r>
        <w:rPr>
          <w:rFonts w:ascii="Arial" w:eastAsia="Arial" w:hAnsi="Arial" w:cs="Arial"/>
          <w:i/>
          <w:color w:val="FF0000"/>
          <w:sz w:val="20"/>
        </w:rPr>
        <w:t xml:space="preserve"> </w:t>
      </w:r>
      <w:r>
        <w:rPr>
          <w:rFonts w:ascii="Arial" w:eastAsia="Arial" w:hAnsi="Arial" w:cs="Arial"/>
          <w:i/>
          <w:color w:val="FF0000"/>
          <w:sz w:val="20"/>
          <w:shd w:val="clear" w:color="auto" w:fill="D3D3D3"/>
        </w:rPr>
        <w:t>subcontratada;</w:t>
      </w:r>
      <w:r>
        <w:rPr>
          <w:rFonts w:ascii="Arial" w:eastAsia="Arial" w:hAnsi="Arial" w:cs="Arial"/>
          <w:i/>
          <w:color w:val="FF0000"/>
          <w:sz w:val="20"/>
        </w:rPr>
        <w:t xml:space="preserve"> </w:t>
      </w:r>
    </w:p>
    <w:p w:rsidR="006C145C" w:rsidRDefault="00C62E5A">
      <w:pPr>
        <w:spacing w:after="131" w:line="269" w:lineRule="auto"/>
        <w:ind w:left="-3" w:right="55"/>
        <w:jc w:val="both"/>
      </w:pPr>
      <w:r>
        <w:rPr>
          <w:rFonts w:ascii="Arial" w:eastAsia="Arial" w:hAnsi="Arial" w:cs="Arial"/>
          <w:i/>
          <w:color w:val="FF0000"/>
          <w:sz w:val="20"/>
          <w:shd w:val="clear" w:color="auto" w:fill="D3D3D3"/>
        </w:rPr>
        <w:t>14.</w:t>
      </w:r>
      <w:r>
        <w:rPr>
          <w:rFonts w:ascii="Arial" w:eastAsia="Arial" w:hAnsi="Arial" w:cs="Arial"/>
          <w:i/>
          <w:color w:val="FF0000"/>
          <w:sz w:val="20"/>
          <w:shd w:val="clear" w:color="auto" w:fill="D3D3D3"/>
        </w:rPr>
        <w:t>4.4 a exigência de subcontratação não será aplicável quando o licitante for:</w:t>
      </w:r>
      <w:r>
        <w:rPr>
          <w:rFonts w:ascii="Arial" w:eastAsia="Arial" w:hAnsi="Arial" w:cs="Arial"/>
          <w:i/>
          <w:color w:val="FF0000"/>
          <w:sz w:val="20"/>
        </w:rPr>
        <w:t xml:space="preserve"> </w:t>
      </w:r>
    </w:p>
    <w:p w:rsidR="006C145C" w:rsidRDefault="00C62E5A">
      <w:pPr>
        <w:tabs>
          <w:tab w:val="center" w:pos="2989"/>
        </w:tabs>
        <w:spacing w:after="131" w:line="269" w:lineRule="auto"/>
        <w:ind w:left="-3"/>
      </w:pPr>
      <w:r>
        <w:rPr>
          <w:rFonts w:ascii="Arial" w:eastAsia="Arial" w:hAnsi="Arial" w:cs="Arial"/>
          <w:i/>
          <w:color w:val="FF0000"/>
          <w:sz w:val="20"/>
          <w:shd w:val="clear" w:color="auto" w:fill="D3D3D3"/>
        </w:rPr>
        <w:t xml:space="preserve">14.4.4.1 </w:t>
      </w:r>
      <w:r>
        <w:rPr>
          <w:rFonts w:ascii="Arial" w:eastAsia="Arial" w:hAnsi="Arial" w:cs="Arial"/>
          <w:i/>
          <w:color w:val="FF0000"/>
          <w:sz w:val="20"/>
          <w:shd w:val="clear" w:color="auto" w:fill="D3D3D3"/>
        </w:rPr>
        <w:tab/>
        <w:t>microempresa ou empresa de pequeno porte;</w:t>
      </w:r>
      <w:r>
        <w:rPr>
          <w:rFonts w:ascii="Arial" w:eastAsia="Arial" w:hAnsi="Arial" w:cs="Arial"/>
          <w:i/>
          <w:color w:val="FF0000"/>
          <w:sz w:val="20"/>
        </w:rPr>
        <w:t xml:space="preserve"> </w:t>
      </w:r>
    </w:p>
    <w:p w:rsidR="006C145C" w:rsidRDefault="00C62E5A">
      <w:pPr>
        <w:tabs>
          <w:tab w:val="center" w:pos="4789"/>
        </w:tabs>
        <w:spacing w:after="18" w:line="269" w:lineRule="auto"/>
        <w:ind w:left="-3"/>
      </w:pPr>
      <w:r>
        <w:rPr>
          <w:rFonts w:ascii="Arial" w:eastAsia="Arial" w:hAnsi="Arial" w:cs="Arial"/>
          <w:i/>
          <w:color w:val="FF0000"/>
          <w:sz w:val="20"/>
          <w:shd w:val="clear" w:color="auto" w:fill="D3D3D3"/>
        </w:rPr>
        <w:t xml:space="preserve">14.4.4.2 </w:t>
      </w:r>
      <w:r>
        <w:rPr>
          <w:rFonts w:ascii="Arial" w:eastAsia="Arial" w:hAnsi="Arial" w:cs="Arial"/>
          <w:i/>
          <w:color w:val="FF0000"/>
          <w:sz w:val="20"/>
          <w:shd w:val="clear" w:color="auto" w:fill="D3D3D3"/>
        </w:rPr>
        <w:tab/>
        <w:t xml:space="preserve"> consórcio composto em sua totalidade por microempresas e empresas de pequeno</w:t>
      </w:r>
      <w:r>
        <w:rPr>
          <w:rFonts w:ascii="Arial" w:eastAsia="Arial" w:hAnsi="Arial" w:cs="Arial"/>
          <w:i/>
          <w:color w:val="FF0000"/>
          <w:sz w:val="20"/>
        </w:rPr>
        <w:t xml:space="preserve"> </w:t>
      </w:r>
    </w:p>
    <w:p w:rsidR="006C145C" w:rsidRDefault="00C62E5A">
      <w:pPr>
        <w:spacing w:after="131" w:line="269" w:lineRule="auto"/>
        <w:ind w:left="732" w:right="55"/>
        <w:jc w:val="both"/>
      </w:pPr>
      <w:r>
        <w:rPr>
          <w:rFonts w:ascii="Arial" w:eastAsia="Arial" w:hAnsi="Arial" w:cs="Arial"/>
          <w:i/>
          <w:color w:val="FF0000"/>
          <w:sz w:val="20"/>
          <w:shd w:val="clear" w:color="auto" w:fill="D3D3D3"/>
        </w:rPr>
        <w:t>porte, respeitado o disposto no</w:t>
      </w:r>
      <w:hyperlink r:id="rId34" w:anchor="art33">
        <w:r>
          <w:rPr>
            <w:rFonts w:ascii="Arial" w:eastAsia="Arial" w:hAnsi="Arial" w:cs="Arial"/>
            <w:i/>
            <w:color w:val="FF0000"/>
            <w:sz w:val="20"/>
            <w:shd w:val="clear" w:color="auto" w:fill="D3D3D3"/>
          </w:rPr>
          <w:t xml:space="preserve"> </w:t>
        </w:r>
      </w:hyperlink>
      <w:hyperlink r:id="rId35" w:anchor="art33">
        <w:r>
          <w:rPr>
            <w:rFonts w:ascii="Arial" w:eastAsia="Arial" w:hAnsi="Arial" w:cs="Arial"/>
            <w:i/>
            <w:color w:val="FF0000"/>
            <w:sz w:val="20"/>
            <w:u w:val="single" w:color="FF0000"/>
            <w:shd w:val="clear" w:color="auto" w:fill="D3D3D3"/>
          </w:rPr>
          <w:t>art. 33 da Lei nº 8.666, de 1993</w:t>
        </w:r>
      </w:hyperlink>
      <w:hyperlink r:id="rId36" w:anchor="art33">
        <w:r>
          <w:rPr>
            <w:rFonts w:ascii="Arial" w:eastAsia="Arial" w:hAnsi="Arial" w:cs="Arial"/>
            <w:i/>
            <w:color w:val="FF0000"/>
            <w:sz w:val="20"/>
            <w:shd w:val="clear" w:color="auto" w:fill="D3D3D3"/>
          </w:rPr>
          <w:t>;</w:t>
        </w:r>
      </w:hyperlink>
      <w:r>
        <w:rPr>
          <w:rFonts w:ascii="Arial" w:eastAsia="Arial" w:hAnsi="Arial" w:cs="Arial"/>
          <w:i/>
          <w:color w:val="FF0000"/>
          <w:sz w:val="20"/>
          <w:shd w:val="clear" w:color="auto" w:fill="D3D3D3"/>
        </w:rPr>
        <w:t xml:space="preserve"> e</w:t>
      </w:r>
      <w:r>
        <w:rPr>
          <w:rFonts w:ascii="Arial" w:eastAsia="Arial" w:hAnsi="Arial" w:cs="Arial"/>
          <w:i/>
          <w:color w:val="FF0000"/>
          <w:sz w:val="20"/>
        </w:rPr>
        <w:t xml:space="preserve"> </w:t>
      </w:r>
    </w:p>
    <w:p w:rsidR="006C145C" w:rsidRDefault="00C62E5A">
      <w:pPr>
        <w:spacing w:after="131" w:line="269" w:lineRule="auto"/>
        <w:ind w:left="727" w:right="55" w:hanging="730"/>
        <w:jc w:val="both"/>
      </w:pPr>
      <w:r>
        <w:rPr>
          <w:rFonts w:ascii="Arial" w:eastAsia="Arial" w:hAnsi="Arial" w:cs="Arial"/>
          <w:i/>
          <w:color w:val="FF0000"/>
          <w:sz w:val="20"/>
          <w:shd w:val="clear" w:color="auto" w:fill="D3D3D3"/>
        </w:rPr>
        <w:t>14.4.4.3 consórcio composto parcialmente por microempresas ou empresas de pequeno porte</w:t>
      </w:r>
      <w:r>
        <w:rPr>
          <w:rFonts w:ascii="Arial" w:eastAsia="Arial" w:hAnsi="Arial" w:cs="Arial"/>
          <w:i/>
          <w:color w:val="FF0000"/>
          <w:sz w:val="20"/>
        </w:rPr>
        <w:t xml:space="preserve"> </w:t>
      </w:r>
      <w:r>
        <w:rPr>
          <w:rFonts w:ascii="Arial" w:eastAsia="Arial" w:hAnsi="Arial" w:cs="Arial"/>
          <w:i/>
          <w:color w:val="FF0000"/>
          <w:sz w:val="20"/>
          <w:shd w:val="clear" w:color="auto" w:fill="D3D3D3"/>
        </w:rPr>
        <w:t xml:space="preserve">com participação igual ou superior ao percentual exigido de subcontratação. </w:t>
      </w:r>
      <w:r>
        <w:rPr>
          <w:rFonts w:ascii="Arial" w:eastAsia="Arial" w:hAnsi="Arial" w:cs="Arial"/>
          <w:i/>
          <w:color w:val="FF0000"/>
          <w:sz w:val="20"/>
        </w:rPr>
        <w:t xml:space="preserve"> </w:t>
      </w:r>
    </w:p>
    <w:p w:rsidR="006C145C" w:rsidRDefault="00C62E5A">
      <w:pPr>
        <w:spacing w:after="131" w:line="269" w:lineRule="auto"/>
        <w:ind w:left="727" w:right="55" w:hanging="730"/>
        <w:jc w:val="both"/>
      </w:pPr>
      <w:r>
        <w:rPr>
          <w:rFonts w:ascii="Arial" w:eastAsia="Arial" w:hAnsi="Arial" w:cs="Arial"/>
          <w:i/>
          <w:color w:val="FF0000"/>
          <w:sz w:val="20"/>
          <w:shd w:val="clear" w:color="auto" w:fill="D3D3D3"/>
        </w:rPr>
        <w:t xml:space="preserve">14.4.5  Não se admite a exigência de subcontratação </w:t>
      </w:r>
      <w:r>
        <w:rPr>
          <w:rFonts w:ascii="Arial" w:eastAsia="Arial" w:hAnsi="Arial" w:cs="Arial"/>
          <w:i/>
          <w:color w:val="FF0000"/>
          <w:sz w:val="20"/>
          <w:shd w:val="clear" w:color="auto" w:fill="D3D3D3"/>
        </w:rPr>
        <w:t>para o fornecimento de bens, exceto quando</w:t>
      </w:r>
      <w:r>
        <w:rPr>
          <w:rFonts w:ascii="Arial" w:eastAsia="Arial" w:hAnsi="Arial" w:cs="Arial"/>
          <w:i/>
          <w:color w:val="FF0000"/>
          <w:sz w:val="20"/>
        </w:rPr>
        <w:t xml:space="preserve"> </w:t>
      </w:r>
      <w:r>
        <w:rPr>
          <w:rFonts w:ascii="Arial" w:eastAsia="Arial" w:hAnsi="Arial" w:cs="Arial"/>
          <w:i/>
          <w:color w:val="FF0000"/>
          <w:sz w:val="20"/>
          <w:shd w:val="clear" w:color="auto" w:fill="D3D3D3"/>
        </w:rPr>
        <w:t xml:space="preserve">estiver vinculado à prestação de serviços acessórios. </w:t>
      </w:r>
      <w:r>
        <w:rPr>
          <w:rFonts w:ascii="Arial" w:eastAsia="Arial" w:hAnsi="Arial" w:cs="Arial"/>
          <w:i/>
          <w:color w:val="FF0000"/>
          <w:sz w:val="20"/>
        </w:rPr>
        <w:t xml:space="preserve"> </w:t>
      </w:r>
    </w:p>
    <w:p w:rsidR="006C145C" w:rsidRDefault="00C62E5A">
      <w:pPr>
        <w:spacing w:after="487" w:line="269" w:lineRule="auto"/>
        <w:ind w:left="727" w:right="55" w:hanging="730"/>
        <w:jc w:val="both"/>
      </w:pPr>
      <w:r>
        <w:rPr>
          <w:rFonts w:ascii="Arial" w:eastAsia="Arial" w:hAnsi="Arial" w:cs="Arial"/>
          <w:i/>
          <w:color w:val="FF0000"/>
          <w:sz w:val="20"/>
          <w:shd w:val="clear" w:color="auto" w:fill="D3D3D3"/>
        </w:rPr>
        <w:t>14.4.6  Os empenhos e pagamentos referentes às parcelas subcontratadas serão destinados</w:t>
      </w:r>
      <w:r>
        <w:rPr>
          <w:rFonts w:ascii="Arial" w:eastAsia="Arial" w:hAnsi="Arial" w:cs="Arial"/>
          <w:i/>
          <w:color w:val="FF0000"/>
          <w:sz w:val="20"/>
        </w:rPr>
        <w:t xml:space="preserve"> </w:t>
      </w:r>
      <w:r>
        <w:rPr>
          <w:rFonts w:ascii="Arial" w:eastAsia="Arial" w:hAnsi="Arial" w:cs="Arial"/>
          <w:i/>
          <w:color w:val="FF0000"/>
          <w:sz w:val="20"/>
          <w:shd w:val="clear" w:color="auto" w:fill="D3D3D3"/>
        </w:rPr>
        <w:t>diretamente às microempresas e empresas de pequeno porte subcontratadas</w:t>
      </w:r>
      <w:r>
        <w:rPr>
          <w:rFonts w:ascii="Arial" w:eastAsia="Arial" w:hAnsi="Arial" w:cs="Arial"/>
          <w:i/>
          <w:color w:val="FF0000"/>
          <w:sz w:val="20"/>
        </w:rPr>
        <w:t xml:space="preserve"> </w:t>
      </w:r>
    </w:p>
    <w:p w:rsidR="006C145C" w:rsidRDefault="00C62E5A">
      <w:pPr>
        <w:pStyle w:val="Ttulo6"/>
        <w:ind w:left="7" w:right="37"/>
      </w:pPr>
      <w:r>
        <w:t xml:space="preserve">15 ALTERAÇÃO SUBJETIVA </w:t>
      </w:r>
    </w:p>
    <w:p w:rsidR="006C145C" w:rsidRDefault="00C62E5A">
      <w:pPr>
        <w:spacing w:after="129" w:line="270" w:lineRule="auto"/>
        <w:ind w:left="357" w:right="54" w:hanging="360"/>
        <w:jc w:val="both"/>
      </w:pPr>
      <w:r>
        <w:rPr>
          <w:rFonts w:ascii="Arial" w:eastAsia="Arial" w:hAnsi="Arial" w:cs="Arial"/>
          <w:sz w:val="18"/>
        </w:rPr>
        <w:t xml:space="preserve">15.1 </w:t>
      </w:r>
      <w:r>
        <w:rPr>
          <w:rFonts w:ascii="Arial" w:eastAsia="Arial" w:hAnsi="Arial" w:cs="Arial"/>
          <w:sz w:val="20"/>
        </w:rPr>
        <w:t xml:space="preserve">  É admissível a fusão, cisão ou incorporação da contratada com/em outra pessoa jurídica, desde que sejam observados pela nova pessoa jurídica todos os re</w:t>
      </w:r>
      <w:r>
        <w:rPr>
          <w:rFonts w:ascii="Arial" w:eastAsia="Arial" w:hAnsi="Arial" w:cs="Arial"/>
          <w:sz w:val="20"/>
        </w:rPr>
        <w:t xml:space="preserve">quisitos de habilitação exigidos na licitação original; sejam mantidas as demais cláusulas e condições do contrato; não haja prejuízo </w:t>
      </w:r>
    </w:p>
    <w:p w:rsidR="006C145C" w:rsidRDefault="00C62E5A">
      <w:pPr>
        <w:spacing w:after="483" w:line="270" w:lineRule="auto"/>
        <w:ind w:left="368" w:right="54" w:hanging="8"/>
        <w:jc w:val="both"/>
      </w:pPr>
      <w:r>
        <w:rPr>
          <w:rFonts w:ascii="Arial" w:eastAsia="Arial" w:hAnsi="Arial" w:cs="Arial"/>
          <w:sz w:val="20"/>
        </w:rPr>
        <w:t xml:space="preserve">à execução do objeto pactuado e haja a anuência expressa da Administração à continuidade do contrato. </w:t>
      </w:r>
    </w:p>
    <w:p w:rsidR="006C145C" w:rsidRDefault="00C62E5A">
      <w:pPr>
        <w:pStyle w:val="Ttulo6"/>
        <w:spacing w:after="174"/>
        <w:ind w:left="7" w:right="37"/>
      </w:pPr>
      <w:r>
        <w:t>16 CONTROLE E FISC</w:t>
      </w:r>
      <w:r>
        <w:t xml:space="preserve">ALIZAÇÃO DA EXECUÇÃO  </w:t>
      </w:r>
    </w:p>
    <w:p w:rsidR="006C145C" w:rsidRDefault="00C62E5A">
      <w:pPr>
        <w:pBdr>
          <w:top w:val="single" w:sz="4" w:space="0" w:color="000080"/>
          <w:left w:val="single" w:sz="4" w:space="0" w:color="000080"/>
          <w:bottom w:val="single" w:sz="4" w:space="0" w:color="000080"/>
          <w:right w:val="single" w:sz="4" w:space="0" w:color="000080"/>
        </w:pBdr>
        <w:shd w:val="clear" w:color="auto" w:fill="FFFFCC"/>
        <w:spacing w:after="110" w:line="250" w:lineRule="auto"/>
        <w:ind w:left="7" w:right="52" w:hanging="10"/>
        <w:jc w:val="both"/>
      </w:pPr>
      <w:r>
        <w:rPr>
          <w:rFonts w:ascii="Arial" w:eastAsia="Arial" w:hAnsi="Arial" w:cs="Arial"/>
          <w:b/>
          <w:i/>
          <w:sz w:val="20"/>
        </w:rPr>
        <w:t>Nota Explicativa</w:t>
      </w:r>
      <w:r>
        <w:rPr>
          <w:rFonts w:ascii="Arial" w:eastAsia="Arial" w:hAnsi="Arial" w:cs="Arial"/>
          <w:i/>
          <w:sz w:val="20"/>
        </w:rPr>
        <w:t xml:space="preserve">: Deve amoldar-se às peculiaridades do serviço. Os itens a seguir apresentados são ilustrativos.  </w:t>
      </w:r>
    </w:p>
    <w:p w:rsidR="006C145C" w:rsidRDefault="00C62E5A">
      <w:pPr>
        <w:pBdr>
          <w:top w:val="single" w:sz="4" w:space="0" w:color="000080"/>
          <w:left w:val="single" w:sz="4" w:space="0" w:color="000080"/>
          <w:bottom w:val="single" w:sz="4" w:space="0" w:color="000080"/>
          <w:right w:val="single" w:sz="4" w:space="0" w:color="000080"/>
        </w:pBdr>
        <w:shd w:val="clear" w:color="auto" w:fill="FFFFCC"/>
        <w:spacing w:after="111" w:line="250" w:lineRule="auto"/>
        <w:ind w:left="7" w:right="52" w:hanging="10"/>
        <w:jc w:val="both"/>
      </w:pPr>
      <w:r>
        <w:rPr>
          <w:rFonts w:ascii="Arial" w:eastAsia="Arial" w:hAnsi="Arial" w:cs="Arial"/>
          <w:i/>
          <w:sz w:val="20"/>
        </w:rPr>
        <w:t xml:space="preserve">Jurisprudência do Tribunal de Contas da União: </w:t>
      </w:r>
    </w:p>
    <w:p w:rsidR="006C145C" w:rsidRDefault="00C62E5A">
      <w:pPr>
        <w:pBdr>
          <w:top w:val="single" w:sz="4" w:space="0" w:color="000080"/>
          <w:left w:val="single" w:sz="4" w:space="0" w:color="000080"/>
          <w:bottom w:val="single" w:sz="4" w:space="0" w:color="000080"/>
          <w:right w:val="single" w:sz="4" w:space="0" w:color="000080"/>
        </w:pBdr>
        <w:shd w:val="clear" w:color="auto" w:fill="FFFFCC"/>
        <w:spacing w:after="113" w:line="250" w:lineRule="auto"/>
        <w:ind w:left="7" w:right="52" w:hanging="10"/>
        <w:jc w:val="both"/>
      </w:pPr>
      <w:r>
        <w:rPr>
          <w:rFonts w:ascii="Arial" w:eastAsia="Arial" w:hAnsi="Arial" w:cs="Arial"/>
          <w:i/>
          <w:sz w:val="20"/>
        </w:rPr>
        <w:t>9.1.1. providencie portaria de designação específica para fiscalização de cada contrato, com atestado de recebimento pelo fiscal designado e que constem claramente as atribuições e responsabilidades, de acordo com o estabelecido pela Lei 8.666/93 em seu ar</w:t>
      </w:r>
      <w:r>
        <w:rPr>
          <w:rFonts w:ascii="Arial" w:eastAsia="Arial" w:hAnsi="Arial" w:cs="Arial"/>
          <w:i/>
          <w:sz w:val="20"/>
        </w:rPr>
        <w:t xml:space="preserve">tigo 67; </w:t>
      </w:r>
    </w:p>
    <w:p w:rsidR="006C145C" w:rsidRDefault="00C62E5A">
      <w:pPr>
        <w:pBdr>
          <w:top w:val="single" w:sz="4" w:space="0" w:color="000080"/>
          <w:left w:val="single" w:sz="4" w:space="0" w:color="000080"/>
          <w:bottom w:val="single" w:sz="4" w:space="0" w:color="000080"/>
          <w:right w:val="single" w:sz="4" w:space="0" w:color="000080"/>
        </w:pBdr>
        <w:shd w:val="clear" w:color="auto" w:fill="FFFFCC"/>
        <w:spacing w:after="113" w:line="250" w:lineRule="auto"/>
        <w:ind w:left="7" w:right="52" w:hanging="10"/>
        <w:jc w:val="both"/>
      </w:pPr>
      <w:r>
        <w:rPr>
          <w:rFonts w:ascii="Arial" w:eastAsia="Arial" w:hAnsi="Arial" w:cs="Arial"/>
          <w:i/>
          <w:sz w:val="20"/>
        </w:rPr>
        <w:t>9.1.2. designe fiscais considerando a formação acadêmica ou técnica do servidor/funcionário, a segregação entre as funções de gestão e de fiscalização do contrato, bem como o comprometimento concomitante com outros serviços ou contratos, de forma</w:t>
      </w:r>
      <w:r>
        <w:rPr>
          <w:rFonts w:ascii="Arial" w:eastAsia="Arial" w:hAnsi="Arial" w:cs="Arial"/>
          <w:i/>
          <w:sz w:val="20"/>
        </w:rPr>
        <w:t xml:space="preserve"> a evitar que o fiscal responsável fique sobrecarregado devido a muitos contratos sob sua responsabilidade; </w:t>
      </w:r>
    </w:p>
    <w:p w:rsidR="006C145C" w:rsidRDefault="00C62E5A">
      <w:pPr>
        <w:pBdr>
          <w:top w:val="single" w:sz="4" w:space="0" w:color="000080"/>
          <w:left w:val="single" w:sz="4" w:space="0" w:color="000080"/>
          <w:bottom w:val="single" w:sz="4" w:space="0" w:color="000080"/>
          <w:right w:val="single" w:sz="4" w:space="0" w:color="000080"/>
        </w:pBdr>
        <w:shd w:val="clear" w:color="auto" w:fill="FFFFCC"/>
        <w:spacing w:after="145" w:line="250" w:lineRule="auto"/>
        <w:ind w:left="7" w:right="52" w:hanging="10"/>
        <w:jc w:val="both"/>
      </w:pPr>
      <w:r>
        <w:rPr>
          <w:rFonts w:ascii="Arial" w:eastAsia="Arial" w:hAnsi="Arial" w:cs="Arial"/>
          <w:i/>
          <w:sz w:val="20"/>
        </w:rPr>
        <w:t xml:space="preserve">9.1.3. realize sistematicamente o acompanhamento dos trabalhos realizados pelos fiscais; (Acórdão nº 1094/2013-Plenário). </w:t>
      </w:r>
    </w:p>
    <w:p w:rsidR="006C145C" w:rsidRDefault="00C62E5A">
      <w:pPr>
        <w:spacing w:after="6" w:line="270" w:lineRule="auto"/>
        <w:ind w:left="357" w:right="54" w:hanging="360"/>
        <w:jc w:val="both"/>
      </w:pPr>
      <w:r>
        <w:rPr>
          <w:rFonts w:ascii="Arial" w:eastAsia="Arial" w:hAnsi="Arial" w:cs="Arial"/>
          <w:sz w:val="18"/>
        </w:rPr>
        <w:t xml:space="preserve">16.1 </w:t>
      </w:r>
      <w:r>
        <w:rPr>
          <w:rFonts w:ascii="Arial" w:eastAsia="Arial" w:hAnsi="Arial" w:cs="Arial"/>
          <w:sz w:val="20"/>
        </w:rPr>
        <w:t xml:space="preserve"> </w:t>
      </w:r>
      <w:r>
        <w:rPr>
          <w:rFonts w:ascii="Arial" w:eastAsia="Arial" w:hAnsi="Arial" w:cs="Arial"/>
          <w:sz w:val="20"/>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w:t>
      </w:r>
      <w:r>
        <w:rPr>
          <w:rFonts w:ascii="Arial" w:eastAsia="Arial" w:hAnsi="Arial" w:cs="Arial"/>
          <w:sz w:val="20"/>
        </w:rPr>
        <w:t xml:space="preserve">um ou mais representantes da Contratante, especialmente designados, na forma dos arts. 67 e 73 da Lei nº 8.666, de 1993. </w:t>
      </w:r>
    </w:p>
    <w:p w:rsidR="006C145C" w:rsidRDefault="00C62E5A">
      <w:pPr>
        <w:spacing w:after="6" w:line="270" w:lineRule="auto"/>
        <w:ind w:left="357" w:right="54" w:hanging="360"/>
        <w:jc w:val="both"/>
      </w:pPr>
      <w:r>
        <w:rPr>
          <w:rFonts w:ascii="Arial" w:eastAsia="Arial" w:hAnsi="Arial" w:cs="Arial"/>
          <w:sz w:val="18"/>
        </w:rPr>
        <w:t xml:space="preserve">16.2 </w:t>
      </w:r>
      <w:r>
        <w:rPr>
          <w:rFonts w:ascii="Arial" w:eastAsia="Arial" w:hAnsi="Arial" w:cs="Arial"/>
          <w:sz w:val="20"/>
        </w:rPr>
        <w:t xml:space="preserve"> As atividades de gestão e fiscalização da execução contratual são o conjunto de ações que tem por objetivo aferir o cumprimento </w:t>
      </w:r>
      <w:r>
        <w:rPr>
          <w:rFonts w:ascii="Arial" w:eastAsia="Arial" w:hAnsi="Arial" w:cs="Arial"/>
          <w:sz w:val="20"/>
        </w:rPr>
        <w:t xml:space="preserve">dos resultados previstos pela Administração para o serviço contratado, verificar a regularidade das obrigações previdenciárias, fiscais e trabalhistas, bem como prestar apoio à instrução processual e o encaminhamento da documentação pertinente ao setor de </w:t>
      </w:r>
      <w:r>
        <w:rPr>
          <w:rFonts w:ascii="Arial" w:eastAsia="Arial" w:hAnsi="Arial" w:cs="Arial"/>
          <w:sz w:val="20"/>
        </w:rPr>
        <w:t>contratos para a formalização dos procedimentos relativos a repactuação, alteração, reequilíbrio, prorrogação, pagamento, eventual aplicação de sanções, extinção do contrato, dentre outras, com vista a assegurar o cumprimento das cláusulas avençadas e a so</w:t>
      </w:r>
      <w:r>
        <w:rPr>
          <w:rFonts w:ascii="Arial" w:eastAsia="Arial" w:hAnsi="Arial" w:cs="Arial"/>
          <w:sz w:val="20"/>
        </w:rPr>
        <w:t xml:space="preserve">lução de problemas relativos ao objeto. </w:t>
      </w:r>
    </w:p>
    <w:p w:rsidR="006C145C" w:rsidRDefault="00C62E5A">
      <w:pPr>
        <w:spacing w:after="8" w:line="270" w:lineRule="auto"/>
        <w:ind w:left="357" w:right="54" w:hanging="360"/>
        <w:jc w:val="both"/>
      </w:pPr>
      <w:r>
        <w:rPr>
          <w:rFonts w:ascii="Arial" w:eastAsia="Arial" w:hAnsi="Arial" w:cs="Arial"/>
          <w:sz w:val="18"/>
        </w:rPr>
        <w:lastRenderedPageBreak/>
        <w:t xml:space="preserve">16.3 </w:t>
      </w:r>
      <w:r>
        <w:rPr>
          <w:rFonts w:ascii="Arial" w:eastAsia="Arial" w:hAnsi="Arial" w:cs="Arial"/>
          <w:sz w:val="20"/>
        </w:rPr>
        <w:t xml:space="preserve"> O conjunto de atividades de gestão e fiscalização compete ao gestor da execução do contrato, podendo ser auxiliado pela fiscalização técnica, administrativa, setorial e pelo público usuário, de acordo com as s</w:t>
      </w:r>
      <w:r>
        <w:rPr>
          <w:rFonts w:ascii="Arial" w:eastAsia="Arial" w:hAnsi="Arial" w:cs="Arial"/>
          <w:sz w:val="20"/>
        </w:rPr>
        <w:t xml:space="preserve">eguintes disposições:   </w:t>
      </w:r>
    </w:p>
    <w:p w:rsidR="006C145C" w:rsidRDefault="00C62E5A">
      <w:pPr>
        <w:numPr>
          <w:ilvl w:val="0"/>
          <w:numId w:val="22"/>
        </w:numPr>
        <w:spacing w:after="6" w:line="270" w:lineRule="auto"/>
        <w:ind w:right="54" w:hanging="10"/>
        <w:jc w:val="both"/>
      </w:pPr>
      <w:r>
        <w:rPr>
          <w:rFonts w:ascii="Arial" w:eastAsia="Arial" w:hAnsi="Arial" w:cs="Arial"/>
          <w:sz w:val="20"/>
        </w:rPr>
        <w:t>– Gestão da Execução do Contrato: é a coordenação das atividades relacionadas à fiscalização técnica, administrativa, setorial e pelo público usuário, bem como dos atos preparatórios à instrução processual e ao encaminhamento da do</w:t>
      </w:r>
      <w:r>
        <w:rPr>
          <w:rFonts w:ascii="Arial" w:eastAsia="Arial" w:hAnsi="Arial" w:cs="Arial"/>
          <w:sz w:val="20"/>
        </w:rPr>
        <w:t xml:space="preserve">cumentação pertinente ao setor de contratos para formalização dos procedimentos quanto aos aspectos que envolvam a prorrogação, alteração, reequilíbrio, pagamento, eventual aplicação de sanções, extinção do contrato, dentre outros;   </w:t>
      </w:r>
    </w:p>
    <w:p w:rsidR="006C145C" w:rsidRDefault="00C62E5A">
      <w:pPr>
        <w:numPr>
          <w:ilvl w:val="0"/>
          <w:numId w:val="22"/>
        </w:numPr>
        <w:spacing w:after="6" w:line="270" w:lineRule="auto"/>
        <w:ind w:right="54" w:hanging="10"/>
        <w:jc w:val="both"/>
      </w:pPr>
      <w:r>
        <w:rPr>
          <w:rFonts w:ascii="Arial" w:eastAsia="Arial" w:hAnsi="Arial" w:cs="Arial"/>
          <w:sz w:val="20"/>
        </w:rPr>
        <w:t>– Fiscalização Técnic</w:t>
      </w:r>
      <w:r>
        <w:rPr>
          <w:rFonts w:ascii="Arial" w:eastAsia="Arial" w:hAnsi="Arial" w:cs="Arial"/>
          <w:sz w:val="20"/>
        </w:rPr>
        <w:t>a:  é o acompanhamento com o objetivo de avaliar a execução do objeto nos moldes contratados e, se for o caso, aferir se a quantidade, qualidade, tempo e modo da prestação dos serviços estão compatíveis com os indicadores de níveis mínimos de desempenho es</w:t>
      </w:r>
      <w:r>
        <w:rPr>
          <w:rFonts w:ascii="Arial" w:eastAsia="Arial" w:hAnsi="Arial" w:cs="Arial"/>
          <w:sz w:val="20"/>
        </w:rPr>
        <w:t xml:space="preserve">tipulados no ato convocatório, para efeito de pagamento conforme o resultado, podendo ser auxiliado pela fiscalização pelo público usuário;   </w:t>
      </w:r>
    </w:p>
    <w:p w:rsidR="006C145C" w:rsidRDefault="00C62E5A">
      <w:pPr>
        <w:numPr>
          <w:ilvl w:val="0"/>
          <w:numId w:val="22"/>
        </w:numPr>
        <w:spacing w:after="5" w:line="270" w:lineRule="auto"/>
        <w:ind w:right="54" w:hanging="10"/>
        <w:jc w:val="both"/>
      </w:pPr>
      <w:r>
        <w:rPr>
          <w:rFonts w:ascii="Arial" w:eastAsia="Arial" w:hAnsi="Arial" w:cs="Arial"/>
          <w:sz w:val="20"/>
        </w:rPr>
        <w:t xml:space="preserve">– Fiscalização Administrativa:  é o acompanhamento dos aspectos administrativos da execução dos serviços, quanto </w:t>
      </w:r>
      <w:r>
        <w:rPr>
          <w:rFonts w:ascii="Arial" w:eastAsia="Arial" w:hAnsi="Arial" w:cs="Arial"/>
          <w:sz w:val="20"/>
        </w:rPr>
        <w:t xml:space="preserve">às obrigações previdenciárias, fiscais e trabalhistas, bem como quanto às providências tempestivas nos casos de inadimplemento;   </w:t>
      </w:r>
    </w:p>
    <w:p w:rsidR="006C145C" w:rsidRDefault="00C62E5A">
      <w:pPr>
        <w:numPr>
          <w:ilvl w:val="0"/>
          <w:numId w:val="22"/>
        </w:numPr>
        <w:spacing w:after="130" w:line="270" w:lineRule="auto"/>
        <w:ind w:right="54" w:hanging="10"/>
        <w:jc w:val="both"/>
      </w:pPr>
      <w:r>
        <w:rPr>
          <w:rFonts w:ascii="Arial" w:eastAsia="Arial" w:hAnsi="Arial" w:cs="Arial"/>
          <w:i/>
          <w:color w:val="FF0000"/>
          <w:sz w:val="20"/>
        </w:rPr>
        <w:t>– Fiscalização Setorial: é o acompanhamento da execução do contrato nos aspectos técnicos ou administrativos, quando a presta</w:t>
      </w:r>
      <w:r>
        <w:rPr>
          <w:rFonts w:ascii="Arial" w:eastAsia="Arial" w:hAnsi="Arial" w:cs="Arial"/>
          <w:i/>
          <w:color w:val="FF0000"/>
          <w:sz w:val="20"/>
        </w:rPr>
        <w:t xml:space="preserve">ção dos serviços ocorrer concomitantemente em setores distintos ou em unidades desconcentradas de um mesmo órgão ou entidade; e   </w:t>
      </w:r>
    </w:p>
    <w:p w:rsidR="006C145C" w:rsidRDefault="00C62E5A">
      <w:pPr>
        <w:numPr>
          <w:ilvl w:val="0"/>
          <w:numId w:val="22"/>
        </w:numPr>
        <w:spacing w:after="11" w:line="270" w:lineRule="auto"/>
        <w:ind w:right="54" w:hanging="10"/>
        <w:jc w:val="both"/>
      </w:pPr>
      <w:r>
        <w:rPr>
          <w:rFonts w:ascii="Arial" w:eastAsia="Arial" w:hAnsi="Arial" w:cs="Arial"/>
          <w:i/>
          <w:color w:val="FF0000"/>
          <w:sz w:val="20"/>
        </w:rPr>
        <w:t xml:space="preserve">- </w:t>
      </w:r>
      <w:r>
        <w:rPr>
          <w:rFonts w:ascii="Arial" w:eastAsia="Arial" w:hAnsi="Arial" w:cs="Arial"/>
          <w:i/>
          <w:color w:val="FF0000"/>
          <w:sz w:val="20"/>
        </w:rPr>
        <w:t>Fiscalização pelo Público Usuário: é o acompanhamento da execução contratual por pesquisa de satisfação junto ao usuário, com o objetivo de aferir os resultados da prestação dos serviços, os recursos materiais e os procedimentos utilizados pela contratada,</w:t>
      </w:r>
      <w:r>
        <w:rPr>
          <w:rFonts w:ascii="Arial" w:eastAsia="Arial" w:hAnsi="Arial" w:cs="Arial"/>
          <w:i/>
          <w:color w:val="FF0000"/>
          <w:sz w:val="20"/>
        </w:rPr>
        <w:t xml:space="preserve"> quando for o caso, ou outro fator determinante para a avaliação dos aspectos qualitativos do objeto.   </w:t>
      </w:r>
    </w:p>
    <w:p w:rsidR="006C145C" w:rsidRDefault="00C62E5A">
      <w:pPr>
        <w:numPr>
          <w:ilvl w:val="1"/>
          <w:numId w:val="23"/>
        </w:numPr>
        <w:spacing w:after="6" w:line="270" w:lineRule="auto"/>
        <w:ind w:right="169" w:hanging="360"/>
        <w:jc w:val="both"/>
      </w:pPr>
      <w:r>
        <w:rPr>
          <w:rFonts w:ascii="Arial" w:eastAsia="Arial" w:hAnsi="Arial" w:cs="Arial"/>
          <w:sz w:val="20"/>
        </w:rPr>
        <w:t>Quando a contratação exigir fiscalização setorial, o órgão ou entidade deverá designar representantes nesses locais para atuarem como fiscais setoriais</w:t>
      </w:r>
      <w:r>
        <w:rPr>
          <w:rFonts w:ascii="Arial" w:eastAsia="Arial" w:hAnsi="Arial" w:cs="Arial"/>
          <w:sz w:val="20"/>
        </w:rPr>
        <w:t xml:space="preserve">.  </w:t>
      </w:r>
    </w:p>
    <w:p w:rsidR="006C145C" w:rsidRDefault="00C62E5A">
      <w:pPr>
        <w:numPr>
          <w:ilvl w:val="1"/>
          <w:numId w:val="23"/>
        </w:numPr>
        <w:spacing w:after="6" w:line="270" w:lineRule="auto"/>
        <w:ind w:right="169" w:hanging="360"/>
        <w:jc w:val="both"/>
      </w:pPr>
      <w:r>
        <w:rPr>
          <w:rFonts w:ascii="Arial" w:eastAsia="Arial" w:hAnsi="Arial" w:cs="Arial"/>
          <w:sz w:val="20"/>
        </w:rPr>
        <w:t>As atividades de gestão e fiscalização da execução contratual devem ser realizadas de forma preventiva, rotineira e sistemática, podendo ser exercidas por servidores, equipe de fiscalização ou único servidor, desde que, no exercício dessas atribuições,</w:t>
      </w:r>
      <w:r>
        <w:rPr>
          <w:rFonts w:ascii="Arial" w:eastAsia="Arial" w:hAnsi="Arial" w:cs="Arial"/>
          <w:sz w:val="20"/>
        </w:rPr>
        <w:t xml:space="preserve"> fique assegurada a distinção dessas atividades e, em razão do volume de trabalho, não comprometa o desempenho de todas as ações relacionadas à Gestão do Contrato.  </w:t>
      </w:r>
    </w:p>
    <w:p w:rsidR="006C145C" w:rsidRDefault="00C62E5A">
      <w:pPr>
        <w:numPr>
          <w:ilvl w:val="1"/>
          <w:numId w:val="23"/>
        </w:numPr>
        <w:spacing w:after="9" w:line="270" w:lineRule="auto"/>
        <w:ind w:right="169" w:hanging="360"/>
        <w:jc w:val="both"/>
      </w:pPr>
      <w:r>
        <w:rPr>
          <w:rFonts w:ascii="Arial" w:eastAsia="Arial" w:hAnsi="Arial" w:cs="Arial"/>
          <w:sz w:val="20"/>
        </w:rPr>
        <w:t>A fiscalização administrativa poderá ser efetivada com base em critérios estatísticos, lev</w:t>
      </w:r>
      <w:r>
        <w:rPr>
          <w:rFonts w:ascii="Arial" w:eastAsia="Arial" w:hAnsi="Arial" w:cs="Arial"/>
          <w:sz w:val="20"/>
        </w:rPr>
        <w:t xml:space="preserve">ando-se em consideração falhas que impactem o contrato como um todo e não apenas erros e falhas eventuais no pagamento de alguma vantagem a um determinado empregado. </w:t>
      </w:r>
    </w:p>
    <w:p w:rsidR="006C145C" w:rsidRDefault="00C62E5A">
      <w:pPr>
        <w:numPr>
          <w:ilvl w:val="1"/>
          <w:numId w:val="23"/>
        </w:numPr>
        <w:spacing w:after="5" w:line="270" w:lineRule="auto"/>
        <w:ind w:right="169" w:hanging="360"/>
        <w:jc w:val="both"/>
      </w:pPr>
      <w:r>
        <w:rPr>
          <w:rFonts w:ascii="Arial" w:eastAsia="Arial" w:hAnsi="Arial" w:cs="Arial"/>
          <w:sz w:val="20"/>
        </w:rPr>
        <w:t xml:space="preserve">Na fiscalização do cumprimento das obrigações trabalhistas e sociais exigir-se-á, dentre </w:t>
      </w:r>
      <w:r>
        <w:rPr>
          <w:rFonts w:ascii="Arial" w:eastAsia="Arial" w:hAnsi="Arial" w:cs="Arial"/>
          <w:sz w:val="20"/>
        </w:rPr>
        <w:t xml:space="preserve">outras, as seguintes comprovações (os documentos poderão ser originais ou cópias autenticadas por cartório competente ou por servidor da Administração), no caso de empresas regidas pela Consolidação das Leis do Trabalho (CLT):  </w:t>
      </w:r>
    </w:p>
    <w:p w:rsidR="006C145C" w:rsidRDefault="00C62E5A">
      <w:pPr>
        <w:spacing w:after="19"/>
        <w:ind w:left="708"/>
      </w:pPr>
      <w:r>
        <w:rPr>
          <w:rFonts w:ascii="Arial" w:eastAsia="Arial" w:hAnsi="Arial" w:cs="Arial"/>
          <w:sz w:val="20"/>
        </w:rPr>
        <w:t xml:space="preserve"> </w:t>
      </w:r>
    </w:p>
    <w:p w:rsidR="006C145C" w:rsidRDefault="00C62E5A">
      <w:pPr>
        <w:numPr>
          <w:ilvl w:val="0"/>
          <w:numId w:val="24"/>
        </w:numPr>
        <w:spacing w:after="5" w:line="270" w:lineRule="auto"/>
        <w:ind w:right="54" w:hanging="360"/>
        <w:jc w:val="both"/>
      </w:pPr>
      <w:r>
        <w:rPr>
          <w:rFonts w:ascii="Arial" w:eastAsia="Arial" w:hAnsi="Arial" w:cs="Arial"/>
          <w:sz w:val="20"/>
        </w:rPr>
        <w:t>no primeiro mês da presta</w:t>
      </w:r>
      <w:r>
        <w:rPr>
          <w:rFonts w:ascii="Arial" w:eastAsia="Arial" w:hAnsi="Arial" w:cs="Arial"/>
          <w:sz w:val="20"/>
        </w:rPr>
        <w:t xml:space="preserve">ção dos serviços, a CONTRATADA deverá apresentar a seguinte documentação:   </w:t>
      </w:r>
    </w:p>
    <w:p w:rsidR="006C145C" w:rsidRDefault="00C62E5A">
      <w:pPr>
        <w:spacing w:after="17"/>
        <w:ind w:left="1068"/>
      </w:pPr>
      <w:r>
        <w:rPr>
          <w:rFonts w:ascii="Arial" w:eastAsia="Arial" w:hAnsi="Arial" w:cs="Arial"/>
          <w:sz w:val="20"/>
        </w:rPr>
        <w:t xml:space="preserve"> </w:t>
      </w:r>
    </w:p>
    <w:p w:rsidR="006C145C" w:rsidRDefault="00C62E5A">
      <w:pPr>
        <w:numPr>
          <w:ilvl w:val="1"/>
          <w:numId w:val="24"/>
        </w:numPr>
        <w:spacing w:after="6" w:line="270" w:lineRule="auto"/>
        <w:ind w:right="54" w:hanging="449"/>
        <w:jc w:val="both"/>
      </w:pPr>
      <w:r>
        <w:rPr>
          <w:rFonts w:ascii="Arial" w:eastAsia="Arial" w:hAnsi="Arial" w:cs="Arial"/>
          <w:sz w:val="20"/>
        </w:rPr>
        <w:t>relação dos empregados, contendo nome completo, cargo ou função, horário do posto de trabalho, números da carteira de identidade (RG) e da inscrição no Cadastro de Pessoas Físic</w:t>
      </w:r>
      <w:r>
        <w:rPr>
          <w:rFonts w:ascii="Arial" w:eastAsia="Arial" w:hAnsi="Arial" w:cs="Arial"/>
          <w:sz w:val="20"/>
        </w:rPr>
        <w:t xml:space="preserve">as (CPF), com indicação dos responsáveis técnicos pela execução dos serviços, quando for o caso;   </w:t>
      </w:r>
    </w:p>
    <w:p w:rsidR="006C145C" w:rsidRDefault="00C62E5A">
      <w:pPr>
        <w:spacing w:after="17"/>
        <w:ind w:left="708"/>
      </w:pPr>
      <w:r>
        <w:rPr>
          <w:rFonts w:ascii="Arial" w:eastAsia="Arial" w:hAnsi="Arial" w:cs="Arial"/>
          <w:sz w:val="20"/>
        </w:rPr>
        <w:t xml:space="preserve"> </w:t>
      </w:r>
    </w:p>
    <w:p w:rsidR="006C145C" w:rsidRDefault="00C62E5A">
      <w:pPr>
        <w:numPr>
          <w:ilvl w:val="1"/>
          <w:numId w:val="24"/>
        </w:numPr>
        <w:spacing w:after="6" w:line="270" w:lineRule="auto"/>
        <w:ind w:right="54" w:hanging="449"/>
        <w:jc w:val="both"/>
      </w:pPr>
      <w:r>
        <w:rPr>
          <w:rFonts w:ascii="Arial" w:eastAsia="Arial" w:hAnsi="Arial" w:cs="Arial"/>
          <w:sz w:val="20"/>
        </w:rPr>
        <w:t>Carteira de Trabalho e Previdência Social (CTPS) dos empregados admitidos e dos responsáveis técnicos pela execução dos serviços, quando for o caso, devid</w:t>
      </w:r>
      <w:r>
        <w:rPr>
          <w:rFonts w:ascii="Arial" w:eastAsia="Arial" w:hAnsi="Arial" w:cs="Arial"/>
          <w:sz w:val="20"/>
        </w:rPr>
        <w:t xml:space="preserve">amente assinada pela CONTRATADA; e   </w:t>
      </w:r>
    </w:p>
    <w:p w:rsidR="006C145C" w:rsidRDefault="00C62E5A">
      <w:pPr>
        <w:spacing w:after="17"/>
        <w:ind w:left="708"/>
      </w:pPr>
      <w:r>
        <w:rPr>
          <w:rFonts w:ascii="Arial" w:eastAsia="Arial" w:hAnsi="Arial" w:cs="Arial"/>
          <w:sz w:val="20"/>
        </w:rPr>
        <w:t xml:space="preserve"> </w:t>
      </w:r>
    </w:p>
    <w:p w:rsidR="006C145C" w:rsidRDefault="00C62E5A">
      <w:pPr>
        <w:numPr>
          <w:ilvl w:val="1"/>
          <w:numId w:val="24"/>
        </w:numPr>
        <w:spacing w:after="5" w:line="270" w:lineRule="auto"/>
        <w:ind w:right="54" w:hanging="449"/>
        <w:jc w:val="both"/>
      </w:pPr>
      <w:r>
        <w:rPr>
          <w:rFonts w:ascii="Arial" w:eastAsia="Arial" w:hAnsi="Arial" w:cs="Arial"/>
          <w:sz w:val="20"/>
        </w:rPr>
        <w:t xml:space="preserve">exames médicos admissionais dos empregados da CONTRATADA que prestarão os serviços.   </w:t>
      </w:r>
    </w:p>
    <w:p w:rsidR="006C145C" w:rsidRDefault="00C62E5A">
      <w:pPr>
        <w:spacing w:after="19"/>
        <w:ind w:left="708"/>
      </w:pPr>
      <w:r>
        <w:rPr>
          <w:rFonts w:ascii="Arial" w:eastAsia="Arial" w:hAnsi="Arial" w:cs="Arial"/>
          <w:sz w:val="20"/>
        </w:rPr>
        <w:lastRenderedPageBreak/>
        <w:t xml:space="preserve"> </w:t>
      </w:r>
    </w:p>
    <w:p w:rsidR="006C145C" w:rsidRDefault="00C62E5A">
      <w:pPr>
        <w:numPr>
          <w:ilvl w:val="0"/>
          <w:numId w:val="24"/>
        </w:numPr>
        <w:spacing w:after="5" w:line="270" w:lineRule="auto"/>
        <w:ind w:right="54" w:hanging="360"/>
        <w:jc w:val="both"/>
      </w:pPr>
      <w:r>
        <w:rPr>
          <w:rFonts w:ascii="Arial" w:eastAsia="Arial" w:hAnsi="Arial" w:cs="Arial"/>
          <w:sz w:val="20"/>
        </w:rPr>
        <w:t xml:space="preserve">entrega até o dia trinta do mês seguinte ao da prestação dos serviços ao setor responsável pela fiscalização do contrato dos seguintes documentos, quando não for possível a verificação da regularidade destes no Sistema de Cadastro de Fornecedores (SICAF): </w:t>
      </w:r>
      <w:r>
        <w:rPr>
          <w:rFonts w:ascii="Arial" w:eastAsia="Arial" w:hAnsi="Arial" w:cs="Arial"/>
          <w:sz w:val="20"/>
        </w:rPr>
        <w:t xml:space="preserve"> </w:t>
      </w:r>
    </w:p>
    <w:p w:rsidR="006C145C" w:rsidRDefault="00C62E5A">
      <w:pPr>
        <w:spacing w:after="17"/>
        <w:ind w:left="1068"/>
      </w:pPr>
      <w:r>
        <w:rPr>
          <w:rFonts w:ascii="Arial" w:eastAsia="Arial" w:hAnsi="Arial" w:cs="Arial"/>
          <w:sz w:val="20"/>
        </w:rPr>
        <w:t xml:space="preserve"> </w:t>
      </w:r>
    </w:p>
    <w:p w:rsidR="006C145C" w:rsidRDefault="00C62E5A">
      <w:pPr>
        <w:numPr>
          <w:ilvl w:val="1"/>
          <w:numId w:val="24"/>
        </w:numPr>
        <w:spacing w:after="7" w:line="270" w:lineRule="auto"/>
        <w:ind w:right="54" w:hanging="449"/>
        <w:jc w:val="both"/>
      </w:pPr>
      <w:r>
        <w:rPr>
          <w:rFonts w:ascii="Arial" w:eastAsia="Arial" w:hAnsi="Arial" w:cs="Arial"/>
          <w:sz w:val="20"/>
        </w:rPr>
        <w:t xml:space="preserve">Certidão Negativa de Débitos relativos a Créditos Tributários Federais e à Dívida Ativa da União (CND);   </w:t>
      </w:r>
    </w:p>
    <w:p w:rsidR="006C145C" w:rsidRDefault="00C62E5A">
      <w:pPr>
        <w:spacing w:after="17"/>
        <w:ind w:left="708"/>
      </w:pPr>
      <w:r>
        <w:rPr>
          <w:rFonts w:ascii="Arial" w:eastAsia="Arial" w:hAnsi="Arial" w:cs="Arial"/>
          <w:sz w:val="20"/>
        </w:rPr>
        <w:t xml:space="preserve"> </w:t>
      </w:r>
    </w:p>
    <w:p w:rsidR="006C145C" w:rsidRDefault="00C62E5A">
      <w:pPr>
        <w:numPr>
          <w:ilvl w:val="1"/>
          <w:numId w:val="24"/>
        </w:numPr>
        <w:spacing w:after="5" w:line="270" w:lineRule="auto"/>
        <w:ind w:right="54" w:hanging="449"/>
        <w:jc w:val="both"/>
      </w:pPr>
      <w:r>
        <w:rPr>
          <w:rFonts w:ascii="Arial" w:eastAsia="Arial" w:hAnsi="Arial" w:cs="Arial"/>
          <w:sz w:val="20"/>
        </w:rPr>
        <w:t xml:space="preserve">certidões que comprovem a regularidade perante as Fazendas Estadual, Distrital e Municipal do domicílio ou sede do contratado;   </w:t>
      </w:r>
    </w:p>
    <w:p w:rsidR="006C145C" w:rsidRDefault="00C62E5A">
      <w:pPr>
        <w:spacing w:after="19"/>
        <w:ind w:left="708"/>
      </w:pPr>
      <w:r>
        <w:rPr>
          <w:rFonts w:ascii="Arial" w:eastAsia="Arial" w:hAnsi="Arial" w:cs="Arial"/>
          <w:sz w:val="20"/>
        </w:rPr>
        <w:t xml:space="preserve"> </w:t>
      </w:r>
    </w:p>
    <w:p w:rsidR="006C145C" w:rsidRDefault="00C62E5A">
      <w:pPr>
        <w:numPr>
          <w:ilvl w:val="1"/>
          <w:numId w:val="24"/>
        </w:numPr>
        <w:spacing w:after="7" w:line="270" w:lineRule="auto"/>
        <w:ind w:right="54" w:hanging="449"/>
        <w:jc w:val="both"/>
      </w:pPr>
      <w:r>
        <w:rPr>
          <w:rFonts w:ascii="Arial" w:eastAsia="Arial" w:hAnsi="Arial" w:cs="Arial"/>
          <w:sz w:val="20"/>
        </w:rPr>
        <w:t>Certidão de</w:t>
      </w:r>
      <w:r>
        <w:rPr>
          <w:rFonts w:ascii="Arial" w:eastAsia="Arial" w:hAnsi="Arial" w:cs="Arial"/>
          <w:sz w:val="20"/>
        </w:rPr>
        <w:t xml:space="preserve"> Regularidade do FGTS (CRF); e   </w:t>
      </w:r>
    </w:p>
    <w:p w:rsidR="006C145C" w:rsidRDefault="00C62E5A">
      <w:pPr>
        <w:spacing w:after="17"/>
        <w:ind w:left="708"/>
      </w:pPr>
      <w:r>
        <w:rPr>
          <w:rFonts w:ascii="Arial" w:eastAsia="Arial" w:hAnsi="Arial" w:cs="Arial"/>
          <w:sz w:val="20"/>
        </w:rPr>
        <w:t xml:space="preserve"> </w:t>
      </w:r>
    </w:p>
    <w:p w:rsidR="006C145C" w:rsidRDefault="00C62E5A">
      <w:pPr>
        <w:numPr>
          <w:ilvl w:val="1"/>
          <w:numId w:val="24"/>
        </w:numPr>
        <w:spacing w:after="7" w:line="270" w:lineRule="auto"/>
        <w:ind w:right="54" w:hanging="449"/>
        <w:jc w:val="both"/>
      </w:pPr>
      <w:r>
        <w:rPr>
          <w:rFonts w:ascii="Arial" w:eastAsia="Arial" w:hAnsi="Arial" w:cs="Arial"/>
          <w:sz w:val="20"/>
        </w:rPr>
        <w:t xml:space="preserve">Certidão Negativa de Débitos Trabalhistas (CNDT).   </w:t>
      </w:r>
    </w:p>
    <w:p w:rsidR="006C145C" w:rsidRDefault="00C62E5A">
      <w:pPr>
        <w:spacing w:after="17"/>
        <w:ind w:left="708"/>
      </w:pPr>
      <w:r>
        <w:rPr>
          <w:rFonts w:ascii="Arial" w:eastAsia="Arial" w:hAnsi="Arial" w:cs="Arial"/>
          <w:sz w:val="20"/>
        </w:rPr>
        <w:t xml:space="preserve"> </w:t>
      </w:r>
    </w:p>
    <w:p w:rsidR="006C145C" w:rsidRDefault="00C62E5A">
      <w:pPr>
        <w:numPr>
          <w:ilvl w:val="0"/>
          <w:numId w:val="24"/>
        </w:numPr>
        <w:spacing w:after="10" w:line="270" w:lineRule="auto"/>
        <w:ind w:right="54" w:hanging="360"/>
        <w:jc w:val="both"/>
      </w:pPr>
      <w:r>
        <w:rPr>
          <w:rFonts w:ascii="Arial" w:eastAsia="Arial" w:hAnsi="Arial" w:cs="Arial"/>
          <w:sz w:val="20"/>
        </w:rPr>
        <w:t xml:space="preserve">entrega, quando solicitado pela CONTRATANTE, de quaisquer dos seguintes documentos:   </w:t>
      </w:r>
    </w:p>
    <w:p w:rsidR="006C145C" w:rsidRDefault="00C62E5A">
      <w:pPr>
        <w:spacing w:after="17"/>
        <w:ind w:left="1068"/>
      </w:pPr>
      <w:r>
        <w:rPr>
          <w:rFonts w:ascii="Arial" w:eastAsia="Arial" w:hAnsi="Arial" w:cs="Arial"/>
          <w:sz w:val="20"/>
        </w:rPr>
        <w:t xml:space="preserve"> </w:t>
      </w:r>
    </w:p>
    <w:p w:rsidR="006C145C" w:rsidRDefault="00C62E5A">
      <w:pPr>
        <w:numPr>
          <w:ilvl w:val="1"/>
          <w:numId w:val="24"/>
        </w:numPr>
        <w:spacing w:after="2" w:line="254" w:lineRule="auto"/>
        <w:ind w:right="54" w:hanging="449"/>
        <w:jc w:val="both"/>
      </w:pPr>
      <w:r>
        <w:rPr>
          <w:rFonts w:ascii="Arial" w:eastAsia="Arial" w:hAnsi="Arial" w:cs="Arial"/>
          <w:sz w:val="20"/>
        </w:rPr>
        <w:t xml:space="preserve">extrato da conta do INSS e do FGTS de qualquer empregado, a critério da CONTRATANTE;  </w:t>
      </w:r>
    </w:p>
    <w:p w:rsidR="006C145C" w:rsidRDefault="00C62E5A">
      <w:pPr>
        <w:spacing w:after="0"/>
        <w:ind w:left="358"/>
      </w:pPr>
      <w:r>
        <w:rPr>
          <w:rFonts w:ascii="Arial" w:eastAsia="Arial" w:hAnsi="Arial" w:cs="Arial"/>
          <w:sz w:val="20"/>
        </w:rPr>
        <w:t xml:space="preserve"> </w:t>
      </w:r>
    </w:p>
    <w:p w:rsidR="006C145C" w:rsidRDefault="00C62E5A">
      <w:pPr>
        <w:numPr>
          <w:ilvl w:val="1"/>
          <w:numId w:val="24"/>
        </w:numPr>
        <w:spacing w:after="8" w:line="270" w:lineRule="auto"/>
        <w:ind w:right="54" w:hanging="449"/>
        <w:jc w:val="both"/>
      </w:pPr>
      <w:r>
        <w:rPr>
          <w:rFonts w:ascii="Arial" w:eastAsia="Arial" w:hAnsi="Arial" w:cs="Arial"/>
          <w:sz w:val="20"/>
        </w:rPr>
        <w:t xml:space="preserve">cópia da folha de pagamento analítica de qualquer mês da prestação dos serviços, em que </w:t>
      </w:r>
    </w:p>
    <w:p w:rsidR="006C145C" w:rsidRDefault="00C62E5A">
      <w:pPr>
        <w:spacing w:after="7" w:line="270" w:lineRule="auto"/>
        <w:ind w:left="291" w:right="54" w:hanging="8"/>
        <w:jc w:val="both"/>
      </w:pPr>
      <w:r>
        <w:rPr>
          <w:rFonts w:ascii="Arial" w:eastAsia="Arial" w:hAnsi="Arial" w:cs="Arial"/>
          <w:sz w:val="20"/>
        </w:rPr>
        <w:t xml:space="preserve">conste como tomador CONTRATANTE; </w:t>
      </w:r>
    </w:p>
    <w:p w:rsidR="006C145C" w:rsidRDefault="00C62E5A">
      <w:pPr>
        <w:spacing w:after="17"/>
        <w:ind w:left="358"/>
      </w:pPr>
      <w:r>
        <w:rPr>
          <w:rFonts w:ascii="Arial" w:eastAsia="Arial" w:hAnsi="Arial" w:cs="Arial"/>
          <w:sz w:val="20"/>
        </w:rPr>
        <w:t xml:space="preserve"> </w:t>
      </w:r>
    </w:p>
    <w:p w:rsidR="006C145C" w:rsidRDefault="00C62E5A">
      <w:pPr>
        <w:numPr>
          <w:ilvl w:val="1"/>
          <w:numId w:val="24"/>
        </w:numPr>
        <w:spacing w:after="10" w:line="270" w:lineRule="auto"/>
        <w:ind w:right="54" w:hanging="449"/>
        <w:jc w:val="both"/>
      </w:pPr>
      <w:r>
        <w:rPr>
          <w:rFonts w:ascii="Arial" w:eastAsia="Arial" w:hAnsi="Arial" w:cs="Arial"/>
          <w:sz w:val="20"/>
        </w:rPr>
        <w:t>cópia dos contracheques dos empregados rel</w:t>
      </w:r>
      <w:r>
        <w:rPr>
          <w:rFonts w:ascii="Arial" w:eastAsia="Arial" w:hAnsi="Arial" w:cs="Arial"/>
          <w:sz w:val="20"/>
        </w:rPr>
        <w:t xml:space="preserve">ativos a qualquer mês da prestação dos serviços </w:t>
      </w:r>
    </w:p>
    <w:p w:rsidR="006C145C" w:rsidRDefault="00C62E5A">
      <w:pPr>
        <w:spacing w:after="7" w:line="270" w:lineRule="auto"/>
        <w:ind w:left="291" w:right="54" w:hanging="8"/>
        <w:jc w:val="both"/>
      </w:pPr>
      <w:r>
        <w:rPr>
          <w:rFonts w:ascii="Arial" w:eastAsia="Arial" w:hAnsi="Arial" w:cs="Arial"/>
          <w:sz w:val="20"/>
        </w:rPr>
        <w:t xml:space="preserve">ou, ainda, quando necessário, cópia de recibos de depósitos bancários;   </w:t>
      </w:r>
    </w:p>
    <w:p w:rsidR="006C145C" w:rsidRDefault="00C62E5A">
      <w:pPr>
        <w:spacing w:after="17"/>
        <w:ind w:left="358"/>
      </w:pPr>
      <w:r>
        <w:rPr>
          <w:rFonts w:ascii="Arial" w:eastAsia="Arial" w:hAnsi="Arial" w:cs="Arial"/>
          <w:sz w:val="20"/>
        </w:rPr>
        <w:t xml:space="preserve"> </w:t>
      </w:r>
    </w:p>
    <w:p w:rsidR="006C145C" w:rsidRDefault="00C62E5A">
      <w:pPr>
        <w:numPr>
          <w:ilvl w:val="1"/>
          <w:numId w:val="24"/>
        </w:numPr>
        <w:spacing w:after="7" w:line="270" w:lineRule="auto"/>
        <w:ind w:right="54" w:hanging="449"/>
        <w:jc w:val="both"/>
      </w:pPr>
      <w:r>
        <w:rPr>
          <w:rFonts w:ascii="Arial" w:eastAsia="Arial" w:hAnsi="Arial" w:cs="Arial"/>
          <w:sz w:val="20"/>
        </w:rPr>
        <w:t xml:space="preserve">comprovantes de entrega de benefícios suplementares (vale-transporte, vale-alimentação, </w:t>
      </w:r>
    </w:p>
    <w:p w:rsidR="006C145C" w:rsidRDefault="00C62E5A">
      <w:pPr>
        <w:spacing w:after="8" w:line="270" w:lineRule="auto"/>
        <w:ind w:left="291" w:right="54" w:hanging="8"/>
        <w:jc w:val="both"/>
      </w:pPr>
      <w:r>
        <w:rPr>
          <w:rFonts w:ascii="Arial" w:eastAsia="Arial" w:hAnsi="Arial" w:cs="Arial"/>
          <w:sz w:val="20"/>
        </w:rPr>
        <w:t xml:space="preserve">entre outros), a que estiver obrigada por </w:t>
      </w:r>
      <w:r>
        <w:rPr>
          <w:rFonts w:ascii="Arial" w:eastAsia="Arial" w:hAnsi="Arial" w:cs="Arial"/>
          <w:sz w:val="20"/>
        </w:rPr>
        <w:t xml:space="preserve">força de lei ou de Convenção ou Acordo Coletivo de Trabalho, relativos a qualquer mês da prestação dos serviços e de qualquer empregado; e   </w:t>
      </w:r>
    </w:p>
    <w:p w:rsidR="006C145C" w:rsidRDefault="00C62E5A">
      <w:pPr>
        <w:spacing w:after="17"/>
        <w:ind w:left="358"/>
      </w:pPr>
      <w:r>
        <w:rPr>
          <w:rFonts w:ascii="Arial" w:eastAsia="Arial" w:hAnsi="Arial" w:cs="Arial"/>
          <w:sz w:val="20"/>
        </w:rPr>
        <w:t xml:space="preserve"> </w:t>
      </w:r>
    </w:p>
    <w:p w:rsidR="006C145C" w:rsidRDefault="00C62E5A">
      <w:pPr>
        <w:numPr>
          <w:ilvl w:val="1"/>
          <w:numId w:val="24"/>
        </w:numPr>
        <w:spacing w:after="7" w:line="270" w:lineRule="auto"/>
        <w:ind w:right="54" w:hanging="449"/>
        <w:jc w:val="both"/>
      </w:pPr>
      <w:r>
        <w:rPr>
          <w:rFonts w:ascii="Arial" w:eastAsia="Arial" w:hAnsi="Arial" w:cs="Arial"/>
          <w:sz w:val="20"/>
        </w:rPr>
        <w:t xml:space="preserve">comprovantes de realização de eventuais cursos de treinamento e reciclagem que forem </w:t>
      </w:r>
    </w:p>
    <w:p w:rsidR="006C145C" w:rsidRDefault="00C62E5A">
      <w:pPr>
        <w:spacing w:after="7" w:line="270" w:lineRule="auto"/>
        <w:ind w:left="291" w:right="54" w:hanging="8"/>
        <w:jc w:val="both"/>
      </w:pPr>
      <w:r>
        <w:rPr>
          <w:rFonts w:ascii="Arial" w:eastAsia="Arial" w:hAnsi="Arial" w:cs="Arial"/>
          <w:sz w:val="20"/>
        </w:rPr>
        <w:t xml:space="preserve">exigidos por lei ou pelo contrato.   </w:t>
      </w:r>
    </w:p>
    <w:p w:rsidR="006C145C" w:rsidRDefault="00C62E5A">
      <w:pPr>
        <w:spacing w:after="17"/>
        <w:ind w:left="358"/>
      </w:pPr>
      <w:r>
        <w:rPr>
          <w:rFonts w:ascii="Arial" w:eastAsia="Arial" w:hAnsi="Arial" w:cs="Arial"/>
          <w:sz w:val="20"/>
        </w:rPr>
        <w:t xml:space="preserve"> </w:t>
      </w:r>
    </w:p>
    <w:p w:rsidR="006C145C" w:rsidRDefault="00C62E5A">
      <w:pPr>
        <w:numPr>
          <w:ilvl w:val="0"/>
          <w:numId w:val="24"/>
        </w:numPr>
        <w:spacing w:after="10" w:line="270" w:lineRule="auto"/>
        <w:ind w:right="54" w:hanging="360"/>
        <w:jc w:val="both"/>
      </w:pPr>
      <w:r>
        <w:rPr>
          <w:rFonts w:ascii="Arial" w:eastAsia="Arial" w:hAnsi="Arial" w:cs="Arial"/>
          <w:sz w:val="20"/>
        </w:rPr>
        <w:t xml:space="preserve">entrega de cópia da documentação abaixo relacionada, quando da extinção ou rescisão do </w:t>
      </w:r>
    </w:p>
    <w:p w:rsidR="006C145C" w:rsidRDefault="00C62E5A">
      <w:pPr>
        <w:spacing w:after="7" w:line="270" w:lineRule="auto"/>
        <w:ind w:left="291" w:right="54" w:hanging="8"/>
        <w:jc w:val="both"/>
      </w:pPr>
      <w:r>
        <w:rPr>
          <w:rFonts w:ascii="Arial" w:eastAsia="Arial" w:hAnsi="Arial" w:cs="Arial"/>
          <w:sz w:val="20"/>
        </w:rPr>
        <w:t xml:space="preserve">contrato, após o último mês de prestação dos serviços, no prazo definido no contrato:   </w:t>
      </w:r>
    </w:p>
    <w:p w:rsidR="006C145C" w:rsidRDefault="00C62E5A">
      <w:pPr>
        <w:spacing w:after="17"/>
        <w:ind w:left="358"/>
      </w:pPr>
      <w:r>
        <w:rPr>
          <w:rFonts w:ascii="Arial" w:eastAsia="Arial" w:hAnsi="Arial" w:cs="Arial"/>
          <w:sz w:val="20"/>
        </w:rPr>
        <w:t xml:space="preserve"> </w:t>
      </w:r>
    </w:p>
    <w:p w:rsidR="006C145C" w:rsidRDefault="00C62E5A">
      <w:pPr>
        <w:numPr>
          <w:ilvl w:val="1"/>
          <w:numId w:val="24"/>
        </w:numPr>
        <w:spacing w:after="7" w:line="270" w:lineRule="auto"/>
        <w:ind w:right="54" w:hanging="449"/>
        <w:jc w:val="both"/>
      </w:pPr>
      <w:r>
        <w:rPr>
          <w:rFonts w:ascii="Arial" w:eastAsia="Arial" w:hAnsi="Arial" w:cs="Arial"/>
          <w:sz w:val="20"/>
        </w:rPr>
        <w:t>termos de rescisão dos contratos de t</w:t>
      </w:r>
      <w:r>
        <w:rPr>
          <w:rFonts w:ascii="Arial" w:eastAsia="Arial" w:hAnsi="Arial" w:cs="Arial"/>
          <w:sz w:val="20"/>
        </w:rPr>
        <w:t xml:space="preserve">rabalho dos empregados prestadores de serviço, </w:t>
      </w:r>
    </w:p>
    <w:p w:rsidR="006C145C" w:rsidRDefault="00C62E5A">
      <w:pPr>
        <w:spacing w:after="7" w:line="270" w:lineRule="auto"/>
        <w:ind w:left="291" w:right="54" w:hanging="8"/>
        <w:jc w:val="both"/>
      </w:pPr>
      <w:r>
        <w:rPr>
          <w:rFonts w:ascii="Arial" w:eastAsia="Arial" w:hAnsi="Arial" w:cs="Arial"/>
          <w:sz w:val="20"/>
        </w:rPr>
        <w:t xml:space="preserve">devidamente homologados, quando exigível pelo sindicato da categoria;  </w:t>
      </w:r>
    </w:p>
    <w:p w:rsidR="006C145C" w:rsidRDefault="00C62E5A">
      <w:pPr>
        <w:spacing w:after="19"/>
        <w:ind w:left="358"/>
      </w:pPr>
      <w:r>
        <w:rPr>
          <w:rFonts w:ascii="Arial" w:eastAsia="Arial" w:hAnsi="Arial" w:cs="Arial"/>
          <w:sz w:val="20"/>
        </w:rPr>
        <w:t xml:space="preserve"> </w:t>
      </w:r>
    </w:p>
    <w:p w:rsidR="006C145C" w:rsidRDefault="00C62E5A">
      <w:pPr>
        <w:numPr>
          <w:ilvl w:val="1"/>
          <w:numId w:val="24"/>
        </w:numPr>
        <w:spacing w:after="7" w:line="270" w:lineRule="auto"/>
        <w:ind w:right="54" w:hanging="449"/>
        <w:jc w:val="both"/>
      </w:pPr>
      <w:r>
        <w:rPr>
          <w:rFonts w:ascii="Arial" w:eastAsia="Arial" w:hAnsi="Arial" w:cs="Arial"/>
          <w:sz w:val="20"/>
        </w:rPr>
        <w:t xml:space="preserve">guias de recolhimento da contribuição previdenciária e do FGTS, referentes às rescisões </w:t>
      </w:r>
    </w:p>
    <w:p w:rsidR="006C145C" w:rsidRDefault="00C62E5A">
      <w:pPr>
        <w:spacing w:after="7" w:line="270" w:lineRule="auto"/>
        <w:ind w:left="291" w:right="54" w:hanging="8"/>
        <w:jc w:val="both"/>
      </w:pPr>
      <w:r>
        <w:rPr>
          <w:rFonts w:ascii="Arial" w:eastAsia="Arial" w:hAnsi="Arial" w:cs="Arial"/>
          <w:sz w:val="20"/>
        </w:rPr>
        <w:t xml:space="preserve">contratuais;   </w:t>
      </w:r>
    </w:p>
    <w:p w:rsidR="006C145C" w:rsidRDefault="00C62E5A">
      <w:pPr>
        <w:spacing w:after="17"/>
        <w:ind w:left="358"/>
      </w:pPr>
      <w:r>
        <w:rPr>
          <w:rFonts w:ascii="Arial" w:eastAsia="Arial" w:hAnsi="Arial" w:cs="Arial"/>
          <w:sz w:val="20"/>
        </w:rPr>
        <w:t xml:space="preserve"> </w:t>
      </w:r>
    </w:p>
    <w:p w:rsidR="006C145C" w:rsidRDefault="00C62E5A">
      <w:pPr>
        <w:numPr>
          <w:ilvl w:val="1"/>
          <w:numId w:val="24"/>
        </w:numPr>
        <w:spacing w:after="7" w:line="270" w:lineRule="auto"/>
        <w:ind w:right="54" w:hanging="449"/>
        <w:jc w:val="both"/>
      </w:pPr>
      <w:r>
        <w:rPr>
          <w:rFonts w:ascii="Arial" w:eastAsia="Arial" w:hAnsi="Arial" w:cs="Arial"/>
          <w:sz w:val="20"/>
        </w:rPr>
        <w:t>extratos dos depósitos efet</w:t>
      </w:r>
      <w:r>
        <w:rPr>
          <w:rFonts w:ascii="Arial" w:eastAsia="Arial" w:hAnsi="Arial" w:cs="Arial"/>
          <w:sz w:val="20"/>
        </w:rPr>
        <w:t xml:space="preserve">uados nas contas vinculadas individuais do FGTS de cada </w:t>
      </w:r>
    </w:p>
    <w:p w:rsidR="006C145C" w:rsidRDefault="00C62E5A">
      <w:pPr>
        <w:spacing w:after="10" w:line="270" w:lineRule="auto"/>
        <w:ind w:left="291" w:right="54" w:hanging="8"/>
        <w:jc w:val="both"/>
      </w:pPr>
      <w:r>
        <w:rPr>
          <w:rFonts w:ascii="Arial" w:eastAsia="Arial" w:hAnsi="Arial" w:cs="Arial"/>
          <w:sz w:val="20"/>
        </w:rPr>
        <w:t xml:space="preserve">empregado dispensado;   </w:t>
      </w:r>
    </w:p>
    <w:p w:rsidR="006C145C" w:rsidRDefault="00C62E5A">
      <w:pPr>
        <w:spacing w:after="17"/>
        <w:ind w:left="358"/>
      </w:pPr>
      <w:r>
        <w:rPr>
          <w:rFonts w:ascii="Arial" w:eastAsia="Arial" w:hAnsi="Arial" w:cs="Arial"/>
          <w:sz w:val="20"/>
        </w:rPr>
        <w:lastRenderedPageBreak/>
        <w:t xml:space="preserve"> </w:t>
      </w:r>
    </w:p>
    <w:p w:rsidR="006C145C" w:rsidRDefault="00C62E5A">
      <w:pPr>
        <w:numPr>
          <w:ilvl w:val="1"/>
          <w:numId w:val="24"/>
        </w:numPr>
        <w:spacing w:after="5" w:line="270" w:lineRule="auto"/>
        <w:ind w:right="54" w:hanging="449"/>
        <w:jc w:val="both"/>
      </w:pPr>
      <w:r>
        <w:rPr>
          <w:rFonts w:ascii="Arial" w:eastAsia="Arial" w:hAnsi="Arial" w:cs="Arial"/>
          <w:sz w:val="20"/>
        </w:rPr>
        <w:t xml:space="preserve">exames médicos demissionais dos empregados dispensados.   </w:t>
      </w:r>
    </w:p>
    <w:p w:rsidR="006C145C" w:rsidRDefault="00C62E5A">
      <w:pPr>
        <w:spacing w:after="36"/>
        <w:ind w:left="358"/>
      </w:pPr>
      <w:r>
        <w:rPr>
          <w:rFonts w:ascii="Arial" w:eastAsia="Arial" w:hAnsi="Arial" w:cs="Arial"/>
          <w:b/>
          <w:sz w:val="20"/>
        </w:rPr>
        <w:t xml:space="preserve"> </w:t>
      </w:r>
    </w:p>
    <w:p w:rsidR="006C145C" w:rsidRDefault="00C62E5A">
      <w:pPr>
        <w:numPr>
          <w:ilvl w:val="1"/>
          <w:numId w:val="25"/>
        </w:numPr>
        <w:spacing w:after="7" w:line="270" w:lineRule="auto"/>
        <w:ind w:right="51" w:hanging="415"/>
        <w:jc w:val="both"/>
      </w:pPr>
      <w:r>
        <w:rPr>
          <w:rFonts w:ascii="Arial" w:eastAsia="Arial" w:hAnsi="Arial" w:cs="Arial"/>
          <w:sz w:val="20"/>
        </w:rPr>
        <w:t xml:space="preserve">A CONTRATANTE deverá analisar a documentação solicitada na alínea “d” acima no prazo de 30 (trinta) dias após o recebimento dos documentos, prorrogáveis por mais 30 (trinta) dias, justificadamente. </w:t>
      </w:r>
    </w:p>
    <w:p w:rsidR="006C145C" w:rsidRDefault="00C62E5A">
      <w:pPr>
        <w:spacing w:after="0"/>
        <w:ind w:left="720"/>
      </w:pPr>
      <w:r>
        <w:rPr>
          <w:rFonts w:ascii="Arial" w:eastAsia="Arial" w:hAnsi="Arial" w:cs="Arial"/>
          <w:sz w:val="20"/>
        </w:rPr>
        <w:t xml:space="preserve"> </w:t>
      </w:r>
    </w:p>
    <w:p w:rsidR="006C145C" w:rsidRDefault="00C62E5A">
      <w:pPr>
        <w:numPr>
          <w:ilvl w:val="1"/>
          <w:numId w:val="25"/>
        </w:numPr>
        <w:spacing w:after="0" w:line="269" w:lineRule="auto"/>
        <w:ind w:right="51" w:hanging="415"/>
        <w:jc w:val="both"/>
      </w:pPr>
      <w:r>
        <w:rPr>
          <w:rFonts w:ascii="Arial" w:eastAsia="Arial" w:hAnsi="Arial" w:cs="Arial"/>
          <w:i/>
          <w:color w:val="FF0000"/>
          <w:sz w:val="20"/>
          <w:shd w:val="clear" w:color="auto" w:fill="00FF00"/>
        </w:rPr>
        <w:t>No caso de cooperativas:</w:t>
      </w:r>
      <w:r>
        <w:rPr>
          <w:rFonts w:ascii="Arial" w:eastAsia="Arial" w:hAnsi="Arial" w:cs="Arial"/>
          <w:b/>
          <w:i/>
          <w:color w:val="FF0000"/>
          <w:sz w:val="20"/>
        </w:rPr>
        <w:t xml:space="preserve"> </w:t>
      </w:r>
    </w:p>
    <w:tbl>
      <w:tblPr>
        <w:tblStyle w:val="TableGrid"/>
        <w:tblW w:w="8699" w:type="dxa"/>
        <w:tblInd w:w="375" w:type="dxa"/>
        <w:tblCellMar>
          <w:top w:w="3" w:type="dxa"/>
          <w:left w:w="0" w:type="dxa"/>
          <w:bottom w:w="0" w:type="dxa"/>
          <w:right w:w="0" w:type="dxa"/>
        </w:tblCellMar>
        <w:tblLook w:val="04A0" w:firstRow="1" w:lastRow="0" w:firstColumn="1" w:lastColumn="0" w:noHBand="0" w:noVBand="1"/>
      </w:tblPr>
      <w:tblGrid>
        <w:gridCol w:w="1135"/>
        <w:gridCol w:w="144"/>
        <w:gridCol w:w="7420"/>
      </w:tblGrid>
      <w:tr w:rsidR="006C145C">
        <w:trPr>
          <w:trHeight w:val="230"/>
        </w:trPr>
        <w:tc>
          <w:tcPr>
            <w:tcW w:w="8699" w:type="dxa"/>
            <w:gridSpan w:val="3"/>
            <w:tcBorders>
              <w:top w:val="nil"/>
              <w:left w:val="nil"/>
              <w:bottom w:val="nil"/>
              <w:right w:val="nil"/>
            </w:tcBorders>
            <w:shd w:val="clear" w:color="auto" w:fill="00FF00"/>
          </w:tcPr>
          <w:p w:rsidR="006C145C" w:rsidRDefault="00C62E5A">
            <w:pPr>
              <w:spacing w:after="0"/>
              <w:jc w:val="both"/>
            </w:pPr>
            <w:r>
              <w:rPr>
                <w:rFonts w:ascii="Arial" w:eastAsia="Arial" w:hAnsi="Arial" w:cs="Arial"/>
                <w:i/>
                <w:color w:val="FF0000"/>
                <w:sz w:val="20"/>
              </w:rPr>
              <w:t xml:space="preserve">a) recolhimento da contribuição previdenciária do INSS em relação à parcela de responsabilidade </w:t>
            </w:r>
          </w:p>
        </w:tc>
      </w:tr>
      <w:tr w:rsidR="006C145C">
        <w:trPr>
          <w:trHeight w:val="228"/>
        </w:trPr>
        <w:tc>
          <w:tcPr>
            <w:tcW w:w="1279" w:type="dxa"/>
            <w:gridSpan w:val="2"/>
            <w:tcBorders>
              <w:top w:val="nil"/>
              <w:left w:val="nil"/>
              <w:bottom w:val="nil"/>
              <w:right w:val="nil"/>
            </w:tcBorders>
            <w:shd w:val="clear" w:color="auto" w:fill="00FF00"/>
          </w:tcPr>
          <w:p w:rsidR="006C145C" w:rsidRDefault="00C62E5A">
            <w:pPr>
              <w:spacing w:after="0"/>
              <w:jc w:val="both"/>
            </w:pPr>
            <w:r>
              <w:rPr>
                <w:rFonts w:ascii="Arial" w:eastAsia="Arial" w:hAnsi="Arial" w:cs="Arial"/>
                <w:i/>
                <w:color w:val="FF0000"/>
                <w:sz w:val="20"/>
              </w:rPr>
              <w:t>do cooperado;</w:t>
            </w:r>
          </w:p>
        </w:tc>
        <w:tc>
          <w:tcPr>
            <w:tcW w:w="7420" w:type="dxa"/>
            <w:tcBorders>
              <w:top w:val="nil"/>
              <w:left w:val="nil"/>
              <w:bottom w:val="nil"/>
              <w:right w:val="nil"/>
            </w:tcBorders>
          </w:tcPr>
          <w:p w:rsidR="006C145C" w:rsidRDefault="00C62E5A">
            <w:pPr>
              <w:spacing w:after="0"/>
            </w:pPr>
            <w:r>
              <w:rPr>
                <w:rFonts w:ascii="Arial" w:eastAsia="Arial" w:hAnsi="Arial" w:cs="Arial"/>
                <w:i/>
                <w:color w:val="FF0000"/>
                <w:sz w:val="20"/>
              </w:rPr>
              <w:t xml:space="preserve"> </w:t>
            </w:r>
          </w:p>
        </w:tc>
      </w:tr>
      <w:tr w:rsidR="006C145C">
        <w:trPr>
          <w:trHeight w:val="230"/>
        </w:trPr>
        <w:tc>
          <w:tcPr>
            <w:tcW w:w="8699" w:type="dxa"/>
            <w:gridSpan w:val="3"/>
            <w:tcBorders>
              <w:top w:val="nil"/>
              <w:left w:val="nil"/>
              <w:bottom w:val="nil"/>
              <w:right w:val="nil"/>
            </w:tcBorders>
            <w:shd w:val="clear" w:color="auto" w:fill="00FF00"/>
          </w:tcPr>
          <w:p w:rsidR="006C145C" w:rsidRDefault="00C62E5A">
            <w:pPr>
              <w:spacing w:after="0"/>
              <w:jc w:val="both"/>
            </w:pPr>
            <w:r>
              <w:rPr>
                <w:rFonts w:ascii="Arial" w:eastAsia="Arial" w:hAnsi="Arial" w:cs="Arial"/>
                <w:i/>
                <w:color w:val="FF0000"/>
                <w:sz w:val="20"/>
              </w:rPr>
              <w:t xml:space="preserve">b) recolhimento da contribuição previdenciária em relação à parcela de responsabilidade da </w:t>
            </w:r>
          </w:p>
        </w:tc>
      </w:tr>
      <w:tr w:rsidR="006C145C">
        <w:trPr>
          <w:trHeight w:val="230"/>
        </w:trPr>
        <w:tc>
          <w:tcPr>
            <w:tcW w:w="1135" w:type="dxa"/>
            <w:tcBorders>
              <w:top w:val="nil"/>
              <w:left w:val="nil"/>
              <w:bottom w:val="nil"/>
              <w:right w:val="nil"/>
            </w:tcBorders>
            <w:shd w:val="clear" w:color="auto" w:fill="00FF00"/>
          </w:tcPr>
          <w:p w:rsidR="006C145C" w:rsidRDefault="00C62E5A">
            <w:pPr>
              <w:spacing w:after="0"/>
              <w:jc w:val="both"/>
            </w:pPr>
            <w:r>
              <w:rPr>
                <w:rFonts w:ascii="Arial" w:eastAsia="Arial" w:hAnsi="Arial" w:cs="Arial"/>
                <w:i/>
                <w:color w:val="FF0000"/>
                <w:sz w:val="20"/>
              </w:rPr>
              <w:t>Cooperativa;</w:t>
            </w:r>
          </w:p>
        </w:tc>
        <w:tc>
          <w:tcPr>
            <w:tcW w:w="7564" w:type="dxa"/>
            <w:gridSpan w:val="2"/>
            <w:tcBorders>
              <w:top w:val="nil"/>
              <w:left w:val="nil"/>
              <w:bottom w:val="nil"/>
              <w:right w:val="nil"/>
            </w:tcBorders>
          </w:tcPr>
          <w:p w:rsidR="006C145C" w:rsidRDefault="00C62E5A">
            <w:pPr>
              <w:spacing w:after="0"/>
            </w:pPr>
            <w:r>
              <w:rPr>
                <w:rFonts w:ascii="Arial" w:eastAsia="Arial" w:hAnsi="Arial" w:cs="Arial"/>
                <w:i/>
                <w:color w:val="FF0000"/>
                <w:sz w:val="20"/>
              </w:rPr>
              <w:t xml:space="preserve"> </w:t>
            </w:r>
          </w:p>
        </w:tc>
      </w:tr>
    </w:tbl>
    <w:p w:rsidR="006C145C" w:rsidRDefault="00C62E5A">
      <w:pPr>
        <w:numPr>
          <w:ilvl w:val="0"/>
          <w:numId w:val="26"/>
        </w:numPr>
        <w:spacing w:after="455" w:line="269" w:lineRule="auto"/>
        <w:ind w:right="48" w:hanging="232"/>
        <w:jc w:val="both"/>
      </w:pPr>
      <w:r>
        <w:rPr>
          <w:rFonts w:ascii="Arial" w:eastAsia="Arial" w:hAnsi="Arial" w:cs="Arial"/>
          <w:i/>
          <w:color w:val="FF0000"/>
          <w:sz w:val="20"/>
          <w:shd w:val="clear" w:color="auto" w:fill="00FF00"/>
        </w:rPr>
        <w:t>comprovante de distribuição de sobras e produção;</w:t>
      </w:r>
      <w:r>
        <w:rPr>
          <w:rFonts w:ascii="Arial" w:eastAsia="Arial" w:hAnsi="Arial" w:cs="Arial"/>
          <w:i/>
          <w:color w:val="FF0000"/>
          <w:sz w:val="20"/>
        </w:rPr>
        <w:t xml:space="preserve"> </w:t>
      </w:r>
    </w:p>
    <w:p w:rsidR="006C145C" w:rsidRDefault="00C62E5A">
      <w:pPr>
        <w:numPr>
          <w:ilvl w:val="0"/>
          <w:numId w:val="26"/>
        </w:numPr>
        <w:spacing w:after="455" w:line="269" w:lineRule="auto"/>
        <w:ind w:right="48" w:hanging="232"/>
        <w:jc w:val="both"/>
      </w:pPr>
      <w:r>
        <w:rPr>
          <w:rFonts w:ascii="Arial" w:eastAsia="Arial" w:hAnsi="Arial" w:cs="Arial"/>
          <w:i/>
          <w:color w:val="FF0000"/>
          <w:sz w:val="20"/>
          <w:shd w:val="clear" w:color="auto" w:fill="00FF00"/>
        </w:rPr>
        <w:t>comprovante da aplicação do Fundo Assistência Técnica Educacional e Social (Fates);</w:t>
      </w:r>
      <w:r>
        <w:rPr>
          <w:rFonts w:ascii="Arial" w:eastAsia="Arial" w:hAnsi="Arial" w:cs="Arial"/>
          <w:i/>
          <w:color w:val="FF0000"/>
          <w:sz w:val="20"/>
        </w:rPr>
        <w:t xml:space="preserve"> </w:t>
      </w:r>
    </w:p>
    <w:p w:rsidR="006C145C" w:rsidRDefault="00C62E5A">
      <w:pPr>
        <w:numPr>
          <w:ilvl w:val="0"/>
          <w:numId w:val="26"/>
        </w:numPr>
        <w:spacing w:after="453" w:line="269" w:lineRule="auto"/>
        <w:ind w:right="48" w:hanging="232"/>
        <w:jc w:val="both"/>
      </w:pPr>
      <w:r>
        <w:rPr>
          <w:rFonts w:ascii="Arial" w:eastAsia="Arial" w:hAnsi="Arial" w:cs="Arial"/>
          <w:i/>
          <w:color w:val="FF0000"/>
          <w:sz w:val="20"/>
          <w:shd w:val="clear" w:color="auto" w:fill="00FF00"/>
        </w:rPr>
        <w:t>comprovante da aplicação em Fundo de reserva;</w:t>
      </w:r>
      <w:r>
        <w:rPr>
          <w:rFonts w:ascii="Arial" w:eastAsia="Arial" w:hAnsi="Arial" w:cs="Arial"/>
          <w:i/>
          <w:color w:val="FF0000"/>
          <w:sz w:val="20"/>
        </w:rPr>
        <w:t xml:space="preserve"> </w:t>
      </w:r>
    </w:p>
    <w:p w:rsidR="006C145C" w:rsidRDefault="00C62E5A">
      <w:pPr>
        <w:numPr>
          <w:ilvl w:val="0"/>
          <w:numId w:val="26"/>
        </w:numPr>
        <w:spacing w:after="455" w:line="269" w:lineRule="auto"/>
        <w:ind w:right="48" w:hanging="232"/>
        <w:jc w:val="both"/>
      </w:pPr>
      <w:r>
        <w:rPr>
          <w:rFonts w:ascii="Arial" w:eastAsia="Arial" w:hAnsi="Arial" w:cs="Arial"/>
          <w:i/>
          <w:color w:val="FF0000"/>
          <w:sz w:val="20"/>
          <w:shd w:val="clear" w:color="auto" w:fill="00FF00"/>
        </w:rPr>
        <w:t>comprovação de criação do fundo para pagamento do 13º salário e férias; e</w:t>
      </w:r>
      <w:r>
        <w:rPr>
          <w:rFonts w:ascii="Arial" w:eastAsia="Arial" w:hAnsi="Arial" w:cs="Arial"/>
          <w:i/>
          <w:color w:val="FF0000"/>
          <w:sz w:val="20"/>
        </w:rPr>
        <w:t xml:space="preserve"> </w:t>
      </w:r>
    </w:p>
    <w:p w:rsidR="006C145C" w:rsidRDefault="00C62E5A">
      <w:pPr>
        <w:numPr>
          <w:ilvl w:val="0"/>
          <w:numId w:val="26"/>
        </w:numPr>
        <w:spacing w:after="127" w:line="269" w:lineRule="auto"/>
        <w:ind w:right="48" w:hanging="232"/>
        <w:jc w:val="both"/>
      </w:pPr>
      <w:r>
        <w:rPr>
          <w:rFonts w:ascii="Arial" w:eastAsia="Arial" w:hAnsi="Arial" w:cs="Arial"/>
          <w:i/>
          <w:color w:val="FF0000"/>
          <w:sz w:val="20"/>
          <w:shd w:val="clear" w:color="auto" w:fill="00FF00"/>
        </w:rPr>
        <w:t>eventuais obrigações decorrentes da legislação que rege as sociedades cooperativas.</w:t>
      </w:r>
      <w:r>
        <w:rPr>
          <w:rFonts w:ascii="Arial" w:eastAsia="Arial" w:hAnsi="Arial" w:cs="Arial"/>
          <w:i/>
          <w:color w:val="FF0000"/>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5" w:line="249" w:lineRule="auto"/>
        <w:ind w:left="-5" w:right="57" w:hanging="10"/>
        <w:jc w:val="both"/>
      </w:pPr>
      <w:r>
        <w:rPr>
          <w:rFonts w:ascii="Arial" w:eastAsia="Arial" w:hAnsi="Arial" w:cs="Arial"/>
          <w:b/>
          <w:i/>
          <w:sz w:val="20"/>
        </w:rPr>
        <w:t xml:space="preserve">Nota explicativa </w:t>
      </w:r>
      <w:r>
        <w:rPr>
          <w:rFonts w:ascii="Arial" w:eastAsia="Arial" w:hAnsi="Arial" w:cs="Arial"/>
          <w:i/>
          <w:sz w:val="20"/>
        </w:rPr>
        <w:t xml:space="preserve">O item deve ser mantido caso seja admitida a participação de cooperativas no certame.  </w:t>
      </w:r>
    </w:p>
    <w:p w:rsidR="006C145C" w:rsidRDefault="00C62E5A">
      <w:pPr>
        <w:numPr>
          <w:ilvl w:val="1"/>
          <w:numId w:val="28"/>
        </w:numPr>
        <w:spacing w:after="9" w:line="270" w:lineRule="auto"/>
        <w:ind w:right="54" w:hanging="360"/>
        <w:jc w:val="both"/>
      </w:pPr>
      <w:r>
        <w:rPr>
          <w:rFonts w:ascii="Arial" w:eastAsia="Arial" w:hAnsi="Arial" w:cs="Arial"/>
          <w:sz w:val="20"/>
        </w:rPr>
        <w:t xml:space="preserve">No caso de sociedades diversas, tais como as Organizações Sociais, será exigida a comprovação de atendimento a eventuais obrigações decorrentes da legislação que rege as respectivas organizações.  </w:t>
      </w:r>
    </w:p>
    <w:p w:rsidR="006C145C" w:rsidRDefault="00C62E5A">
      <w:pPr>
        <w:numPr>
          <w:ilvl w:val="1"/>
          <w:numId w:val="28"/>
        </w:numPr>
        <w:spacing w:after="6" w:line="270" w:lineRule="auto"/>
        <w:ind w:right="54" w:hanging="360"/>
        <w:jc w:val="both"/>
      </w:pPr>
      <w:r>
        <w:rPr>
          <w:rFonts w:ascii="Arial" w:eastAsia="Arial" w:hAnsi="Arial" w:cs="Arial"/>
          <w:sz w:val="20"/>
        </w:rPr>
        <w:t>Sempre que houver admissão de novos empregados pela contra</w:t>
      </w:r>
      <w:r>
        <w:rPr>
          <w:rFonts w:ascii="Arial" w:eastAsia="Arial" w:hAnsi="Arial" w:cs="Arial"/>
          <w:sz w:val="20"/>
        </w:rPr>
        <w:t xml:space="preserve">tada, os documentos elencados no subitem 16.7 acima deverão ser apresentados.  </w:t>
      </w:r>
    </w:p>
    <w:p w:rsidR="006C145C" w:rsidRDefault="00C62E5A">
      <w:pPr>
        <w:numPr>
          <w:ilvl w:val="1"/>
          <w:numId w:val="28"/>
        </w:numPr>
        <w:spacing w:after="6" w:line="270" w:lineRule="auto"/>
        <w:ind w:right="54" w:hanging="360"/>
        <w:jc w:val="both"/>
      </w:pPr>
      <w:r>
        <w:rPr>
          <w:rFonts w:ascii="Arial" w:eastAsia="Arial" w:hAnsi="Arial" w:cs="Arial"/>
          <w:sz w:val="20"/>
        </w:rPr>
        <w:t xml:space="preserve">Em caso de indício de irregularidade no recolhimento das contribuições previdenciárias, os fiscais ou gestores do contrato deverão oficiar à Receita Federal do Brasil (RFB).  </w:t>
      </w:r>
    </w:p>
    <w:p w:rsidR="006C145C" w:rsidRDefault="00C62E5A">
      <w:pPr>
        <w:numPr>
          <w:ilvl w:val="1"/>
          <w:numId w:val="28"/>
        </w:numPr>
        <w:spacing w:after="9" w:line="270" w:lineRule="auto"/>
        <w:ind w:right="54" w:hanging="360"/>
        <w:jc w:val="both"/>
      </w:pPr>
      <w:r>
        <w:rPr>
          <w:rFonts w:ascii="Arial" w:eastAsia="Arial" w:hAnsi="Arial" w:cs="Arial"/>
          <w:sz w:val="20"/>
        </w:rPr>
        <w:t xml:space="preserve">Em caso de indício de irregularidade no recolhimento da contribuição para o FGTS, os fiscais ou gestores do contrato deverão oficiar ao Ministério do Trabalho.  </w:t>
      </w:r>
    </w:p>
    <w:p w:rsidR="006C145C" w:rsidRDefault="00C62E5A">
      <w:pPr>
        <w:numPr>
          <w:ilvl w:val="1"/>
          <w:numId w:val="28"/>
        </w:numPr>
        <w:spacing w:after="6" w:line="270" w:lineRule="auto"/>
        <w:ind w:right="54" w:hanging="360"/>
        <w:jc w:val="both"/>
      </w:pPr>
      <w:r>
        <w:rPr>
          <w:rFonts w:ascii="Arial" w:eastAsia="Arial" w:hAnsi="Arial" w:cs="Arial"/>
          <w:sz w:val="20"/>
        </w:rPr>
        <w:t xml:space="preserve">O descumprimento das obrigações trabalhistas ou a não manutenção das condições de habilitação </w:t>
      </w:r>
      <w:r>
        <w:rPr>
          <w:rFonts w:ascii="Arial" w:eastAsia="Arial" w:hAnsi="Arial" w:cs="Arial"/>
          <w:sz w:val="20"/>
        </w:rPr>
        <w:t xml:space="preserve">pela CONTRATADA poderá dar ensejo à rescisão contratual, sem prejuízo das demais sanções.  </w:t>
      </w:r>
    </w:p>
    <w:p w:rsidR="006C145C" w:rsidRDefault="00C62E5A">
      <w:pPr>
        <w:numPr>
          <w:ilvl w:val="1"/>
          <w:numId w:val="28"/>
        </w:numPr>
        <w:spacing w:after="6" w:line="270" w:lineRule="auto"/>
        <w:ind w:right="54" w:hanging="360"/>
        <w:jc w:val="both"/>
      </w:pPr>
      <w:r>
        <w:rPr>
          <w:rFonts w:ascii="Arial" w:eastAsia="Arial" w:hAnsi="Arial" w:cs="Arial"/>
          <w:sz w:val="20"/>
        </w:rPr>
        <w:t>A CONTRATANTE poderá conceder prazo para que a CONTRATADA regularize suas obrigações trabalhistas ou suas condições de habilitação, sob pena de rescisão contratual,</w:t>
      </w:r>
      <w:r>
        <w:rPr>
          <w:rFonts w:ascii="Arial" w:eastAsia="Arial" w:hAnsi="Arial" w:cs="Arial"/>
          <w:sz w:val="20"/>
        </w:rPr>
        <w:t xml:space="preserve"> quando não identificar má-fé ou a incapacidade de correção.  </w:t>
      </w:r>
    </w:p>
    <w:p w:rsidR="006C145C" w:rsidRDefault="00C62E5A">
      <w:pPr>
        <w:numPr>
          <w:ilvl w:val="1"/>
          <w:numId w:val="28"/>
        </w:numPr>
        <w:spacing w:after="5" w:line="270" w:lineRule="auto"/>
        <w:ind w:right="54" w:hanging="360"/>
        <w:jc w:val="both"/>
      </w:pPr>
      <w:r>
        <w:rPr>
          <w:rFonts w:ascii="Arial" w:eastAsia="Arial" w:hAnsi="Arial" w:cs="Arial"/>
          <w:sz w:val="20"/>
        </w:rPr>
        <w:t xml:space="preserve">Além das disposições acima citadas, a fiscalização administrativa observará, ainda, as seguintes diretrizes:  </w:t>
      </w:r>
    </w:p>
    <w:p w:rsidR="006C145C" w:rsidRDefault="00C62E5A">
      <w:pPr>
        <w:spacing w:after="286" w:line="270" w:lineRule="auto"/>
        <w:ind w:left="5" w:right="54" w:hanging="8"/>
        <w:jc w:val="both"/>
      </w:pPr>
      <w:r>
        <w:rPr>
          <w:rFonts w:ascii="Arial" w:eastAsia="Arial" w:hAnsi="Arial" w:cs="Arial"/>
          <w:sz w:val="20"/>
        </w:rPr>
        <w:t>16.16.1 Fiscalização inicial (no momento em que a prestação de serviços é iniciada</w:t>
      </w:r>
      <w:r>
        <w:rPr>
          <w:rFonts w:ascii="Arial" w:eastAsia="Arial" w:hAnsi="Arial" w:cs="Arial"/>
          <w:sz w:val="20"/>
        </w:rPr>
        <w:t xml:space="preserve">): </w:t>
      </w:r>
    </w:p>
    <w:p w:rsidR="006C145C" w:rsidRDefault="00C62E5A">
      <w:pPr>
        <w:numPr>
          <w:ilvl w:val="3"/>
          <w:numId w:val="27"/>
        </w:numPr>
        <w:spacing w:after="259" w:line="270" w:lineRule="auto"/>
        <w:ind w:left="1426" w:right="54" w:hanging="281"/>
        <w:jc w:val="both"/>
      </w:pPr>
      <w:r>
        <w:rPr>
          <w:rFonts w:ascii="Arial" w:eastAsia="Arial" w:hAnsi="Arial" w:cs="Arial"/>
          <w:sz w:val="20"/>
        </w:rPr>
        <w:t>Será elaborada planilha-resumo de todo o contrato administrativo, com informações sobre todos os empregados terceirizados que prestam serviços, com os seguintes dados: nome completo, número de inscrição no CPF, função exercida, salário, adicionais, gra</w:t>
      </w:r>
      <w:r>
        <w:rPr>
          <w:rFonts w:ascii="Arial" w:eastAsia="Arial" w:hAnsi="Arial" w:cs="Arial"/>
          <w:sz w:val="20"/>
        </w:rPr>
        <w:t xml:space="preserve">tificações, benefícios recebidos, sua especificação e quantidade (valetransporte, auxílio-alimentação), horário de trabalho, férias, licenças, faltas, ocorrências e horas extras trabalhadas; </w:t>
      </w:r>
    </w:p>
    <w:p w:rsidR="006C145C" w:rsidRDefault="00C62E5A">
      <w:pPr>
        <w:numPr>
          <w:ilvl w:val="3"/>
          <w:numId w:val="27"/>
        </w:numPr>
        <w:spacing w:after="259" w:line="270" w:lineRule="auto"/>
        <w:ind w:left="1426" w:right="54" w:hanging="281"/>
        <w:jc w:val="both"/>
      </w:pPr>
      <w:r>
        <w:rPr>
          <w:rFonts w:ascii="Arial" w:eastAsia="Arial" w:hAnsi="Arial" w:cs="Arial"/>
          <w:sz w:val="20"/>
        </w:rPr>
        <w:lastRenderedPageBreak/>
        <w:t>Todas as anotações contidas na CTPS dos empregados serão conferi</w:t>
      </w:r>
      <w:r>
        <w:rPr>
          <w:rFonts w:ascii="Arial" w:eastAsia="Arial" w:hAnsi="Arial" w:cs="Arial"/>
          <w:sz w:val="20"/>
        </w:rPr>
        <w:t xml:space="preserve">das, a fim de que se possa verificar se as informações nelas inseridas coincidem com as informações fornecidas pela CONTRATADA e pelo empregado; </w:t>
      </w:r>
    </w:p>
    <w:p w:rsidR="006C145C" w:rsidRDefault="00C62E5A">
      <w:pPr>
        <w:numPr>
          <w:ilvl w:val="3"/>
          <w:numId w:val="27"/>
        </w:numPr>
        <w:spacing w:after="129" w:line="270" w:lineRule="auto"/>
        <w:ind w:left="1426" w:right="54" w:hanging="281"/>
        <w:jc w:val="both"/>
      </w:pPr>
      <w:r>
        <w:rPr>
          <w:rFonts w:ascii="Arial" w:eastAsia="Arial" w:hAnsi="Arial" w:cs="Arial"/>
          <w:sz w:val="20"/>
        </w:rPr>
        <w:t xml:space="preserve">O número de terceirizados por função deve coincidir com o previsto no contrato administrativo; </w:t>
      </w:r>
    </w:p>
    <w:p w:rsidR="006C145C" w:rsidRDefault="00C62E5A">
      <w:pPr>
        <w:numPr>
          <w:ilvl w:val="3"/>
          <w:numId w:val="27"/>
        </w:numPr>
        <w:spacing w:after="0" w:line="270" w:lineRule="auto"/>
        <w:ind w:left="1426" w:right="54" w:hanging="281"/>
        <w:jc w:val="both"/>
      </w:pPr>
      <w:r>
        <w:rPr>
          <w:rFonts w:ascii="Arial" w:eastAsia="Arial" w:hAnsi="Arial" w:cs="Arial"/>
          <w:sz w:val="20"/>
        </w:rPr>
        <w:t xml:space="preserve">O salário não pode ser inferior ao previsto no contrato administrativo e na Convenção </w:t>
      </w:r>
    </w:p>
    <w:p w:rsidR="006C145C" w:rsidRDefault="00C62E5A">
      <w:pPr>
        <w:spacing w:after="255" w:line="270" w:lineRule="auto"/>
        <w:ind w:left="1153" w:right="54" w:hanging="8"/>
        <w:jc w:val="both"/>
      </w:pPr>
      <w:r>
        <w:rPr>
          <w:rFonts w:ascii="Arial" w:eastAsia="Arial" w:hAnsi="Arial" w:cs="Arial"/>
          <w:sz w:val="20"/>
        </w:rPr>
        <w:t xml:space="preserve">Coletiva de Trabalho da Categoria (CCT); </w:t>
      </w:r>
    </w:p>
    <w:p w:rsidR="006C145C" w:rsidRDefault="00C62E5A">
      <w:pPr>
        <w:numPr>
          <w:ilvl w:val="3"/>
          <w:numId w:val="27"/>
        </w:numPr>
        <w:spacing w:after="0" w:line="270" w:lineRule="auto"/>
        <w:ind w:left="1426" w:right="54" w:hanging="281"/>
        <w:jc w:val="both"/>
      </w:pPr>
      <w:r>
        <w:rPr>
          <w:rFonts w:ascii="Arial" w:eastAsia="Arial" w:hAnsi="Arial" w:cs="Arial"/>
          <w:sz w:val="20"/>
        </w:rPr>
        <w:t xml:space="preserve">Serão consultadas eventuais obrigações adicionais constantes na CCT para a </w:t>
      </w:r>
    </w:p>
    <w:p w:rsidR="006C145C" w:rsidRDefault="00C62E5A">
      <w:pPr>
        <w:spacing w:after="255" w:line="270" w:lineRule="auto"/>
        <w:ind w:left="1153" w:right="54" w:hanging="8"/>
        <w:jc w:val="both"/>
      </w:pPr>
      <w:r>
        <w:rPr>
          <w:rFonts w:ascii="Arial" w:eastAsia="Arial" w:hAnsi="Arial" w:cs="Arial"/>
          <w:sz w:val="20"/>
        </w:rPr>
        <w:t xml:space="preserve">CONTRATADA; </w:t>
      </w:r>
    </w:p>
    <w:p w:rsidR="006C145C" w:rsidRDefault="00C62E5A">
      <w:pPr>
        <w:numPr>
          <w:ilvl w:val="3"/>
          <w:numId w:val="27"/>
        </w:numPr>
        <w:spacing w:after="257" w:line="270" w:lineRule="auto"/>
        <w:ind w:left="1426" w:right="54" w:hanging="281"/>
        <w:jc w:val="both"/>
      </w:pPr>
      <w:r>
        <w:rPr>
          <w:rFonts w:ascii="Arial" w:eastAsia="Arial" w:hAnsi="Arial" w:cs="Arial"/>
          <w:sz w:val="20"/>
        </w:rPr>
        <w:t xml:space="preserve">Será verificada a existência de condições insalubres ou de periculosidade no local de trabalho que obriguem a empresa a fornecer determinados Equipamentos de Proteção Individual (EPI). </w:t>
      </w:r>
    </w:p>
    <w:p w:rsidR="006C145C" w:rsidRDefault="00C62E5A">
      <w:pPr>
        <w:numPr>
          <w:ilvl w:val="3"/>
          <w:numId w:val="27"/>
        </w:numPr>
        <w:spacing w:after="260" w:line="270" w:lineRule="auto"/>
        <w:ind w:left="1426" w:right="54" w:hanging="281"/>
        <w:jc w:val="both"/>
      </w:pPr>
      <w:r>
        <w:rPr>
          <w:rFonts w:ascii="Arial" w:eastAsia="Arial" w:hAnsi="Arial" w:cs="Arial"/>
          <w:sz w:val="20"/>
        </w:rPr>
        <w:t>No primeiro mês da prestação dos serviços, a contratada deverá apresen</w:t>
      </w:r>
      <w:r>
        <w:rPr>
          <w:rFonts w:ascii="Arial" w:eastAsia="Arial" w:hAnsi="Arial" w:cs="Arial"/>
          <w:sz w:val="20"/>
        </w:rPr>
        <w:t xml:space="preserve">tar a seguinte documentação: </w:t>
      </w:r>
    </w:p>
    <w:p w:rsidR="006C145C" w:rsidRDefault="00C62E5A">
      <w:pPr>
        <w:numPr>
          <w:ilvl w:val="1"/>
          <w:numId w:val="26"/>
        </w:numPr>
        <w:spacing w:after="259" w:line="270" w:lineRule="auto"/>
        <w:ind w:left="1153" w:right="54" w:hanging="8"/>
        <w:jc w:val="both"/>
      </w:pPr>
      <w:r>
        <w:rPr>
          <w:rFonts w:ascii="Arial" w:eastAsia="Arial" w:hAnsi="Arial" w:cs="Arial"/>
          <w:sz w:val="20"/>
        </w:rPr>
        <w:t>relação dos empregados, com nome completo, cargo ou função, horário do posto de trabalho, números da carteira de identidade (RG) e inscrição no Cadastro de Pessoas Físicas (CPF), e indicação dos responsáveis técnicos pela exec</w:t>
      </w:r>
      <w:r>
        <w:rPr>
          <w:rFonts w:ascii="Arial" w:eastAsia="Arial" w:hAnsi="Arial" w:cs="Arial"/>
          <w:sz w:val="20"/>
        </w:rPr>
        <w:t xml:space="preserve">ução dos serviços, quando for o caso; </w:t>
      </w:r>
    </w:p>
    <w:p w:rsidR="006C145C" w:rsidRDefault="00C62E5A">
      <w:pPr>
        <w:numPr>
          <w:ilvl w:val="1"/>
          <w:numId w:val="26"/>
        </w:numPr>
        <w:spacing w:after="257" w:line="270" w:lineRule="auto"/>
        <w:ind w:left="1153" w:right="54" w:hanging="8"/>
        <w:jc w:val="both"/>
      </w:pPr>
      <w:r>
        <w:rPr>
          <w:rFonts w:ascii="Arial" w:eastAsia="Arial" w:hAnsi="Arial" w:cs="Arial"/>
          <w:sz w:val="20"/>
        </w:rPr>
        <w:t xml:space="preserve">CTPS dos empregados admitidos e dos responsáveis técnicos pela execução dos serviços, quando for o caso, devidamente assinadas pela contratada; </w:t>
      </w:r>
    </w:p>
    <w:p w:rsidR="006C145C" w:rsidRDefault="00C62E5A">
      <w:pPr>
        <w:numPr>
          <w:ilvl w:val="1"/>
          <w:numId w:val="26"/>
        </w:numPr>
        <w:spacing w:after="257" w:line="270" w:lineRule="auto"/>
        <w:ind w:left="1153" w:right="54" w:hanging="8"/>
        <w:jc w:val="both"/>
      </w:pPr>
      <w:r>
        <w:rPr>
          <w:rFonts w:ascii="Arial" w:eastAsia="Arial" w:hAnsi="Arial" w:cs="Arial"/>
          <w:sz w:val="20"/>
        </w:rPr>
        <w:t>exames médicos admissionais dos empregados da contratada que prestarão o</w:t>
      </w:r>
      <w:r>
        <w:rPr>
          <w:rFonts w:ascii="Arial" w:eastAsia="Arial" w:hAnsi="Arial" w:cs="Arial"/>
          <w:sz w:val="20"/>
        </w:rPr>
        <w:t xml:space="preserve">s serviços; e </w:t>
      </w:r>
    </w:p>
    <w:p w:rsidR="006C145C" w:rsidRDefault="00C62E5A">
      <w:pPr>
        <w:numPr>
          <w:ilvl w:val="1"/>
          <w:numId w:val="26"/>
        </w:numPr>
        <w:spacing w:after="260" w:line="270" w:lineRule="auto"/>
        <w:ind w:left="1153" w:right="54" w:hanging="8"/>
        <w:jc w:val="both"/>
      </w:pPr>
      <w:r>
        <w:rPr>
          <w:rFonts w:ascii="Arial" w:eastAsia="Arial" w:hAnsi="Arial" w:cs="Arial"/>
          <w:sz w:val="20"/>
        </w:rPr>
        <w:t xml:space="preserve">declaração de responsabilidade exclusiva da contratada sobre a quitação dos encargos trabalhistas e sociais decorrentes do contrato. </w:t>
      </w:r>
    </w:p>
    <w:p w:rsidR="006C145C" w:rsidRDefault="00C62E5A">
      <w:pPr>
        <w:tabs>
          <w:tab w:val="center" w:pos="721"/>
          <w:tab w:val="center" w:pos="4352"/>
        </w:tabs>
        <w:spacing w:after="292" w:line="270" w:lineRule="auto"/>
        <w:ind w:left="-3"/>
      </w:pPr>
      <w:r>
        <w:tab/>
      </w:r>
      <w:r>
        <w:rPr>
          <w:rFonts w:ascii="Arial" w:eastAsia="Arial" w:hAnsi="Arial" w:cs="Arial"/>
          <w:sz w:val="20"/>
        </w:rPr>
        <w:t xml:space="preserve">16.16.2 </w:t>
      </w:r>
      <w:r>
        <w:rPr>
          <w:rFonts w:ascii="Arial" w:eastAsia="Arial" w:hAnsi="Arial" w:cs="Arial"/>
          <w:sz w:val="20"/>
        </w:rPr>
        <w:tab/>
        <w:t xml:space="preserve">Fiscalização mensal (a ser feita antes do pagamento da fatura): </w:t>
      </w:r>
    </w:p>
    <w:p w:rsidR="006C145C" w:rsidRDefault="00C62E5A">
      <w:pPr>
        <w:numPr>
          <w:ilvl w:val="0"/>
          <w:numId w:val="29"/>
        </w:numPr>
        <w:spacing w:after="254" w:line="270" w:lineRule="auto"/>
        <w:ind w:left="666" w:right="54" w:hanging="232"/>
        <w:jc w:val="both"/>
      </w:pPr>
      <w:r>
        <w:rPr>
          <w:rFonts w:ascii="Arial" w:eastAsia="Arial" w:hAnsi="Arial" w:cs="Arial"/>
          <w:sz w:val="20"/>
        </w:rPr>
        <w:t xml:space="preserve">Deve ser feita a retenção da contribuição previdenciária no valor de 11% (onze por cento) sobre o valor da fatura e dos impostos incidentes sobre a prestação do serviço; </w:t>
      </w:r>
    </w:p>
    <w:p w:rsidR="006C145C" w:rsidRDefault="00C62E5A">
      <w:pPr>
        <w:numPr>
          <w:ilvl w:val="0"/>
          <w:numId w:val="29"/>
        </w:numPr>
        <w:spacing w:after="255" w:line="270" w:lineRule="auto"/>
        <w:ind w:left="666" w:right="54" w:hanging="232"/>
        <w:jc w:val="both"/>
      </w:pPr>
      <w:r>
        <w:rPr>
          <w:rFonts w:ascii="Arial" w:eastAsia="Arial" w:hAnsi="Arial" w:cs="Arial"/>
          <w:sz w:val="20"/>
        </w:rPr>
        <w:t xml:space="preserve">Deve ser consultada a situação da empresa junto ao SICAF; </w:t>
      </w:r>
    </w:p>
    <w:p w:rsidR="006C145C" w:rsidRDefault="00C62E5A">
      <w:pPr>
        <w:numPr>
          <w:ilvl w:val="0"/>
          <w:numId w:val="29"/>
        </w:numPr>
        <w:spacing w:after="252" w:line="270" w:lineRule="auto"/>
        <w:ind w:left="666" w:right="54" w:hanging="232"/>
        <w:jc w:val="both"/>
      </w:pPr>
      <w:r>
        <w:rPr>
          <w:rFonts w:ascii="Arial" w:eastAsia="Arial" w:hAnsi="Arial" w:cs="Arial"/>
          <w:sz w:val="20"/>
        </w:rPr>
        <w:t xml:space="preserve">Serão exigidos a Certidão </w:t>
      </w:r>
      <w:r>
        <w:rPr>
          <w:rFonts w:ascii="Arial" w:eastAsia="Arial" w:hAnsi="Arial" w:cs="Arial"/>
          <w:sz w:val="20"/>
        </w:rPr>
        <w:t>Negativa de Débito (CND) relativa a Créditos Tributários Federais e à Dívida Ativa da União, o Certificado de Regularidade do FGTS (CRF) e a Certidão Negativa de Débitos Trabalhistas (CNDT), caso esses documentos não estejam regularizados no SICAF; d) Deve</w:t>
      </w:r>
      <w:r>
        <w:rPr>
          <w:rFonts w:ascii="Arial" w:eastAsia="Arial" w:hAnsi="Arial" w:cs="Arial"/>
          <w:sz w:val="20"/>
        </w:rPr>
        <w:t xml:space="preserve">rá ser exigida, quando couber, comprovação de que a empresa mantém reserva de cargos para pessoa com deficiência ou para reabilitado da Previdência Social, conforme disposto no art. 66-A da Lei nº 8.666, de 1993. </w:t>
      </w:r>
    </w:p>
    <w:p w:rsidR="006C145C" w:rsidRDefault="00C62E5A">
      <w:pPr>
        <w:tabs>
          <w:tab w:val="center" w:pos="721"/>
          <w:tab w:val="center" w:pos="2380"/>
        </w:tabs>
        <w:spacing w:after="293" w:line="270" w:lineRule="auto"/>
        <w:ind w:left="-3"/>
      </w:pPr>
      <w:r>
        <w:tab/>
      </w:r>
      <w:r>
        <w:rPr>
          <w:rFonts w:ascii="Arial" w:eastAsia="Arial" w:hAnsi="Arial" w:cs="Arial"/>
          <w:sz w:val="20"/>
        </w:rPr>
        <w:t xml:space="preserve">16.16.3 </w:t>
      </w:r>
      <w:r>
        <w:rPr>
          <w:rFonts w:ascii="Arial" w:eastAsia="Arial" w:hAnsi="Arial" w:cs="Arial"/>
          <w:sz w:val="20"/>
        </w:rPr>
        <w:tab/>
        <w:t xml:space="preserve">Fiscalização diária: </w:t>
      </w:r>
    </w:p>
    <w:p w:rsidR="006C145C" w:rsidRDefault="00C62E5A">
      <w:pPr>
        <w:numPr>
          <w:ilvl w:val="0"/>
          <w:numId w:val="30"/>
        </w:numPr>
        <w:spacing w:after="257" w:line="270" w:lineRule="auto"/>
        <w:ind w:right="54" w:hanging="8"/>
        <w:jc w:val="both"/>
      </w:pPr>
      <w:r>
        <w:rPr>
          <w:rFonts w:ascii="Arial" w:eastAsia="Arial" w:hAnsi="Arial" w:cs="Arial"/>
          <w:sz w:val="20"/>
        </w:rPr>
        <w:t xml:space="preserve">Devem ser </w:t>
      </w:r>
      <w:r>
        <w:rPr>
          <w:rFonts w:ascii="Arial" w:eastAsia="Arial" w:hAnsi="Arial" w:cs="Arial"/>
          <w:sz w:val="20"/>
        </w:rPr>
        <w:t xml:space="preserve">evitadas ordens diretas da CONTRATANTE dirigidas aos terceirizados. As solicitações de serviços devem ser dirigidas ao preposto da empresa. Da mesma forma, eventuais reclamações ou cobranças relacionadas aos empregados terceirizados devem ser dirigidas ao </w:t>
      </w:r>
      <w:r>
        <w:rPr>
          <w:rFonts w:ascii="Arial" w:eastAsia="Arial" w:hAnsi="Arial" w:cs="Arial"/>
          <w:sz w:val="20"/>
        </w:rPr>
        <w:t xml:space="preserve">preposto. </w:t>
      </w:r>
    </w:p>
    <w:p w:rsidR="006C145C" w:rsidRDefault="00C62E5A">
      <w:pPr>
        <w:numPr>
          <w:ilvl w:val="0"/>
          <w:numId w:val="30"/>
        </w:numPr>
        <w:spacing w:after="259" w:line="270" w:lineRule="auto"/>
        <w:ind w:right="54" w:hanging="8"/>
        <w:jc w:val="both"/>
      </w:pPr>
      <w:r>
        <w:rPr>
          <w:rFonts w:ascii="Arial" w:eastAsia="Arial" w:hAnsi="Arial" w:cs="Arial"/>
          <w:sz w:val="20"/>
        </w:rPr>
        <w:lastRenderedPageBreak/>
        <w:t xml:space="preserve">Toda e qualquer alteração na forma de prestação do serviço, como a negociação de folgas ou a compensação de jornada, deve ser evitada, uma vez que essa conduta é exclusiva da CONTRATADA. </w:t>
      </w:r>
    </w:p>
    <w:p w:rsidR="006C145C" w:rsidRDefault="00C62E5A">
      <w:pPr>
        <w:numPr>
          <w:ilvl w:val="0"/>
          <w:numId w:val="30"/>
        </w:numPr>
        <w:spacing w:after="129" w:line="270" w:lineRule="auto"/>
        <w:ind w:right="54" w:hanging="8"/>
        <w:jc w:val="both"/>
      </w:pPr>
      <w:r>
        <w:rPr>
          <w:rFonts w:ascii="Arial" w:eastAsia="Arial" w:hAnsi="Arial" w:cs="Arial"/>
          <w:sz w:val="20"/>
        </w:rPr>
        <w:t xml:space="preserve">Devem ser conferidos, por amostragem, diariamente, os empregados terceirizados que estão prestando serviços e em quais funções, e se estão cumprindo a jornada de trabalho. </w:t>
      </w:r>
    </w:p>
    <w:p w:rsidR="006C145C" w:rsidRDefault="00C62E5A">
      <w:pPr>
        <w:spacing w:after="8" w:line="270" w:lineRule="auto"/>
        <w:ind w:left="357" w:right="54" w:hanging="360"/>
        <w:jc w:val="both"/>
      </w:pPr>
      <w:r>
        <w:rPr>
          <w:rFonts w:ascii="Arial" w:eastAsia="Arial" w:hAnsi="Arial" w:cs="Arial"/>
          <w:sz w:val="18"/>
        </w:rPr>
        <w:t xml:space="preserve">16.17 </w:t>
      </w:r>
      <w:r>
        <w:rPr>
          <w:rFonts w:ascii="Arial" w:eastAsia="Arial" w:hAnsi="Arial" w:cs="Arial"/>
          <w:sz w:val="20"/>
        </w:rPr>
        <w:t xml:space="preserve">Cabe, ainda, à fiscalização do contrato, verificar se a CONTRATADA observa a </w:t>
      </w:r>
      <w:r>
        <w:rPr>
          <w:rFonts w:ascii="Arial" w:eastAsia="Arial" w:hAnsi="Arial" w:cs="Arial"/>
          <w:sz w:val="20"/>
        </w:rPr>
        <w:t xml:space="preserve">legislação relativa à concessão de férias e licenças aos empregados, respeita a estabilidade provisória de seus empregados e observa a data-base da categoria prevista na CCT, concedendo os reajustes dos empregados no dia e percentual previstos. </w:t>
      </w:r>
    </w:p>
    <w:p w:rsidR="006C145C" w:rsidRDefault="00C62E5A">
      <w:pPr>
        <w:spacing w:after="17"/>
        <w:ind w:left="360"/>
      </w:pPr>
      <w:r>
        <w:rPr>
          <w:rFonts w:ascii="Arial" w:eastAsia="Arial" w:hAnsi="Arial" w:cs="Arial"/>
          <w:sz w:val="20"/>
        </w:rPr>
        <w:t xml:space="preserve"> </w:t>
      </w:r>
    </w:p>
    <w:p w:rsidR="006C145C" w:rsidRDefault="00C62E5A">
      <w:pPr>
        <w:spacing w:after="5" w:line="270" w:lineRule="auto"/>
        <w:ind w:left="368" w:right="54" w:hanging="8"/>
        <w:jc w:val="both"/>
      </w:pPr>
      <w:r>
        <w:rPr>
          <w:rFonts w:ascii="Arial" w:eastAsia="Arial" w:hAnsi="Arial" w:cs="Arial"/>
          <w:sz w:val="20"/>
        </w:rPr>
        <w:t xml:space="preserve">16.17.1 </w:t>
      </w:r>
      <w:r>
        <w:rPr>
          <w:rFonts w:ascii="Arial" w:eastAsia="Arial" w:hAnsi="Arial" w:cs="Arial"/>
          <w:sz w:val="20"/>
        </w:rPr>
        <w:t xml:space="preserve">O gestor deverá verificar a necessidade de se proceder a repactuação do contrato, inclusive quanto à necessidade de solicitação da contratada. </w:t>
      </w:r>
    </w:p>
    <w:p w:rsidR="006C145C" w:rsidRDefault="00C62E5A">
      <w:pPr>
        <w:spacing w:after="18"/>
        <w:ind w:left="360"/>
      </w:pPr>
      <w:r>
        <w:rPr>
          <w:rFonts w:ascii="Arial" w:eastAsia="Arial" w:hAnsi="Arial" w:cs="Arial"/>
          <w:sz w:val="20"/>
        </w:rPr>
        <w:t xml:space="preserve"> </w:t>
      </w:r>
    </w:p>
    <w:p w:rsidR="006C145C" w:rsidRDefault="00C62E5A">
      <w:pPr>
        <w:spacing w:after="283" w:line="270" w:lineRule="auto"/>
        <w:ind w:left="357" w:right="54" w:hanging="360"/>
        <w:jc w:val="both"/>
      </w:pPr>
      <w:r>
        <w:rPr>
          <w:rFonts w:ascii="Arial" w:eastAsia="Arial" w:hAnsi="Arial" w:cs="Arial"/>
          <w:sz w:val="18"/>
        </w:rPr>
        <w:t xml:space="preserve">16.18 </w:t>
      </w:r>
      <w:r>
        <w:rPr>
          <w:rFonts w:ascii="Arial" w:eastAsia="Arial" w:hAnsi="Arial" w:cs="Arial"/>
          <w:sz w:val="20"/>
        </w:rPr>
        <w:t>A CONTRATANTE deverá solicitar, por amostragem, aos empregados, seus extratos da conta do FGTS e que ver</w:t>
      </w:r>
      <w:r>
        <w:rPr>
          <w:rFonts w:ascii="Arial" w:eastAsia="Arial" w:hAnsi="Arial" w:cs="Arial"/>
          <w:sz w:val="20"/>
        </w:rPr>
        <w:t xml:space="preserve">ifiquem se as contribuições previdenciárias e do FGTS estão sendo recolhidas em seus nomes. </w:t>
      </w:r>
    </w:p>
    <w:p w:rsidR="006C145C" w:rsidRDefault="00C62E5A">
      <w:pPr>
        <w:spacing w:after="256" w:line="270" w:lineRule="auto"/>
        <w:ind w:left="436" w:right="54" w:hanging="8"/>
        <w:jc w:val="both"/>
      </w:pPr>
      <w:r>
        <w:rPr>
          <w:rFonts w:ascii="Arial" w:eastAsia="Arial" w:hAnsi="Arial" w:cs="Arial"/>
          <w:sz w:val="20"/>
        </w:rPr>
        <w:t xml:space="preserve">16.18.1   Ao final de um ano, todos os empregados devem ter seus extratos avaliados. </w:t>
      </w:r>
    </w:p>
    <w:p w:rsidR="006C145C" w:rsidRDefault="00C62E5A">
      <w:pPr>
        <w:spacing w:after="286" w:line="270" w:lineRule="auto"/>
        <w:ind w:left="357" w:right="54" w:hanging="360"/>
        <w:jc w:val="both"/>
      </w:pPr>
      <w:r>
        <w:rPr>
          <w:rFonts w:ascii="Arial" w:eastAsia="Arial" w:hAnsi="Arial" w:cs="Arial"/>
          <w:sz w:val="18"/>
        </w:rPr>
        <w:t xml:space="preserve">16.19 </w:t>
      </w:r>
      <w:r>
        <w:rPr>
          <w:rFonts w:ascii="Arial" w:eastAsia="Arial" w:hAnsi="Arial" w:cs="Arial"/>
          <w:sz w:val="20"/>
        </w:rPr>
        <w:t>A CONTRATADA deverá entregar, no prazo de 15 (quinze) dias, quando soli</w:t>
      </w:r>
      <w:r>
        <w:rPr>
          <w:rFonts w:ascii="Arial" w:eastAsia="Arial" w:hAnsi="Arial" w:cs="Arial"/>
          <w:sz w:val="20"/>
        </w:rPr>
        <w:t xml:space="preserve">citado pela CONTRATANTE quaisquer dos seguintes documentos: </w:t>
      </w:r>
    </w:p>
    <w:p w:rsidR="006C145C" w:rsidRDefault="00C62E5A">
      <w:pPr>
        <w:numPr>
          <w:ilvl w:val="0"/>
          <w:numId w:val="31"/>
        </w:numPr>
        <w:spacing w:after="264"/>
        <w:ind w:right="54" w:hanging="232"/>
        <w:jc w:val="both"/>
      </w:pPr>
      <w:r>
        <w:rPr>
          <w:rFonts w:ascii="Arial" w:eastAsia="Arial" w:hAnsi="Arial" w:cs="Arial"/>
          <w:sz w:val="20"/>
        </w:rPr>
        <w:t xml:space="preserve">extrato da conta do INSS e do FGTS de qualquer empregado, a critério da CONTRATANTE; </w:t>
      </w:r>
    </w:p>
    <w:p w:rsidR="006C145C" w:rsidRDefault="00C62E5A">
      <w:pPr>
        <w:numPr>
          <w:ilvl w:val="0"/>
          <w:numId w:val="31"/>
        </w:numPr>
        <w:spacing w:after="257" w:line="270" w:lineRule="auto"/>
        <w:ind w:right="54" w:hanging="232"/>
        <w:jc w:val="both"/>
      </w:pPr>
      <w:r>
        <w:rPr>
          <w:rFonts w:ascii="Arial" w:eastAsia="Arial" w:hAnsi="Arial" w:cs="Arial"/>
          <w:sz w:val="20"/>
        </w:rPr>
        <w:t xml:space="preserve">cópia da folha de pagamento analítica de qualquer mês da prestação dos serviços, em que conste como tomador a CONTRATANTE; </w:t>
      </w:r>
    </w:p>
    <w:p w:rsidR="006C145C" w:rsidRDefault="00C62E5A">
      <w:pPr>
        <w:numPr>
          <w:ilvl w:val="0"/>
          <w:numId w:val="31"/>
        </w:numPr>
        <w:spacing w:after="257" w:line="270" w:lineRule="auto"/>
        <w:ind w:right="54" w:hanging="232"/>
        <w:jc w:val="both"/>
      </w:pPr>
      <w:r>
        <w:rPr>
          <w:rFonts w:ascii="Arial" w:eastAsia="Arial" w:hAnsi="Arial" w:cs="Arial"/>
          <w:sz w:val="20"/>
        </w:rPr>
        <w:t>cópia dos contracheques assinados dos empregados relativos a qualquer mês da prestação dos serviços ou, ainda, quando necessário, có</w:t>
      </w:r>
      <w:r>
        <w:rPr>
          <w:rFonts w:ascii="Arial" w:eastAsia="Arial" w:hAnsi="Arial" w:cs="Arial"/>
          <w:sz w:val="20"/>
        </w:rPr>
        <w:t xml:space="preserve">pia de recibos de depósitos bancários; e </w:t>
      </w:r>
    </w:p>
    <w:p w:rsidR="006C145C" w:rsidRDefault="00C62E5A">
      <w:pPr>
        <w:numPr>
          <w:ilvl w:val="0"/>
          <w:numId w:val="31"/>
        </w:numPr>
        <w:spacing w:after="261" w:line="270" w:lineRule="auto"/>
        <w:ind w:right="54" w:hanging="232"/>
        <w:jc w:val="both"/>
      </w:pPr>
      <w:r>
        <w:rPr>
          <w:rFonts w:ascii="Arial" w:eastAsia="Arial" w:hAnsi="Arial" w:cs="Arial"/>
          <w:sz w:val="20"/>
        </w:rPr>
        <w:t>comprovantes de entrega de benefícios suplementares (vale-transporte, vale-alimentação, entre outros), a que estiver obrigada por força de lei, Acordo, Convenção ou Dissídio Coletivo de Trabalho, relativos a qualqu</w:t>
      </w:r>
      <w:r>
        <w:rPr>
          <w:rFonts w:ascii="Arial" w:eastAsia="Arial" w:hAnsi="Arial" w:cs="Arial"/>
          <w:sz w:val="20"/>
        </w:rPr>
        <w:t xml:space="preserve">er mês da prestação dos serviços e de qualquer empregado. </w:t>
      </w:r>
    </w:p>
    <w:p w:rsidR="006C145C" w:rsidRDefault="00C62E5A">
      <w:pPr>
        <w:spacing w:after="286" w:line="270" w:lineRule="auto"/>
        <w:ind w:left="357" w:right="54" w:hanging="360"/>
        <w:jc w:val="both"/>
      </w:pPr>
      <w:r>
        <w:rPr>
          <w:rFonts w:ascii="Arial" w:eastAsia="Arial" w:hAnsi="Arial" w:cs="Arial"/>
          <w:sz w:val="18"/>
        </w:rPr>
        <w:t xml:space="preserve">16.20 </w:t>
      </w:r>
      <w:r>
        <w:rPr>
          <w:rFonts w:ascii="Arial" w:eastAsia="Arial" w:hAnsi="Arial" w:cs="Arial"/>
          <w:sz w:val="20"/>
        </w:rPr>
        <w:t>A fiscalização técnica dos contratos avaliará constantemente a execução do objeto e utilizará o Instrumento de Medição de Resultado (IMR), conforme modelo previsto no Anexo XXX, ou outro inst</w:t>
      </w:r>
      <w:r>
        <w:rPr>
          <w:rFonts w:ascii="Arial" w:eastAsia="Arial" w:hAnsi="Arial" w:cs="Arial"/>
          <w:sz w:val="20"/>
        </w:rPr>
        <w:t xml:space="preserve">rumento substituto para aferição da qualidade da prestação dos serviços, devendo haver o redimensionamento no pagamento com base nos indicadores estabelecidos, sempre que a CONTRATADA: </w:t>
      </w:r>
    </w:p>
    <w:p w:rsidR="006C145C" w:rsidRDefault="00C62E5A">
      <w:pPr>
        <w:numPr>
          <w:ilvl w:val="0"/>
          <w:numId w:val="32"/>
        </w:numPr>
        <w:spacing w:after="257" w:line="270" w:lineRule="auto"/>
        <w:ind w:right="54" w:hanging="8"/>
        <w:jc w:val="both"/>
      </w:pPr>
      <w:r>
        <w:rPr>
          <w:rFonts w:ascii="Arial" w:eastAsia="Arial" w:hAnsi="Arial" w:cs="Arial"/>
          <w:sz w:val="20"/>
        </w:rPr>
        <w:t xml:space="preserve">não produzir os resultados, deixar de executar, ou não executar com a </w:t>
      </w:r>
      <w:r>
        <w:rPr>
          <w:rFonts w:ascii="Arial" w:eastAsia="Arial" w:hAnsi="Arial" w:cs="Arial"/>
          <w:sz w:val="20"/>
        </w:rPr>
        <w:t xml:space="preserve">qualidade mínima exigida as atividades contratadas; ou </w:t>
      </w:r>
    </w:p>
    <w:p w:rsidR="006C145C" w:rsidRDefault="00C62E5A">
      <w:pPr>
        <w:numPr>
          <w:ilvl w:val="0"/>
          <w:numId w:val="32"/>
        </w:numPr>
        <w:spacing w:after="260" w:line="270" w:lineRule="auto"/>
        <w:ind w:right="54" w:hanging="8"/>
        <w:jc w:val="both"/>
      </w:pPr>
      <w:r>
        <w:rPr>
          <w:rFonts w:ascii="Arial" w:eastAsia="Arial" w:hAnsi="Arial" w:cs="Arial"/>
          <w:sz w:val="20"/>
        </w:rPr>
        <w:t xml:space="preserve">deixar de utilizar materiais e recursos humanos exigidos para a execução do serviço, ou utilizá-los com qualidade ou quantidade inferior à demandada. </w:t>
      </w:r>
    </w:p>
    <w:p w:rsidR="006C145C" w:rsidRDefault="00C62E5A">
      <w:pPr>
        <w:spacing w:after="283" w:line="270" w:lineRule="auto"/>
        <w:ind w:left="436" w:right="54" w:hanging="8"/>
        <w:jc w:val="both"/>
      </w:pPr>
      <w:r>
        <w:rPr>
          <w:rFonts w:ascii="Arial" w:eastAsia="Arial" w:hAnsi="Arial" w:cs="Arial"/>
          <w:sz w:val="20"/>
        </w:rPr>
        <w:t>16.20.1 A utilização do IMR não impede a aplicaçã</w:t>
      </w:r>
      <w:r>
        <w:rPr>
          <w:rFonts w:ascii="Arial" w:eastAsia="Arial" w:hAnsi="Arial" w:cs="Arial"/>
          <w:sz w:val="20"/>
        </w:rPr>
        <w:t xml:space="preserve">o concomitante de outros mecanismos para a avaliação da prestação dos serviços. </w:t>
      </w:r>
    </w:p>
    <w:p w:rsidR="006C145C" w:rsidRDefault="00C62E5A">
      <w:pPr>
        <w:pBdr>
          <w:top w:val="single" w:sz="4" w:space="0" w:color="000080"/>
          <w:left w:val="single" w:sz="4" w:space="0" w:color="000080"/>
          <w:right w:val="single" w:sz="4" w:space="0" w:color="000080"/>
        </w:pBdr>
        <w:shd w:val="clear" w:color="auto" w:fill="FFFFCC"/>
        <w:spacing w:after="155" w:line="241" w:lineRule="auto"/>
        <w:ind w:left="-5" w:right="60" w:hanging="10"/>
        <w:jc w:val="both"/>
      </w:pPr>
      <w:r>
        <w:rPr>
          <w:rFonts w:ascii="Arial" w:eastAsia="Arial" w:hAnsi="Arial" w:cs="Arial"/>
          <w:b/>
          <w:i/>
          <w:sz w:val="20"/>
        </w:rPr>
        <w:t>Nota Explicativa</w:t>
      </w:r>
      <w:r>
        <w:rPr>
          <w:rFonts w:ascii="Arial" w:eastAsia="Arial" w:hAnsi="Arial" w:cs="Arial"/>
          <w:i/>
          <w:sz w:val="20"/>
        </w:rPr>
        <w:t>: A execução dos contratos deve ser acompanhada por meio de instrumentos de controle que permitam a mensuração de resultados e adequação do objeto prestado. Es</w:t>
      </w:r>
      <w:r>
        <w:rPr>
          <w:rFonts w:ascii="Arial" w:eastAsia="Arial" w:hAnsi="Arial" w:cs="Arial"/>
          <w:i/>
          <w:sz w:val="20"/>
        </w:rPr>
        <w:t xml:space="preserve">tes instrumentos de controle, o Instrumento de Medição de Resultado (IMR) ou instrumento equivalente, foram idealizados, </w:t>
      </w:r>
      <w:r>
        <w:rPr>
          <w:rFonts w:ascii="Arial" w:eastAsia="Arial" w:hAnsi="Arial" w:cs="Arial"/>
          <w:i/>
          <w:sz w:val="20"/>
        </w:rPr>
        <w:lastRenderedPageBreak/>
        <w:t>inicialmente, para contratos de prestação de serviços como mecanismo de monitoramento e mensuração da qualidade e pontualidade na prest</w:t>
      </w:r>
      <w:r>
        <w:rPr>
          <w:rFonts w:ascii="Arial" w:eastAsia="Arial" w:hAnsi="Arial" w:cs="Arial"/>
          <w:i/>
          <w:sz w:val="20"/>
        </w:rPr>
        <w:t>ação dos serviços e, consequentemente, como forma de adequar os valores devidos como pagamento aos índices de qualidade verificados. Contudo, para correta aplicação da regra insculpida acima, é necessário que o órgão estabeleça quais são os critérios de av</w:t>
      </w:r>
      <w:r>
        <w:rPr>
          <w:rFonts w:ascii="Arial" w:eastAsia="Arial" w:hAnsi="Arial" w:cs="Arial"/>
          <w:i/>
          <w:sz w:val="20"/>
        </w:rPr>
        <w:t xml:space="preserve">aliação e os devidos parâmetros, de forma a se obter uma fórmula que permita quantificar o grau de satisfação na execução do objeto contratado, e, consequentemente, o montante devido em pagamento. Sem o devido estabelecimento dos critérios e parâmetros de </w:t>
      </w:r>
      <w:r>
        <w:rPr>
          <w:rFonts w:ascii="Arial" w:eastAsia="Arial" w:hAnsi="Arial" w:cs="Arial"/>
          <w:i/>
          <w:sz w:val="20"/>
        </w:rPr>
        <w:t xml:space="preserve">avaliação dos itens previstos no artigo, a cláusula torna-se inexequível, absolutamente destituída de efeitos. Consequentemente, para que seja possível efetuar a glosa, é necessário definir, objetivamente, quais os parâmetros para mensuração do percentual </w:t>
      </w:r>
      <w:r>
        <w:rPr>
          <w:rFonts w:ascii="Arial" w:eastAsia="Arial" w:hAnsi="Arial" w:cs="Arial"/>
          <w:i/>
          <w:sz w:val="20"/>
        </w:rPr>
        <w:t xml:space="preserve">do pagamento devido em razão dos níveis esperados de qualidade da prestação do serviço. </w:t>
      </w:r>
    </w:p>
    <w:p w:rsidR="006C145C" w:rsidRDefault="00C62E5A">
      <w:pPr>
        <w:numPr>
          <w:ilvl w:val="1"/>
          <w:numId w:val="34"/>
        </w:numPr>
        <w:spacing w:after="6" w:line="270" w:lineRule="auto"/>
        <w:ind w:right="54" w:hanging="360"/>
        <w:jc w:val="both"/>
      </w:pPr>
      <w:r>
        <w:rPr>
          <w:rFonts w:ascii="Arial" w:eastAsia="Arial" w:hAnsi="Arial" w:cs="Arial"/>
          <w:sz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rsidR="006C145C" w:rsidRDefault="00C62E5A">
      <w:pPr>
        <w:numPr>
          <w:ilvl w:val="1"/>
          <w:numId w:val="34"/>
        </w:numPr>
        <w:spacing w:after="6" w:line="270" w:lineRule="auto"/>
        <w:ind w:right="54" w:hanging="360"/>
        <w:jc w:val="both"/>
      </w:pPr>
      <w:r>
        <w:rPr>
          <w:rFonts w:ascii="Arial" w:eastAsia="Arial" w:hAnsi="Arial" w:cs="Arial"/>
          <w:sz w:val="20"/>
        </w:rPr>
        <w:t>O fis</w:t>
      </w:r>
      <w:r>
        <w:rPr>
          <w:rFonts w:ascii="Arial" w:eastAsia="Arial" w:hAnsi="Arial" w:cs="Arial"/>
          <w:sz w:val="20"/>
        </w:rPr>
        <w:t xml:space="preserve">cal técnico deverá apresentar ao preposto da CONTRATADA a avaliação da execução do objeto ou, se for o caso, a avaliação de desempenho e qualidade da prestação dos serviços realizada.  </w:t>
      </w:r>
    </w:p>
    <w:p w:rsidR="006C145C" w:rsidRDefault="00C62E5A">
      <w:pPr>
        <w:numPr>
          <w:ilvl w:val="1"/>
          <w:numId w:val="34"/>
        </w:numPr>
        <w:spacing w:after="6" w:line="270" w:lineRule="auto"/>
        <w:ind w:right="54" w:hanging="360"/>
        <w:jc w:val="both"/>
      </w:pPr>
      <w:r>
        <w:rPr>
          <w:rFonts w:ascii="Arial" w:eastAsia="Arial" w:hAnsi="Arial" w:cs="Arial"/>
          <w:sz w:val="20"/>
        </w:rPr>
        <w:t>Em hipótese alguma, será admitido que a própria CONTRATADA materialize</w:t>
      </w:r>
      <w:r>
        <w:rPr>
          <w:rFonts w:ascii="Arial" w:eastAsia="Arial" w:hAnsi="Arial" w:cs="Arial"/>
          <w:sz w:val="20"/>
        </w:rPr>
        <w:t xml:space="preserve"> a avaliação de desempenho e qualidade da prestação dos serviços realizada.  </w:t>
      </w:r>
    </w:p>
    <w:p w:rsidR="006C145C" w:rsidRDefault="00C62E5A">
      <w:pPr>
        <w:numPr>
          <w:ilvl w:val="1"/>
          <w:numId w:val="34"/>
        </w:numPr>
        <w:spacing w:after="6" w:line="270" w:lineRule="auto"/>
        <w:ind w:right="54" w:hanging="360"/>
        <w:jc w:val="both"/>
      </w:pPr>
      <w:r>
        <w:rPr>
          <w:rFonts w:ascii="Arial" w:eastAsia="Arial" w:hAnsi="Arial" w:cs="Arial"/>
          <w:sz w:val="20"/>
        </w:rPr>
        <w:t>A CONTRATADA poderá apresentar justificativa para a prestação do serviço com menor nível de conformidade, que poderá ser aceita pelo fiscal técnico, desde que comprovada a excepc</w:t>
      </w:r>
      <w:r>
        <w:rPr>
          <w:rFonts w:ascii="Arial" w:eastAsia="Arial" w:hAnsi="Arial" w:cs="Arial"/>
          <w:sz w:val="20"/>
        </w:rPr>
        <w:t xml:space="preserve">ionalidade da ocorrência, resultante exclusivamente de fatores imprevisíveis e alheios ao controle do prestador.  </w:t>
      </w:r>
    </w:p>
    <w:p w:rsidR="006C145C" w:rsidRDefault="00C62E5A">
      <w:pPr>
        <w:numPr>
          <w:ilvl w:val="1"/>
          <w:numId w:val="34"/>
        </w:numPr>
        <w:spacing w:after="6" w:line="270" w:lineRule="auto"/>
        <w:ind w:right="54" w:hanging="360"/>
        <w:jc w:val="both"/>
      </w:pPr>
      <w:r>
        <w:rPr>
          <w:rFonts w:ascii="Arial" w:eastAsia="Arial" w:hAnsi="Arial" w:cs="Arial"/>
          <w:sz w:val="20"/>
        </w:rPr>
        <w:t>Na hipótese de comportamento contínuo de desconformidade da prestação do serviço em relação à qualidade exigida, bem como quando esta ultrapa</w:t>
      </w:r>
      <w:r>
        <w:rPr>
          <w:rFonts w:ascii="Arial" w:eastAsia="Arial" w:hAnsi="Arial" w:cs="Arial"/>
          <w:sz w:val="20"/>
        </w:rPr>
        <w:t xml:space="preserve">ssar os níveis mínimos toleráveis previstos nos indicadores, além dos fatores redutores, devem ser aplicadas as sanções à CONTRATADA de acordo com as regras previstas no ato convocatório.  </w:t>
      </w:r>
    </w:p>
    <w:p w:rsidR="006C145C" w:rsidRDefault="00C62E5A">
      <w:pPr>
        <w:numPr>
          <w:ilvl w:val="1"/>
          <w:numId w:val="34"/>
        </w:numPr>
        <w:spacing w:after="9" w:line="270" w:lineRule="auto"/>
        <w:ind w:right="54" w:hanging="360"/>
        <w:jc w:val="both"/>
      </w:pPr>
      <w:r>
        <w:rPr>
          <w:rFonts w:ascii="Arial" w:eastAsia="Arial" w:hAnsi="Arial" w:cs="Arial"/>
          <w:sz w:val="20"/>
        </w:rPr>
        <w:t>O fiscal técnico poderá realizar avaliação diária, semanal ou mens</w:t>
      </w:r>
      <w:r>
        <w:rPr>
          <w:rFonts w:ascii="Arial" w:eastAsia="Arial" w:hAnsi="Arial" w:cs="Arial"/>
          <w:sz w:val="20"/>
        </w:rPr>
        <w:t xml:space="preserve">al, desde que o período escolhido seja suficiente para avaliar ou, se for o caso, aferir o desempenho e qualidade da prestação dos serviços.  </w:t>
      </w:r>
    </w:p>
    <w:p w:rsidR="006C145C" w:rsidRDefault="00C62E5A">
      <w:pPr>
        <w:numPr>
          <w:ilvl w:val="1"/>
          <w:numId w:val="34"/>
        </w:numPr>
        <w:spacing w:after="7" w:line="270" w:lineRule="auto"/>
        <w:ind w:right="54" w:hanging="360"/>
        <w:jc w:val="both"/>
      </w:pPr>
      <w:r>
        <w:rPr>
          <w:rFonts w:ascii="Arial" w:eastAsia="Arial" w:hAnsi="Arial" w:cs="Arial"/>
          <w:sz w:val="20"/>
        </w:rPr>
        <w:t xml:space="preserve">O representante da Contratante deverá ter a qualificação necessária para o acompanhamento e controle da execução dos serviços e do contrato. </w:t>
      </w:r>
    </w:p>
    <w:p w:rsidR="006C145C" w:rsidRDefault="00C62E5A">
      <w:pPr>
        <w:numPr>
          <w:ilvl w:val="1"/>
          <w:numId w:val="34"/>
        </w:numPr>
        <w:spacing w:after="6" w:line="270" w:lineRule="auto"/>
        <w:ind w:right="54" w:hanging="360"/>
        <w:jc w:val="both"/>
      </w:pPr>
      <w:r>
        <w:rPr>
          <w:rFonts w:ascii="Arial" w:eastAsia="Arial" w:hAnsi="Arial" w:cs="Arial"/>
          <w:sz w:val="20"/>
        </w:rPr>
        <w:t>A verificação da adequação da prestação do serviço deverá ser realizada com base nos critérios previstos neste Ter</w:t>
      </w:r>
      <w:r>
        <w:rPr>
          <w:rFonts w:ascii="Arial" w:eastAsia="Arial" w:hAnsi="Arial" w:cs="Arial"/>
          <w:sz w:val="20"/>
        </w:rPr>
        <w:t xml:space="preserve">mo de Referência. </w:t>
      </w:r>
    </w:p>
    <w:p w:rsidR="006C145C" w:rsidRDefault="00C62E5A">
      <w:pPr>
        <w:numPr>
          <w:ilvl w:val="1"/>
          <w:numId w:val="34"/>
        </w:numPr>
        <w:spacing w:after="6" w:line="270" w:lineRule="auto"/>
        <w:ind w:right="54" w:hanging="360"/>
        <w:jc w:val="both"/>
      </w:pPr>
      <w:r>
        <w:rPr>
          <w:rFonts w:ascii="Arial" w:eastAsia="Arial" w:hAnsi="Arial" w:cs="Arial"/>
          <w:sz w:val="20"/>
        </w:rPr>
        <w:t>A fiscalização do contrato, ao verificar que houve subdimensionamento da produtividade pactuada, sem perda da qualidade na execução do serviço, deverá comunicar à autoridade responsável para que esta promova a adequação contratual à prod</w:t>
      </w:r>
      <w:r>
        <w:rPr>
          <w:rFonts w:ascii="Arial" w:eastAsia="Arial" w:hAnsi="Arial" w:cs="Arial"/>
          <w:sz w:val="20"/>
        </w:rPr>
        <w:t xml:space="preserve">utividade efetivamente realizada, respeitando-se os limites de alteração dos valores contratuais previstos no § 1º do art. 65 da Lei nº 8.666, de 1993.  </w:t>
      </w:r>
    </w:p>
    <w:p w:rsidR="006C145C" w:rsidRDefault="00C62E5A">
      <w:pPr>
        <w:numPr>
          <w:ilvl w:val="1"/>
          <w:numId w:val="34"/>
        </w:numPr>
        <w:spacing w:after="6" w:line="270" w:lineRule="auto"/>
        <w:ind w:right="54" w:hanging="360"/>
        <w:jc w:val="both"/>
      </w:pPr>
      <w:r>
        <w:rPr>
          <w:rFonts w:ascii="Arial" w:eastAsia="Arial" w:hAnsi="Arial" w:cs="Arial"/>
          <w:sz w:val="20"/>
        </w:rPr>
        <w:t>A conformidade do material a ser utilizado na execução dos serviços deverá ser verificada juntamente c</w:t>
      </w:r>
      <w:r>
        <w:rPr>
          <w:rFonts w:ascii="Arial" w:eastAsia="Arial" w:hAnsi="Arial" w:cs="Arial"/>
          <w:sz w:val="20"/>
        </w:rPr>
        <w:t xml:space="preserve">om o documento da CONTRATADA que contenha sua relação detalhada, de acordo com o estabelecido neste Termo de Referência e na proposta, informando as respectivas quantidades e especificações técnicas, tais como: marca, qualidade e forma de uso.  </w:t>
      </w:r>
    </w:p>
    <w:p w:rsidR="006C145C" w:rsidRDefault="00C62E5A">
      <w:pPr>
        <w:numPr>
          <w:ilvl w:val="1"/>
          <w:numId w:val="34"/>
        </w:numPr>
        <w:spacing w:after="6" w:line="270" w:lineRule="auto"/>
        <w:ind w:right="54" w:hanging="360"/>
        <w:jc w:val="both"/>
      </w:pPr>
      <w:r>
        <w:rPr>
          <w:rFonts w:ascii="Arial" w:eastAsia="Arial" w:hAnsi="Arial" w:cs="Arial"/>
          <w:sz w:val="20"/>
        </w:rPr>
        <w:t>O represen</w:t>
      </w:r>
      <w:r>
        <w:rPr>
          <w:rFonts w:ascii="Arial" w:eastAsia="Arial" w:hAnsi="Arial" w:cs="Arial"/>
          <w:sz w:val="20"/>
        </w:rPr>
        <w:t xml:space="preserve">tante da CONTRATANTE deverá promover o registro das ocorrências verificadas, adotando as providências necessárias ao fiel cumprimento das cláusulas contratuais, conforme o disposto nos §§ 1º e 2º do art. 67 da Lei nº 8.666, de 1993.  </w:t>
      </w:r>
    </w:p>
    <w:p w:rsidR="006C145C" w:rsidRDefault="00C62E5A">
      <w:pPr>
        <w:numPr>
          <w:ilvl w:val="1"/>
          <w:numId w:val="34"/>
        </w:numPr>
        <w:spacing w:after="6" w:line="270" w:lineRule="auto"/>
        <w:ind w:right="54" w:hanging="360"/>
        <w:jc w:val="both"/>
      </w:pPr>
      <w:r>
        <w:rPr>
          <w:rFonts w:ascii="Arial" w:eastAsia="Arial" w:hAnsi="Arial" w:cs="Arial"/>
          <w:sz w:val="20"/>
        </w:rPr>
        <w:t>O descumprimento tota</w:t>
      </w:r>
      <w:r>
        <w:rPr>
          <w:rFonts w:ascii="Arial" w:eastAsia="Arial" w:hAnsi="Arial" w:cs="Arial"/>
          <w:sz w:val="20"/>
        </w:rPr>
        <w:t>l ou parcial das obrigações e responsabilidades assumidas pela CONTRATADA, incluindo o descumprimento das obrigações trabalhistas, não recolhimento das contribuições sociais, previdenciárias ou para com o FGTS ou a não manutenção das condições de habilitaç</w:t>
      </w:r>
      <w:r>
        <w:rPr>
          <w:rFonts w:ascii="Arial" w:eastAsia="Arial" w:hAnsi="Arial" w:cs="Arial"/>
          <w:sz w:val="20"/>
        </w:rPr>
        <w:t>ão, ensejará a aplicação de sanções administrativas, previstas no instrumento convocatório e na legislação vigente, podendo culminar em rescisão contratual, por ato unilateral e escrito da CONTRATANTE, conforme disposto nos arts. 77 e 80 da Lei nº 8.666, d</w:t>
      </w:r>
      <w:r>
        <w:rPr>
          <w:rFonts w:ascii="Arial" w:eastAsia="Arial" w:hAnsi="Arial" w:cs="Arial"/>
          <w:sz w:val="20"/>
        </w:rPr>
        <w:t xml:space="preserve">e 1993.  </w:t>
      </w:r>
    </w:p>
    <w:p w:rsidR="006C145C" w:rsidRDefault="00C62E5A">
      <w:pPr>
        <w:numPr>
          <w:ilvl w:val="1"/>
          <w:numId w:val="34"/>
        </w:numPr>
        <w:spacing w:after="6" w:line="270" w:lineRule="auto"/>
        <w:ind w:right="54" w:hanging="360"/>
        <w:jc w:val="both"/>
      </w:pPr>
      <w:r>
        <w:rPr>
          <w:rFonts w:ascii="Arial" w:eastAsia="Arial" w:hAnsi="Arial" w:cs="Arial"/>
          <w:sz w:val="20"/>
        </w:rPr>
        <w:lastRenderedPageBreak/>
        <w:t>Caso não seja apresentada a documentação comprobatória do cumprimento das obrigações trabalhistas, previdenciárias e para com o FGTS, a CONTRATANTE comunicará o fato à CONTRATADA e reterá o pagamento da fatura mensal, em valor proporcional ao ina</w:t>
      </w:r>
      <w:r>
        <w:rPr>
          <w:rFonts w:ascii="Arial" w:eastAsia="Arial" w:hAnsi="Arial" w:cs="Arial"/>
          <w:sz w:val="20"/>
        </w:rPr>
        <w:t xml:space="preserve">dimplemento, até que a situação seja regularizada.  </w:t>
      </w:r>
    </w:p>
    <w:p w:rsidR="006C145C" w:rsidRDefault="00C62E5A">
      <w:pPr>
        <w:numPr>
          <w:ilvl w:val="2"/>
          <w:numId w:val="35"/>
        </w:numPr>
        <w:spacing w:after="129" w:line="270" w:lineRule="auto"/>
        <w:ind w:right="54" w:hanging="720"/>
        <w:jc w:val="both"/>
      </w:pPr>
      <w:r>
        <w:rPr>
          <w:rFonts w:ascii="Arial" w:eastAsia="Arial" w:hAnsi="Arial" w:cs="Arial"/>
          <w:sz w:val="20"/>
        </w:rPr>
        <w:t>Não havendo quitação das obrigações por parte da CONTRATADA no prazo de quinze dias, a CONTRATANTE poderá efetuar o pagamento das obrigações diretamente aos empregados da contratada que tenham participad</w:t>
      </w:r>
      <w:r>
        <w:rPr>
          <w:rFonts w:ascii="Arial" w:eastAsia="Arial" w:hAnsi="Arial" w:cs="Arial"/>
          <w:sz w:val="20"/>
        </w:rPr>
        <w:t xml:space="preserve">o da execução dos serviços objeto do contrato.  </w:t>
      </w:r>
    </w:p>
    <w:p w:rsidR="006C145C" w:rsidRDefault="00C62E5A">
      <w:pPr>
        <w:numPr>
          <w:ilvl w:val="2"/>
          <w:numId w:val="35"/>
        </w:numPr>
        <w:spacing w:after="6" w:line="270" w:lineRule="auto"/>
        <w:ind w:right="54" w:hanging="720"/>
        <w:jc w:val="both"/>
      </w:pPr>
      <w:r>
        <w:rPr>
          <w:rFonts w:ascii="Arial" w:eastAsia="Arial" w:hAnsi="Arial" w:cs="Arial"/>
          <w:sz w:val="20"/>
        </w:rPr>
        <w:t xml:space="preserve">O sindicato representante da categoria do trabalhador deverá ser notificado pela CONTRATANTE para acompanhar o pagamento das verbas mencionadas.  </w:t>
      </w:r>
    </w:p>
    <w:p w:rsidR="006C145C" w:rsidRDefault="00C62E5A">
      <w:pPr>
        <w:numPr>
          <w:ilvl w:val="2"/>
          <w:numId w:val="35"/>
        </w:numPr>
        <w:spacing w:after="6" w:line="270" w:lineRule="auto"/>
        <w:ind w:right="54" w:hanging="720"/>
        <w:jc w:val="both"/>
      </w:pPr>
      <w:r>
        <w:rPr>
          <w:rFonts w:ascii="Arial" w:eastAsia="Arial" w:hAnsi="Arial" w:cs="Arial"/>
          <w:sz w:val="20"/>
        </w:rPr>
        <w:t>Tais pagamentos não configuram vínculo empregatício ou impli</w:t>
      </w:r>
      <w:r>
        <w:rPr>
          <w:rFonts w:ascii="Arial" w:eastAsia="Arial" w:hAnsi="Arial" w:cs="Arial"/>
          <w:sz w:val="20"/>
        </w:rPr>
        <w:t xml:space="preserve">cam a assunção de responsabilidade por quaisquer obrigações dele decorrentes entre a contratante e os empregados da contratada.  </w:t>
      </w:r>
    </w:p>
    <w:p w:rsidR="006C145C" w:rsidRDefault="00C62E5A">
      <w:pPr>
        <w:numPr>
          <w:ilvl w:val="1"/>
          <w:numId w:val="36"/>
        </w:numPr>
        <w:spacing w:after="9" w:line="270" w:lineRule="auto"/>
        <w:ind w:right="54" w:hanging="708"/>
        <w:jc w:val="both"/>
      </w:pPr>
      <w:r>
        <w:rPr>
          <w:rFonts w:ascii="Arial" w:eastAsia="Arial" w:hAnsi="Arial" w:cs="Arial"/>
          <w:sz w:val="20"/>
        </w:rPr>
        <w:t>O contrato só será considerado integralmente cumprido após a comprovação, pela CONTRATADA, do pagamento de todas as obrigações trabalhistas, sociais e previdenciárias e para com o FGTS referentes à mão de obra alocada em sua execução, inclusive quanto às v</w:t>
      </w:r>
      <w:r>
        <w:rPr>
          <w:rFonts w:ascii="Arial" w:eastAsia="Arial" w:hAnsi="Arial" w:cs="Arial"/>
          <w:sz w:val="20"/>
        </w:rPr>
        <w:t xml:space="preserve">erbas rescisórias.  </w:t>
      </w:r>
    </w:p>
    <w:p w:rsidR="006C145C" w:rsidRDefault="00C62E5A">
      <w:pPr>
        <w:numPr>
          <w:ilvl w:val="1"/>
          <w:numId w:val="36"/>
        </w:numPr>
        <w:spacing w:after="7" w:line="270" w:lineRule="auto"/>
        <w:ind w:right="54" w:hanging="708"/>
        <w:jc w:val="both"/>
      </w:pPr>
      <w:r>
        <w:rPr>
          <w:rFonts w:ascii="Arial" w:eastAsia="Arial" w:hAnsi="Arial" w:cs="Arial"/>
          <w:sz w:val="20"/>
        </w:rPr>
        <w:t xml:space="preserve">A fiscalização de que trata este tópico não exclui nem reduz a responsabilidade da CONTRATADA, inclusive perante terceiros, por qualquer irregularidade, ainda que resultante de imperfeições técnicas, vícios redibitórios, ou emprego de </w:t>
      </w:r>
      <w:r>
        <w:rPr>
          <w:rFonts w:ascii="Arial" w:eastAsia="Arial" w:hAnsi="Arial" w:cs="Arial"/>
          <w:sz w:val="20"/>
        </w:rPr>
        <w:t xml:space="preserve">material inadequado ou de qualidade inferior e, na ocorrência desta, não implica corresponsabilidade da CONTRATANTE ou de seus agentes, gestores e fiscais, de conformidade com o art. 70 da Lei nº 8.666, de 1993. </w:t>
      </w:r>
    </w:p>
    <w:p w:rsidR="006C145C" w:rsidRDefault="00C62E5A">
      <w:pPr>
        <w:numPr>
          <w:ilvl w:val="1"/>
          <w:numId w:val="36"/>
        </w:numPr>
        <w:spacing w:after="11" w:line="270" w:lineRule="auto"/>
        <w:ind w:right="54" w:hanging="708"/>
        <w:jc w:val="both"/>
      </w:pPr>
      <w:r>
        <w:rPr>
          <w:rFonts w:ascii="Arial" w:eastAsia="Arial" w:hAnsi="Arial" w:cs="Arial"/>
          <w:i/>
          <w:color w:val="FF0000"/>
          <w:sz w:val="20"/>
        </w:rPr>
        <w:t>A fiscalização da execução dos serviços abr</w:t>
      </w:r>
      <w:r>
        <w:rPr>
          <w:rFonts w:ascii="Arial" w:eastAsia="Arial" w:hAnsi="Arial" w:cs="Arial"/>
          <w:i/>
          <w:color w:val="FF0000"/>
          <w:sz w:val="20"/>
        </w:rPr>
        <w:t xml:space="preserve">ange, ainda, as seguintes rotinas: </w:t>
      </w:r>
    </w:p>
    <w:p w:rsidR="006C145C" w:rsidRDefault="00C62E5A">
      <w:pPr>
        <w:numPr>
          <w:ilvl w:val="2"/>
          <w:numId w:val="37"/>
        </w:numPr>
        <w:spacing w:after="15" w:line="270" w:lineRule="auto"/>
        <w:ind w:right="58" w:hanging="974"/>
        <w:jc w:val="both"/>
      </w:pPr>
      <w:r>
        <w:rPr>
          <w:rFonts w:ascii="Arial" w:eastAsia="Arial" w:hAnsi="Arial" w:cs="Arial"/>
          <w:i/>
          <w:color w:val="FF0000"/>
          <w:sz w:val="20"/>
        </w:rPr>
        <w:t xml:space="preserve">.....; </w:t>
      </w:r>
    </w:p>
    <w:p w:rsidR="006C145C" w:rsidRDefault="00C62E5A">
      <w:pPr>
        <w:numPr>
          <w:ilvl w:val="2"/>
          <w:numId w:val="37"/>
        </w:numPr>
        <w:spacing w:after="130" w:line="270" w:lineRule="auto"/>
        <w:ind w:right="58" w:hanging="974"/>
        <w:jc w:val="both"/>
      </w:pPr>
      <w:r>
        <w:rPr>
          <w:rFonts w:ascii="Arial" w:eastAsia="Arial" w:hAnsi="Arial" w:cs="Arial"/>
          <w:i/>
          <w:color w:val="FF0000"/>
          <w:sz w:val="20"/>
        </w:rPr>
        <w:t xml:space="preserve">.....; </w:t>
      </w:r>
    </w:p>
    <w:p w:rsidR="006C145C" w:rsidRDefault="00C62E5A">
      <w:pPr>
        <w:numPr>
          <w:ilvl w:val="2"/>
          <w:numId w:val="37"/>
        </w:numPr>
        <w:spacing w:after="164" w:line="270" w:lineRule="auto"/>
        <w:ind w:right="58" w:hanging="974"/>
        <w:jc w:val="both"/>
      </w:pPr>
      <w:r>
        <w:rPr>
          <w:rFonts w:ascii="Arial" w:eastAsia="Arial" w:hAnsi="Arial" w:cs="Arial"/>
          <w:i/>
          <w:color w:val="FF0000"/>
          <w:sz w:val="20"/>
        </w:rPr>
        <w:t xml:space="preserve">(etc.)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2" w:line="250" w:lineRule="auto"/>
        <w:ind w:left="-5" w:right="52" w:hanging="10"/>
        <w:jc w:val="both"/>
      </w:pPr>
      <w:r>
        <w:rPr>
          <w:rFonts w:ascii="Arial" w:eastAsia="Arial" w:hAnsi="Arial" w:cs="Arial"/>
          <w:b/>
          <w:sz w:val="20"/>
        </w:rPr>
        <w:t>Nota explicativa</w:t>
      </w:r>
      <w:r>
        <w:rPr>
          <w:rFonts w:ascii="Arial" w:eastAsia="Arial" w:hAnsi="Arial" w:cs="Arial"/>
          <w:sz w:val="20"/>
        </w:rPr>
        <w:t>: Caso as especificidades do serviço demandem uma rotina de fiscalização própria, o órgão deve descrevê-la neste item.</w:t>
      </w:r>
      <w:r>
        <w:rPr>
          <w:rFonts w:ascii="Arial" w:eastAsia="Arial" w:hAnsi="Arial" w:cs="Arial"/>
          <w:i/>
          <w:sz w:val="20"/>
        </w:rPr>
        <w:t xml:space="preserve"> </w:t>
      </w:r>
    </w:p>
    <w:p w:rsidR="006C145C" w:rsidRDefault="00C62E5A">
      <w:pPr>
        <w:numPr>
          <w:ilvl w:val="1"/>
          <w:numId w:val="33"/>
        </w:numPr>
        <w:spacing w:after="6" w:line="270" w:lineRule="auto"/>
        <w:ind w:right="54" w:hanging="360"/>
        <w:jc w:val="both"/>
      </w:pPr>
      <w:r>
        <w:rPr>
          <w:rFonts w:ascii="Arial" w:eastAsia="Arial" w:hAnsi="Arial" w:cs="Arial"/>
          <w:sz w:val="20"/>
        </w:rPr>
        <w:t xml:space="preserve">As disposições previstas neste Termo </w:t>
      </w:r>
      <w:r>
        <w:rPr>
          <w:rFonts w:ascii="Arial" w:eastAsia="Arial" w:hAnsi="Arial" w:cs="Arial"/>
          <w:sz w:val="20"/>
        </w:rPr>
        <w:t xml:space="preserve">de Referência não excluem o disposto no Anexo VIII da Instrução Normativa SLTI/MP nº 05, de 2017, aplicável no que for pertinente à contratação. </w:t>
      </w:r>
    </w:p>
    <w:p w:rsidR="006C145C" w:rsidRDefault="00C62E5A">
      <w:pPr>
        <w:numPr>
          <w:ilvl w:val="1"/>
          <w:numId w:val="33"/>
        </w:numPr>
        <w:spacing w:after="483" w:line="270" w:lineRule="auto"/>
        <w:ind w:right="54" w:hanging="360"/>
        <w:jc w:val="both"/>
      </w:pPr>
      <w:r>
        <w:rPr>
          <w:rFonts w:ascii="Arial" w:eastAsia="Arial" w:hAnsi="Arial" w:cs="Arial"/>
          <w:sz w:val="20"/>
        </w:rPr>
        <w:t>A fiscalização de que trata este Termo de Referência não exclui nem reduz a responsabilidade da CONTRATADA, in</w:t>
      </w:r>
      <w:r>
        <w:rPr>
          <w:rFonts w:ascii="Arial" w:eastAsia="Arial" w:hAnsi="Arial" w:cs="Arial"/>
          <w:sz w:val="20"/>
        </w:rPr>
        <w:t>clusive perante terceiros, por qualquer irregularidade, ainda que resultante de imperfeições técnicas, vícios redibitórios, ou emprego de material inadequado ou de qualidade inferior e, na ocorrência desta, não implica corresponsabilidade da CONTRATANTE ou</w:t>
      </w:r>
      <w:r>
        <w:rPr>
          <w:rFonts w:ascii="Arial" w:eastAsia="Arial" w:hAnsi="Arial" w:cs="Arial"/>
          <w:sz w:val="20"/>
        </w:rPr>
        <w:t xml:space="preserve"> de seus agentes, gestores e fiscais, de conformidade com o art. 70 da Lei nº 8.666, de 1993.  </w:t>
      </w:r>
    </w:p>
    <w:p w:rsidR="006C145C" w:rsidRDefault="00C62E5A">
      <w:pPr>
        <w:pStyle w:val="Ttulo6"/>
        <w:spacing w:after="176"/>
        <w:ind w:left="370" w:right="37"/>
      </w:pPr>
      <w:r>
        <w:t xml:space="preserve">17. DO RECEBIMENTO E ACEITAÇÃO DO OBJETO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b/>
          <w:i/>
          <w:sz w:val="20"/>
        </w:rPr>
        <w:t>Nota explicativa</w:t>
      </w:r>
      <w:r>
        <w:rPr>
          <w:rFonts w:ascii="Arial" w:eastAsia="Arial" w:hAnsi="Arial" w:cs="Arial"/>
          <w:i/>
          <w:sz w:val="20"/>
        </w:rPr>
        <w:t>: Os prazos previstos abaixo deverão ser dimensionados considerando as especificidades da contratação</w:t>
      </w:r>
      <w:r>
        <w:rPr>
          <w:rFonts w:ascii="Arial" w:eastAsia="Arial" w:hAnsi="Arial" w:cs="Arial"/>
          <w:i/>
          <w:sz w:val="20"/>
        </w:rPr>
        <w:t xml:space="preserve">, a periodicidade do faturamento, pela empresa, bem como as condições do CONTRATANTE de realizar os atos necessários para os recebimentos provisório e definitivo dos serviços.  </w:t>
      </w:r>
    </w:p>
    <w:p w:rsidR="006C145C" w:rsidRDefault="00C62E5A">
      <w:pPr>
        <w:spacing w:after="5" w:line="270" w:lineRule="auto"/>
        <w:ind w:left="357" w:right="54" w:hanging="360"/>
        <w:jc w:val="both"/>
      </w:pPr>
      <w:r>
        <w:rPr>
          <w:rFonts w:ascii="Arial" w:eastAsia="Arial" w:hAnsi="Arial" w:cs="Arial"/>
          <w:sz w:val="20"/>
        </w:rPr>
        <w:t>17.1   A emissão da Nota Fiscal/Fatura deve ser precedida do recebimento defin</w:t>
      </w:r>
      <w:r>
        <w:rPr>
          <w:rFonts w:ascii="Arial" w:eastAsia="Arial" w:hAnsi="Arial" w:cs="Arial"/>
          <w:sz w:val="20"/>
        </w:rPr>
        <w:t xml:space="preserve">itivo dos serviços, nos termos abaixo.  </w:t>
      </w:r>
    </w:p>
    <w:p w:rsidR="006C145C" w:rsidRDefault="00C62E5A">
      <w:pPr>
        <w:spacing w:after="5" w:line="270" w:lineRule="auto"/>
        <w:ind w:left="357" w:right="54" w:hanging="360"/>
        <w:jc w:val="both"/>
      </w:pPr>
      <w:r>
        <w:rPr>
          <w:rFonts w:ascii="Arial" w:eastAsia="Arial" w:hAnsi="Arial" w:cs="Arial"/>
          <w:sz w:val="20"/>
        </w:rPr>
        <w:t xml:space="preserve">17.2   No prazo de até </w:t>
      </w:r>
      <w:r>
        <w:rPr>
          <w:rFonts w:ascii="Arial" w:eastAsia="Arial" w:hAnsi="Arial" w:cs="Arial"/>
          <w:color w:val="FF0000"/>
          <w:sz w:val="20"/>
        </w:rPr>
        <w:t xml:space="preserve">5 dias corridos </w:t>
      </w:r>
      <w:r>
        <w:rPr>
          <w:rFonts w:ascii="Arial" w:eastAsia="Arial" w:hAnsi="Arial" w:cs="Arial"/>
          <w:sz w:val="20"/>
        </w:rPr>
        <w:t xml:space="preserve">do adimplemento da parcela, a CONTRATADA deverá entregar toda a documentação comprobatória do cumprimento da obrigação contratual;   </w:t>
      </w:r>
    </w:p>
    <w:p w:rsidR="006C145C" w:rsidRDefault="00C62E5A">
      <w:pPr>
        <w:spacing w:after="151" w:line="270" w:lineRule="auto"/>
        <w:ind w:left="357" w:right="54" w:hanging="360"/>
        <w:jc w:val="both"/>
      </w:pPr>
      <w:r>
        <w:rPr>
          <w:rFonts w:ascii="Arial" w:eastAsia="Arial" w:hAnsi="Arial" w:cs="Arial"/>
          <w:sz w:val="20"/>
        </w:rPr>
        <w:t>17.3 O recebimento provisório será realiza</w:t>
      </w:r>
      <w:r>
        <w:rPr>
          <w:rFonts w:ascii="Arial" w:eastAsia="Arial" w:hAnsi="Arial" w:cs="Arial"/>
          <w:sz w:val="20"/>
        </w:rPr>
        <w:t xml:space="preserve">do pelo fiscal </w:t>
      </w:r>
      <w:r>
        <w:rPr>
          <w:rFonts w:ascii="Arial" w:eastAsia="Arial" w:hAnsi="Arial" w:cs="Arial"/>
          <w:color w:val="FF0000"/>
          <w:sz w:val="20"/>
        </w:rPr>
        <w:t>técnico, administrativo e setorial ou pela equipe de fiscalização</w:t>
      </w:r>
      <w:r>
        <w:rPr>
          <w:rFonts w:ascii="Arial" w:eastAsia="Arial" w:hAnsi="Arial" w:cs="Arial"/>
          <w:sz w:val="20"/>
        </w:rPr>
        <w:t xml:space="preserve"> após a entrega da documentação acima, da seguinte forma: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b/>
          <w:i/>
          <w:sz w:val="20"/>
        </w:rPr>
        <w:lastRenderedPageBreak/>
        <w:t>Nota explicativa:</w:t>
      </w:r>
      <w:r>
        <w:rPr>
          <w:rFonts w:ascii="Arial" w:eastAsia="Arial" w:hAnsi="Arial" w:cs="Arial"/>
          <w:i/>
          <w:sz w:val="20"/>
        </w:rPr>
        <w:t xml:space="preserve"> O Art. 40 da Instrução Normativa nº 5/2017 estabelece os tipos de fiscalização possíveis de serem u</w:t>
      </w:r>
      <w:r>
        <w:rPr>
          <w:rFonts w:ascii="Arial" w:eastAsia="Arial" w:hAnsi="Arial" w:cs="Arial"/>
          <w:i/>
          <w:sz w:val="20"/>
        </w:rPr>
        <w:t>tilizadas nas contratações públicas. Cabe à área demandante estabelecer, de acordo com as características e a complexidade do objeto a ser contratado, quais tipos de fiscais e quais procedimentos de fiscalização e gestão contratual serão utilizados em cada</w:t>
      </w:r>
      <w:r>
        <w:rPr>
          <w:rFonts w:ascii="Arial" w:eastAsia="Arial" w:hAnsi="Arial" w:cs="Arial"/>
          <w:i/>
          <w:sz w:val="20"/>
        </w:rPr>
        <w:t xml:space="preserve"> caso. </w:t>
      </w:r>
    </w:p>
    <w:p w:rsidR="006C145C" w:rsidRDefault="00C62E5A">
      <w:pPr>
        <w:spacing w:after="129" w:line="270" w:lineRule="auto"/>
        <w:ind w:left="1779" w:right="54" w:hanging="720"/>
        <w:jc w:val="both"/>
      </w:pPr>
      <w:r>
        <w:rPr>
          <w:rFonts w:ascii="Arial" w:eastAsia="Arial" w:hAnsi="Arial" w:cs="Arial"/>
          <w:sz w:val="20"/>
        </w:rPr>
        <w:t xml:space="preserve">17.3.1 </w:t>
      </w:r>
      <w:r>
        <w:rPr>
          <w:rFonts w:ascii="Arial" w:eastAsia="Arial" w:hAnsi="Arial" w:cs="Arial"/>
          <w:sz w:val="20"/>
        </w:rPr>
        <w:t>A contratante realizará inspeção minuciosa de todos os serviços executados, por meio de profissionais técnicos competentes, acompanhados dos profissionais encarregados pelo serviço, com a finalidade de verificar a adequação dos serviços e constatar e relac</w:t>
      </w:r>
      <w:r>
        <w:rPr>
          <w:rFonts w:ascii="Arial" w:eastAsia="Arial" w:hAnsi="Arial" w:cs="Arial"/>
          <w:sz w:val="20"/>
        </w:rPr>
        <w:t xml:space="preserve">ionar os arremates, retoques e revisões finais que se fizerem necessários. </w:t>
      </w:r>
    </w:p>
    <w:p w:rsidR="006C145C" w:rsidRDefault="00C62E5A">
      <w:pPr>
        <w:spacing w:after="129" w:line="270" w:lineRule="auto"/>
        <w:ind w:left="2127" w:right="54" w:hanging="721"/>
        <w:jc w:val="both"/>
      </w:pPr>
      <w:r>
        <w:rPr>
          <w:rFonts w:ascii="Arial" w:eastAsia="Arial" w:hAnsi="Arial" w:cs="Arial"/>
          <w:sz w:val="20"/>
        </w:rPr>
        <w:t>17.3.1.1 Para efeito de recebimento provisório, ao final de cada período mensal, o fiscal técnico do contrato deverá apurar o resultado das avaliações da execução do objeto e, se f</w:t>
      </w:r>
      <w:r>
        <w:rPr>
          <w:rFonts w:ascii="Arial" w:eastAsia="Arial" w:hAnsi="Arial" w:cs="Arial"/>
          <w:sz w:val="20"/>
        </w:rPr>
        <w:t xml:space="preserve">or o caso, a análise do desempenho e qualidade da prestação dos serviços realizados em consonância com os indicadores previstos no ato convocatório, que poderá resultar no redimensionamento de valores a serem pagos à contratada, registrando em relatório a </w:t>
      </w:r>
      <w:r>
        <w:rPr>
          <w:rFonts w:ascii="Arial" w:eastAsia="Arial" w:hAnsi="Arial" w:cs="Arial"/>
          <w:sz w:val="20"/>
        </w:rPr>
        <w:t xml:space="preserve">ser encaminhado ao gestor do contrato. </w:t>
      </w:r>
    </w:p>
    <w:p w:rsidR="006C145C" w:rsidRDefault="00C62E5A">
      <w:pPr>
        <w:spacing w:after="129" w:line="270" w:lineRule="auto"/>
        <w:ind w:left="2127" w:right="54" w:hanging="721"/>
        <w:jc w:val="both"/>
      </w:pPr>
      <w:r>
        <w:rPr>
          <w:rFonts w:ascii="Arial" w:eastAsia="Arial" w:hAnsi="Arial" w:cs="Arial"/>
          <w:sz w:val="20"/>
        </w:rPr>
        <w:t>17.3.1.2 A Contratada fica obrigada a reparar, corrigir, remover, reconstruir ou substituir, às suas expensas, no todo ou em parte, o objeto em que se verificarem vícios, defeitos ou incorreções resultantes da execuç</w:t>
      </w:r>
      <w:r>
        <w:rPr>
          <w:rFonts w:ascii="Arial" w:eastAsia="Arial" w:hAnsi="Arial" w:cs="Arial"/>
          <w:sz w:val="20"/>
        </w:rPr>
        <w:t xml:space="preserve">ão ou materiais empregados, cabendo à fiscalização não atestar a última e/ou única medição de serviços até que sejam sanadas todas as eventuais pendências que possam vir a ser apontadas no Recebimento Provisório. </w:t>
      </w:r>
    </w:p>
    <w:p w:rsidR="006C145C" w:rsidRDefault="00C62E5A">
      <w:pPr>
        <w:spacing w:after="6" w:line="270" w:lineRule="auto"/>
        <w:ind w:left="2127" w:right="54" w:hanging="721"/>
        <w:jc w:val="both"/>
      </w:pPr>
      <w:r>
        <w:rPr>
          <w:rFonts w:ascii="Arial" w:eastAsia="Arial" w:hAnsi="Arial" w:cs="Arial"/>
          <w:sz w:val="20"/>
        </w:rPr>
        <w:t>17.3.1.3 O recebimento provisório também f</w:t>
      </w:r>
      <w:r>
        <w:rPr>
          <w:rFonts w:ascii="Arial" w:eastAsia="Arial" w:hAnsi="Arial" w:cs="Arial"/>
          <w:sz w:val="20"/>
        </w:rPr>
        <w:t xml:space="preserve">icará sujeito, quando cabível, à conclusão de todos os testes de campo e à entrega dos Manuais e Instruções exigíveis. </w:t>
      </w:r>
    </w:p>
    <w:p w:rsidR="006C145C" w:rsidRDefault="00C62E5A">
      <w:pPr>
        <w:spacing w:after="129" w:line="270" w:lineRule="auto"/>
        <w:ind w:left="2127" w:right="54" w:hanging="721"/>
        <w:jc w:val="both"/>
      </w:pPr>
      <w:r>
        <w:rPr>
          <w:rFonts w:ascii="Arial" w:eastAsia="Arial" w:hAnsi="Arial" w:cs="Arial"/>
          <w:sz w:val="20"/>
        </w:rPr>
        <w:t xml:space="preserve">17.3.1.4 </w:t>
      </w:r>
      <w:r>
        <w:rPr>
          <w:rFonts w:ascii="Arial" w:eastAsia="Arial" w:hAnsi="Arial" w:cs="Arial"/>
          <w:sz w:val="20"/>
        </w:rPr>
        <w:t xml:space="preserve">Da mesma forma, ao final de cada período de faturamento mensal, o fiscal administrativo deverá verificar as rotinas previstas no Anexo VIII-B da IN SEGES/MP nº 5/2017, no que forem aplicáveis à presente contratação, emitindo relatório que será encaminhado </w:t>
      </w:r>
      <w:r>
        <w:rPr>
          <w:rFonts w:ascii="Arial" w:eastAsia="Arial" w:hAnsi="Arial" w:cs="Arial"/>
          <w:sz w:val="20"/>
        </w:rPr>
        <w:t xml:space="preserve">ao gestor do contrato; </w:t>
      </w:r>
    </w:p>
    <w:p w:rsidR="006C145C" w:rsidRDefault="00C62E5A">
      <w:pPr>
        <w:spacing w:after="129" w:line="270" w:lineRule="auto"/>
        <w:ind w:left="1778" w:right="54" w:hanging="720"/>
        <w:jc w:val="both"/>
      </w:pPr>
      <w:r>
        <w:rPr>
          <w:rFonts w:ascii="Arial" w:eastAsia="Arial" w:hAnsi="Arial" w:cs="Arial"/>
          <w:sz w:val="20"/>
        </w:rPr>
        <w:t xml:space="preserve">17.3.2 No prazo de até </w:t>
      </w:r>
      <w:r>
        <w:rPr>
          <w:rFonts w:ascii="Arial" w:eastAsia="Arial" w:hAnsi="Arial" w:cs="Arial"/>
          <w:i/>
          <w:color w:val="FF0000"/>
          <w:sz w:val="20"/>
        </w:rPr>
        <w:t>10 dias corridos</w:t>
      </w:r>
      <w:r>
        <w:rPr>
          <w:rFonts w:ascii="Arial" w:eastAsia="Arial" w:hAnsi="Arial" w:cs="Arial"/>
          <w:color w:val="FF0000"/>
          <w:sz w:val="20"/>
        </w:rPr>
        <w:t xml:space="preserve"> </w:t>
      </w:r>
      <w:r>
        <w:rPr>
          <w:rFonts w:ascii="Arial" w:eastAsia="Arial" w:hAnsi="Arial" w:cs="Arial"/>
          <w:sz w:val="20"/>
        </w:rPr>
        <w:t>a partir do recebimento dos documentos da CONTRATADA, cada fiscal ou a equipe de fiscalização deverá elaborar Relatório Circunstanciado em consonância com suas atribuições, e encaminhá-lo ao g</w:t>
      </w:r>
      <w:r>
        <w:rPr>
          <w:rFonts w:ascii="Arial" w:eastAsia="Arial" w:hAnsi="Arial" w:cs="Arial"/>
          <w:sz w:val="20"/>
        </w:rPr>
        <w:t xml:space="preserve">estor do contrato.  </w:t>
      </w:r>
    </w:p>
    <w:p w:rsidR="006C145C" w:rsidRDefault="00C62E5A">
      <w:pPr>
        <w:spacing w:after="129" w:line="270" w:lineRule="auto"/>
        <w:ind w:left="2127" w:right="54" w:hanging="721"/>
        <w:jc w:val="both"/>
      </w:pPr>
      <w:r>
        <w:rPr>
          <w:rFonts w:ascii="Arial" w:eastAsia="Arial" w:hAnsi="Arial" w:cs="Arial"/>
          <w:sz w:val="20"/>
        </w:rPr>
        <w:t>17.3.2.1 quando a fiscalização for exercida por um único servidor, o relatório circunstanciado deverá conter o registro, a análise e a conclusão acerca das ocorrências na execução do contrato, em relação à fiscalização técnica e admini</w:t>
      </w:r>
      <w:r>
        <w:rPr>
          <w:rFonts w:ascii="Arial" w:eastAsia="Arial" w:hAnsi="Arial" w:cs="Arial"/>
          <w:sz w:val="20"/>
        </w:rPr>
        <w:t xml:space="preserve">strativa e demais documentos que julgar necessários, devendo encaminhá-los ao gestor do contrato para recebimento definitivo. </w:t>
      </w:r>
    </w:p>
    <w:p w:rsidR="006C145C" w:rsidRDefault="00C62E5A">
      <w:pPr>
        <w:spacing w:after="129" w:line="270" w:lineRule="auto"/>
        <w:ind w:left="2127" w:right="54" w:hanging="721"/>
        <w:jc w:val="both"/>
      </w:pPr>
      <w:r>
        <w:rPr>
          <w:rFonts w:ascii="Arial" w:eastAsia="Arial" w:hAnsi="Arial" w:cs="Arial"/>
          <w:sz w:val="20"/>
        </w:rPr>
        <w:t>17.3.2.2 Será considerado como ocorrido o recebimento provisório com a entrega do relatório circunstanciado ou, em havendo mais d</w:t>
      </w:r>
      <w:r>
        <w:rPr>
          <w:rFonts w:ascii="Arial" w:eastAsia="Arial" w:hAnsi="Arial" w:cs="Arial"/>
          <w:sz w:val="20"/>
        </w:rPr>
        <w:t xml:space="preserve">e um a ser feito, com a entrega do último.  </w:t>
      </w:r>
    </w:p>
    <w:p w:rsidR="006C145C" w:rsidRDefault="00C62E5A">
      <w:pPr>
        <w:spacing w:after="151" w:line="270" w:lineRule="auto"/>
        <w:ind w:left="2478" w:right="54" w:hanging="721"/>
        <w:jc w:val="both"/>
      </w:pPr>
      <w:r>
        <w:rPr>
          <w:rFonts w:ascii="Arial" w:eastAsia="Arial" w:hAnsi="Arial" w:cs="Arial"/>
          <w:sz w:val="20"/>
        </w:rPr>
        <w:t>17.3.2.2.1 Na hipótese de a verificação a que se refere o parágrafo anterior não ser procedida tempestivamente, reputar-se-á como realizada, consumando-se o recebimento provisório no dia do esgotamento do prazo.</w:t>
      </w:r>
      <w:r>
        <w:rPr>
          <w:rFonts w:ascii="Arial" w:eastAsia="Arial" w:hAnsi="Arial" w:cs="Arial"/>
          <w:sz w:val="20"/>
        </w:rPr>
        <w:t xml:space="preserve"> </w:t>
      </w:r>
    </w:p>
    <w:p w:rsidR="006C145C" w:rsidRDefault="00C62E5A">
      <w:pPr>
        <w:pBdr>
          <w:top w:val="single" w:sz="4" w:space="0" w:color="000080"/>
          <w:left w:val="single" w:sz="4" w:space="0" w:color="000080"/>
          <w:bottom w:val="single" w:sz="4" w:space="0" w:color="000080"/>
          <w:right w:val="single" w:sz="4" w:space="0" w:color="000080"/>
        </w:pBdr>
        <w:shd w:val="clear" w:color="auto" w:fill="FFFFCC"/>
        <w:spacing w:after="230" w:line="250" w:lineRule="auto"/>
        <w:ind w:left="7" w:right="52" w:hanging="10"/>
        <w:jc w:val="both"/>
      </w:pPr>
      <w:r>
        <w:rPr>
          <w:rFonts w:ascii="Arial" w:eastAsia="Arial" w:hAnsi="Arial" w:cs="Arial"/>
          <w:b/>
          <w:i/>
          <w:sz w:val="20"/>
        </w:rPr>
        <w:t>Nota Explicativa:</w:t>
      </w:r>
      <w:r>
        <w:rPr>
          <w:rFonts w:ascii="Arial" w:eastAsia="Arial" w:hAnsi="Arial" w:cs="Arial"/>
          <w:i/>
          <w:sz w:val="20"/>
        </w:rPr>
        <w:t xml:space="preserve"> </w:t>
      </w:r>
      <w:r>
        <w:rPr>
          <w:rFonts w:ascii="Arial" w:eastAsia="Arial" w:hAnsi="Arial" w:cs="Arial"/>
          <w:i/>
          <w:sz w:val="20"/>
        </w:rPr>
        <w:t>Nos termos do art. 74 da Lei n° 8.666, de 1993, poderá ser dispensado o recebimento provisório nos serviços de valor até o previsto no art. 23, inc. II, alínea “a” da Lei, desde que não se componham de aparelhos, equipamentos e instalações sujeitos à verif</w:t>
      </w:r>
      <w:r>
        <w:rPr>
          <w:rFonts w:ascii="Arial" w:eastAsia="Arial" w:hAnsi="Arial" w:cs="Arial"/>
          <w:i/>
          <w:sz w:val="20"/>
        </w:rPr>
        <w:t xml:space="preserve">icação de funcionamento e produtividade.  </w:t>
      </w:r>
    </w:p>
    <w:p w:rsidR="006C145C" w:rsidRDefault="00C62E5A">
      <w:pPr>
        <w:pBdr>
          <w:top w:val="single" w:sz="4" w:space="0" w:color="000080"/>
          <w:left w:val="single" w:sz="4" w:space="0" w:color="000080"/>
          <w:bottom w:val="single" w:sz="4" w:space="0" w:color="000080"/>
          <w:right w:val="single" w:sz="4" w:space="0" w:color="000080"/>
        </w:pBdr>
        <w:shd w:val="clear" w:color="auto" w:fill="FFFFCC"/>
        <w:spacing w:after="262" w:line="250" w:lineRule="auto"/>
        <w:ind w:left="7" w:right="52" w:hanging="10"/>
        <w:jc w:val="both"/>
      </w:pPr>
      <w:r>
        <w:rPr>
          <w:rFonts w:ascii="Arial" w:eastAsia="Arial" w:hAnsi="Arial" w:cs="Arial"/>
          <w:i/>
          <w:sz w:val="20"/>
        </w:rPr>
        <w:t xml:space="preserve">Acórdão do TCU aplicável também aos serviços de engenharia: 9.1.4. abstenham-se de realizar o recebimento provisório de obras com pendências a serem solucionadas pela construtora, uma vez que o </w:t>
      </w:r>
      <w:r>
        <w:rPr>
          <w:rFonts w:ascii="Arial" w:eastAsia="Arial" w:hAnsi="Arial" w:cs="Arial"/>
          <w:i/>
          <w:sz w:val="20"/>
        </w:rPr>
        <w:lastRenderedPageBreak/>
        <w:t>instituto do recebi</w:t>
      </w:r>
      <w:r>
        <w:rPr>
          <w:rFonts w:ascii="Arial" w:eastAsia="Arial" w:hAnsi="Arial" w:cs="Arial"/>
          <w:i/>
          <w:sz w:val="20"/>
        </w:rPr>
        <w:t xml:space="preserve">mento provisório, previsto no art. 73, inc. I, da Lei nº 8.666/93, não legitima a entrega provisória de uma obra inconclusa, mas visa resguardar a Administração no caso de aparecimento de vícios ocultos, surgidos após o recebimento provisório; (Acórdão nº </w:t>
      </w:r>
      <w:r>
        <w:rPr>
          <w:rFonts w:ascii="Arial" w:eastAsia="Arial" w:hAnsi="Arial" w:cs="Arial"/>
          <w:i/>
          <w:sz w:val="20"/>
        </w:rPr>
        <w:t xml:space="preserve">853/2013 – Plenário) </w:t>
      </w:r>
    </w:p>
    <w:p w:rsidR="006C145C" w:rsidRDefault="00C62E5A">
      <w:pPr>
        <w:spacing w:after="117" w:line="280" w:lineRule="auto"/>
        <w:ind w:left="420" w:hanging="10"/>
      </w:pPr>
      <w:r>
        <w:rPr>
          <w:rFonts w:ascii="Arial" w:eastAsia="Arial" w:hAnsi="Arial" w:cs="Arial"/>
          <w:sz w:val="20"/>
        </w:rPr>
        <w:t xml:space="preserve">17.4 </w:t>
      </w:r>
      <w:r>
        <w:rPr>
          <w:rFonts w:ascii="Arial" w:eastAsia="Arial" w:hAnsi="Arial" w:cs="Arial"/>
          <w:sz w:val="20"/>
        </w:rPr>
        <w:tab/>
        <w:t xml:space="preserve">No prazo de até </w:t>
      </w:r>
      <w:r>
        <w:rPr>
          <w:rFonts w:ascii="Arial" w:eastAsia="Arial" w:hAnsi="Arial" w:cs="Arial"/>
          <w:i/>
          <w:color w:val="FF0000"/>
          <w:sz w:val="20"/>
        </w:rPr>
        <w:t>10 (dez) dias corridos</w:t>
      </w:r>
      <w:r>
        <w:rPr>
          <w:rFonts w:ascii="Arial" w:eastAsia="Arial" w:hAnsi="Arial" w:cs="Arial"/>
          <w:color w:val="FF0000"/>
          <w:sz w:val="20"/>
        </w:rPr>
        <w:t xml:space="preserve"> </w:t>
      </w:r>
      <w:r>
        <w:rPr>
          <w:rFonts w:ascii="Arial" w:eastAsia="Arial" w:hAnsi="Arial" w:cs="Arial"/>
          <w:sz w:val="20"/>
        </w:rPr>
        <w:t>a partir do recebimento provisório dos serviços, o Gestor do Contrato deverá providenciar o recebimento definitivo, ato que concretiza o ateste da execução dos serviços, obedecendo as segui</w:t>
      </w:r>
      <w:r>
        <w:rPr>
          <w:rFonts w:ascii="Arial" w:eastAsia="Arial" w:hAnsi="Arial" w:cs="Arial"/>
          <w:sz w:val="20"/>
        </w:rPr>
        <w:t xml:space="preserve">ntes diretrizes:  </w:t>
      </w:r>
    </w:p>
    <w:p w:rsidR="006C145C" w:rsidRDefault="00C62E5A">
      <w:pPr>
        <w:spacing w:after="129" w:line="270" w:lineRule="auto"/>
        <w:ind w:left="1779" w:right="54" w:hanging="720"/>
        <w:jc w:val="both"/>
      </w:pPr>
      <w:r>
        <w:rPr>
          <w:rFonts w:ascii="Arial" w:eastAsia="Arial" w:hAnsi="Arial" w:cs="Arial"/>
          <w:sz w:val="20"/>
        </w:rPr>
        <w:t>17.4.1 Realizar a análise dos relatórios e de toda a documentação apresentada pela fiscalização e, caso haja irregularidades que impeçam a liquidação e o pagamento da despesa, indicar as cláusulas contratuais pertinentes, solicitando à C</w:t>
      </w:r>
      <w:r>
        <w:rPr>
          <w:rFonts w:ascii="Arial" w:eastAsia="Arial" w:hAnsi="Arial" w:cs="Arial"/>
          <w:sz w:val="20"/>
        </w:rPr>
        <w:t xml:space="preserve">ONTRATADA, por escrito, as respectivas correções;  </w:t>
      </w:r>
    </w:p>
    <w:p w:rsidR="006C145C" w:rsidRDefault="00C62E5A">
      <w:pPr>
        <w:spacing w:after="129" w:line="270" w:lineRule="auto"/>
        <w:ind w:left="1779" w:right="54" w:hanging="720"/>
        <w:jc w:val="both"/>
      </w:pPr>
      <w:r>
        <w:rPr>
          <w:rFonts w:ascii="Arial" w:eastAsia="Arial" w:hAnsi="Arial" w:cs="Arial"/>
          <w:sz w:val="20"/>
        </w:rPr>
        <w:t xml:space="preserve">17.4.2 Emitir Termo Circunstanciado para efeito de recebimento definitivo dos serviços prestados, com base nos relatórios e documentações apresentadas; e  </w:t>
      </w:r>
    </w:p>
    <w:p w:rsidR="006C145C" w:rsidRDefault="00C62E5A">
      <w:pPr>
        <w:spacing w:after="129" w:line="270" w:lineRule="auto"/>
        <w:ind w:left="1779" w:right="54" w:hanging="720"/>
        <w:jc w:val="both"/>
      </w:pPr>
      <w:r>
        <w:rPr>
          <w:rFonts w:ascii="Arial" w:eastAsia="Arial" w:hAnsi="Arial" w:cs="Arial"/>
          <w:sz w:val="20"/>
        </w:rPr>
        <w:t>17.4.3 Comunicar a empresa para que emita a Nota</w:t>
      </w:r>
      <w:r>
        <w:rPr>
          <w:rFonts w:ascii="Arial" w:eastAsia="Arial" w:hAnsi="Arial" w:cs="Arial"/>
          <w:sz w:val="20"/>
        </w:rPr>
        <w:t xml:space="preserve"> Fiscal ou Fatura, com o valor exato dimensionado pela fiscalização, com base no Instrumento de Medição de Resultado (IMR), ou instrumento substituto.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b/>
          <w:i/>
          <w:sz w:val="20"/>
        </w:rPr>
        <w:t>Nota Explicativa 1</w:t>
      </w:r>
      <w:r>
        <w:rPr>
          <w:rFonts w:ascii="Arial" w:eastAsia="Arial" w:hAnsi="Arial" w:cs="Arial"/>
          <w:i/>
          <w:sz w:val="20"/>
        </w:rPr>
        <w:t xml:space="preserve">: Caso exista algum instrumento para medição dos resultados, deve ser especificado.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b/>
          <w:i/>
          <w:sz w:val="20"/>
        </w:rPr>
        <w:t xml:space="preserve">Nota Explicativa 2: </w:t>
      </w:r>
      <w:r>
        <w:rPr>
          <w:rFonts w:ascii="Arial" w:eastAsia="Arial" w:hAnsi="Arial" w:cs="Arial"/>
          <w:i/>
          <w:sz w:val="20"/>
        </w:rPr>
        <w:t>A IN 05/2017 SEGES/MP alterou profundamente a sistemática de pagamento, deixando claro que a emissão da Nota Fiscal só se dará após o recebimento do serviço. Ademais, houve uma pormenorização do procedimento de recebimento, definindo-se</w:t>
      </w:r>
      <w:r>
        <w:rPr>
          <w:rFonts w:ascii="Arial" w:eastAsia="Arial" w:hAnsi="Arial" w:cs="Arial"/>
          <w:i/>
          <w:sz w:val="20"/>
        </w:rPr>
        <w:t xml:space="preserve"> os papéis dos atores envolvidos.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 xml:space="preserve">Essa nova sistemática mostra-se mais adequada à dinâmica administrativa e tributária, porque a emissão da Nota no início do procedimento de pagamento gerava uma série de inconvenientes. Primeiramente porque 48 horas após </w:t>
      </w:r>
      <w:r>
        <w:rPr>
          <w:rFonts w:ascii="Arial" w:eastAsia="Arial" w:hAnsi="Arial" w:cs="Arial"/>
          <w:i/>
          <w:sz w:val="20"/>
        </w:rPr>
        <w:t>sua emissão, a Nota já não poderia ser alterada, por conta da legislação tributária, e então somente cancelada, caso houvesse erros. Além disso, a emissão da nota gerava a obrigação de pagamento dos tributos relativos ao INSS, até o 20º dia do mês subseque</w:t>
      </w:r>
      <w:r>
        <w:rPr>
          <w:rFonts w:ascii="Arial" w:eastAsia="Arial" w:hAnsi="Arial" w:cs="Arial"/>
          <w:i/>
          <w:sz w:val="20"/>
        </w:rPr>
        <w:t xml:space="preserve">nte, conforme art. 129 da IN 971/2009, da SRFB.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Assim, a emissão da Nota somente após todas as verificações e acertamento do valor devido facilita o pagamento dentro do prazo máximo de 30 dias, conforme disposto no artigo 40, XIV, “a”, da Lei 8.666, de 19</w:t>
      </w:r>
      <w:r>
        <w:rPr>
          <w:rFonts w:ascii="Arial" w:eastAsia="Arial" w:hAnsi="Arial" w:cs="Arial"/>
          <w:i/>
          <w:sz w:val="20"/>
        </w:rPr>
        <w:t xml:space="preserve">93, bem como de acordo com a alínea "b" do item 4 do Anexo XI da IN SEGES/MP n. 5/2017, e possibilita que a retenção tributária seja realizada no tempo adequado para o efetivo recolhimento.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Como, entretanto, o prazo para recebimento definitivo no âmbito d</w:t>
      </w:r>
      <w:r>
        <w:rPr>
          <w:rFonts w:ascii="Arial" w:eastAsia="Arial" w:hAnsi="Arial" w:cs="Arial"/>
          <w:i/>
          <w:sz w:val="20"/>
        </w:rPr>
        <w:t xml:space="preserve">a Lei de Licitações é de até 90 dias, a utilização desse prazo pela Administração inviabilizaria a execução contratual, pois a contratada só receberia mais de 150 dias após o adimplemento de parcelas significativas do serviço.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Por essa razão, a Comissão P</w:t>
      </w:r>
      <w:r>
        <w:rPr>
          <w:rFonts w:ascii="Arial" w:eastAsia="Arial" w:hAnsi="Arial" w:cs="Arial"/>
          <w:i/>
          <w:sz w:val="20"/>
        </w:rPr>
        <w:t xml:space="preserve">ermanente de Modelos de Licitações e Contratos Administrativos da Advocacia Geral da União sugere os prazos de dez dias para recebimento provisório e de dez dias para recebimento definitivo para esses serviços com disponibilização de mão de obra em regime </w:t>
      </w:r>
      <w:r>
        <w:rPr>
          <w:rFonts w:ascii="Arial" w:eastAsia="Arial" w:hAnsi="Arial" w:cs="Arial"/>
          <w:i/>
          <w:sz w:val="20"/>
        </w:rPr>
        <w:t xml:space="preserve">de dedicação exclusiva, facultando-se ao órgão dispor de forma diferente.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5" w:line="249" w:lineRule="auto"/>
        <w:ind w:left="-5" w:right="57" w:hanging="10"/>
        <w:jc w:val="both"/>
      </w:pPr>
      <w:r>
        <w:rPr>
          <w:rFonts w:ascii="Arial" w:eastAsia="Arial" w:hAnsi="Arial" w:cs="Arial"/>
          <w:i/>
          <w:sz w:val="20"/>
        </w:rPr>
        <w:t>Atentar para o prazo máximo de 30 dias para pagamento, conforme disposto no artigo 40, XIV, “a”, da Lei 8.666, de 1993, bem como de acordo com a alínea "b" do item 4 do Anexo XI da</w:t>
      </w:r>
      <w:r>
        <w:rPr>
          <w:rFonts w:ascii="Arial" w:eastAsia="Arial" w:hAnsi="Arial" w:cs="Arial"/>
          <w:i/>
          <w:sz w:val="20"/>
        </w:rPr>
        <w:t xml:space="preserve"> IN SEGES/MP n. 5/2017. Esse prazo se inicia com a apresentação da Nota Fiscal/Fatura e inclui o prazo para o setor competente verificar se a Nota Fiscal ou Fatura expressa os elementos necessários e essenciais do documento, previstos no item 3 do Anexo XI</w:t>
      </w:r>
      <w:r>
        <w:rPr>
          <w:rFonts w:ascii="Arial" w:eastAsia="Arial" w:hAnsi="Arial" w:cs="Arial"/>
          <w:i/>
          <w:sz w:val="20"/>
        </w:rPr>
        <w:t xml:space="preserve"> da IN SEGES/MP, e demais trâmites burocráticos para pagamento. Ou seja, é o prazo desde a apresentação da Nota Fiscal até o envio da ordem bancária.</w:t>
      </w:r>
      <w:r>
        <w:rPr>
          <w:rFonts w:ascii="Arial" w:eastAsia="Arial" w:hAnsi="Arial" w:cs="Arial"/>
          <w:sz w:val="20"/>
        </w:rPr>
        <w:t xml:space="preserve"> </w:t>
      </w:r>
    </w:p>
    <w:p w:rsidR="006C145C" w:rsidRDefault="00C62E5A">
      <w:pPr>
        <w:spacing w:after="129" w:line="270" w:lineRule="auto"/>
        <w:ind w:left="433" w:right="54" w:hanging="8"/>
        <w:jc w:val="both"/>
      </w:pPr>
      <w:r>
        <w:rPr>
          <w:rFonts w:ascii="Arial" w:eastAsia="Arial" w:hAnsi="Arial" w:cs="Arial"/>
          <w:sz w:val="20"/>
        </w:rPr>
        <w:t>17.5 O recebimento provisório ou definitivo do objeto não exclui a responsabilidade da Contratada pelos p</w:t>
      </w:r>
      <w:r>
        <w:rPr>
          <w:rFonts w:ascii="Arial" w:eastAsia="Arial" w:hAnsi="Arial" w:cs="Arial"/>
          <w:sz w:val="20"/>
        </w:rPr>
        <w:t xml:space="preserve">rejuízos resultantes da incorreta execução do contrato, ou, em qualquer época, das garantias concedidas e das responsabilidades assumidas em contrato e por força das disposições legais em vigor (Lei n° 10.406, de 2002). </w:t>
      </w:r>
    </w:p>
    <w:p w:rsidR="006C145C" w:rsidRDefault="00C62E5A">
      <w:pPr>
        <w:spacing w:after="152" w:line="270" w:lineRule="auto"/>
        <w:ind w:left="433" w:right="54" w:hanging="8"/>
        <w:jc w:val="both"/>
      </w:pPr>
      <w:r>
        <w:rPr>
          <w:rFonts w:ascii="Arial" w:eastAsia="Arial" w:hAnsi="Arial" w:cs="Arial"/>
          <w:sz w:val="20"/>
        </w:rPr>
        <w:t>17.6 Os serviços poderão ser rejeit</w:t>
      </w:r>
      <w:r>
        <w:rPr>
          <w:rFonts w:ascii="Arial" w:eastAsia="Arial" w:hAnsi="Arial" w:cs="Arial"/>
          <w:sz w:val="20"/>
        </w:rPr>
        <w:t>ados, no todo ou em parte, quando em desacordo com as especificações constantes neste Termo de Referência e na proposta, devendo ser corrigidos/refeitos/substituídos no prazo fixado pelo fiscal do contrato, às custas da Contratada, sem prejuízo da aplicaçã</w:t>
      </w:r>
      <w:r>
        <w:rPr>
          <w:rFonts w:ascii="Arial" w:eastAsia="Arial" w:hAnsi="Arial" w:cs="Arial"/>
          <w:sz w:val="20"/>
        </w:rPr>
        <w:t xml:space="preserve">o de penalidades.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b/>
          <w:i/>
          <w:sz w:val="20"/>
        </w:rPr>
        <w:lastRenderedPageBreak/>
        <w:t>Nota Explicativa</w:t>
      </w:r>
      <w:r>
        <w:rPr>
          <w:rFonts w:ascii="Arial" w:eastAsia="Arial" w:hAnsi="Arial" w:cs="Arial"/>
          <w:i/>
          <w:sz w:val="20"/>
        </w:rPr>
        <w:t>: Nas contratações de serviços, cada vício, defeito ou incorreção verificada pelo fiscal do contrato reveste-</w:t>
      </w:r>
      <w:r>
        <w:rPr>
          <w:rFonts w:ascii="Arial" w:eastAsia="Arial" w:hAnsi="Arial" w:cs="Arial"/>
          <w:i/>
          <w:sz w:val="20"/>
        </w:rPr>
        <w:t>se de peculiar característica. Por isso que, diante da natureza do objeto contratado, é impróprio determinar prazo único para as correções devidas, devendo o fiscal do contrato avaliar o caso concreto, para o fim de fixar prazo para as correções.</w:t>
      </w:r>
      <w:r>
        <w:rPr>
          <w:rFonts w:ascii="Arial" w:eastAsia="Arial" w:hAnsi="Arial" w:cs="Arial"/>
          <w:sz w:val="20"/>
        </w:rPr>
        <w:t xml:space="preserve"> </w:t>
      </w:r>
    </w:p>
    <w:p w:rsidR="006C145C" w:rsidRDefault="00C62E5A">
      <w:pPr>
        <w:pStyle w:val="Ttulo6"/>
        <w:ind w:left="454" w:right="37"/>
      </w:pPr>
      <w:r>
        <w:t>18. DO P</w:t>
      </w:r>
      <w:r>
        <w:t xml:space="preserve">AGAMENTO </w:t>
      </w:r>
    </w:p>
    <w:p w:rsidR="006C145C" w:rsidRDefault="00C62E5A">
      <w:pPr>
        <w:spacing w:after="129" w:line="270" w:lineRule="auto"/>
        <w:ind w:left="92" w:right="54" w:hanging="8"/>
        <w:jc w:val="both"/>
      </w:pPr>
      <w:r>
        <w:rPr>
          <w:rFonts w:ascii="Arial" w:eastAsia="Arial" w:hAnsi="Arial" w:cs="Arial"/>
          <w:sz w:val="20"/>
        </w:rPr>
        <w:t xml:space="preserve">18.1 O pagamento será efetuado pela Contratante no prazo de ..... (....) dias, contados do recebimento da Nota Fiscal/Fatura.  </w:t>
      </w:r>
    </w:p>
    <w:p w:rsidR="006C145C" w:rsidRDefault="00C62E5A">
      <w:pPr>
        <w:spacing w:after="154" w:line="270" w:lineRule="auto"/>
        <w:ind w:left="1524" w:right="54" w:hanging="720"/>
        <w:jc w:val="both"/>
      </w:pPr>
      <w:r>
        <w:rPr>
          <w:rFonts w:ascii="Arial" w:eastAsia="Arial" w:hAnsi="Arial" w:cs="Arial"/>
          <w:sz w:val="20"/>
        </w:rPr>
        <w:t>18.1.1 Os pagamentos decorrentes de despesas cujos valores não ultrapassem o limite de que trata o inciso II do art. 2</w:t>
      </w:r>
      <w:r>
        <w:rPr>
          <w:rFonts w:ascii="Arial" w:eastAsia="Arial" w:hAnsi="Arial" w:cs="Arial"/>
          <w:sz w:val="20"/>
        </w:rPr>
        <w:t xml:space="preserve">4 da Lei 8.666, de 1993, deverão ser efetuados no prazo de até 5 (cinco) dias úteis, contados da data da apresentação da Nota Fiscal/Fatura, nos termos do art. 5º, § 3º, da Lei nº 8.666, de 1993.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1" w:line="318" w:lineRule="auto"/>
        <w:ind w:left="94" w:right="52" w:hanging="10"/>
        <w:jc w:val="both"/>
      </w:pPr>
      <w:r>
        <w:rPr>
          <w:rFonts w:ascii="Arial" w:eastAsia="Arial" w:hAnsi="Arial" w:cs="Arial"/>
          <w:b/>
          <w:sz w:val="20"/>
        </w:rPr>
        <w:t>Nota Explicativa</w:t>
      </w:r>
      <w:r>
        <w:rPr>
          <w:rFonts w:ascii="Arial" w:eastAsia="Arial" w:hAnsi="Arial" w:cs="Arial"/>
          <w:sz w:val="20"/>
        </w:rPr>
        <w:t>: Atentar para o prazo máximo de 30 dias pa</w:t>
      </w:r>
      <w:r>
        <w:rPr>
          <w:rFonts w:ascii="Arial" w:eastAsia="Arial" w:hAnsi="Arial" w:cs="Arial"/>
          <w:sz w:val="20"/>
        </w:rPr>
        <w:t>ra pagamento, conforme disposto no artigo 40, XIV, “a”, da Lei 8.666, de 1993.</w:t>
      </w:r>
      <w:r>
        <w:rPr>
          <w:rFonts w:ascii="Arial" w:eastAsia="Arial" w:hAnsi="Arial" w:cs="Arial"/>
          <w:i/>
          <w:sz w:val="20"/>
        </w:rPr>
        <w:t xml:space="preserve"> </w:t>
      </w:r>
    </w:p>
    <w:p w:rsidR="006C145C" w:rsidRDefault="00C62E5A">
      <w:pPr>
        <w:spacing w:after="5" w:line="270" w:lineRule="auto"/>
        <w:ind w:left="508" w:right="54" w:hanging="511"/>
        <w:jc w:val="both"/>
      </w:pPr>
      <w:r>
        <w:rPr>
          <w:rFonts w:ascii="Arial" w:eastAsia="Arial" w:hAnsi="Arial" w:cs="Arial"/>
          <w:sz w:val="20"/>
        </w:rPr>
        <w:t xml:space="preserve">18.2 A emissão da Nota Fiscal/Fatura será precedida do recebimento definitivo do serviço, conforme este Termo de Referência </w:t>
      </w:r>
    </w:p>
    <w:p w:rsidR="006C145C" w:rsidRDefault="00C62E5A">
      <w:pPr>
        <w:spacing w:after="129" w:line="270" w:lineRule="auto"/>
        <w:ind w:left="508" w:right="54" w:hanging="511"/>
        <w:jc w:val="both"/>
      </w:pPr>
      <w:r>
        <w:rPr>
          <w:rFonts w:ascii="Arial" w:eastAsia="Arial" w:hAnsi="Arial" w:cs="Arial"/>
          <w:sz w:val="20"/>
        </w:rPr>
        <w:t xml:space="preserve">18.3 </w:t>
      </w:r>
      <w:r>
        <w:rPr>
          <w:rFonts w:ascii="Arial" w:eastAsia="Arial" w:hAnsi="Arial" w:cs="Arial"/>
          <w:sz w:val="20"/>
        </w:rPr>
        <w:t xml:space="preserve">A Nota Fiscal ou Fatura deverá ser obrigatoriamente acompanhada da comprovação da regularidade fiscal, constatada por meio de consulta on-line ao SICAF ou, na impossibilidade de acesso ao referido Sistema, mediante consulta aos sítios eletrônicos oficiais </w:t>
      </w:r>
      <w:r>
        <w:rPr>
          <w:rFonts w:ascii="Arial" w:eastAsia="Arial" w:hAnsi="Arial" w:cs="Arial"/>
          <w:sz w:val="20"/>
        </w:rPr>
        <w:t xml:space="preserve">ou à documentação mencionada no art. 29 da Lei nº 8.666, de 1993.  </w:t>
      </w:r>
    </w:p>
    <w:p w:rsidR="006C145C" w:rsidRDefault="00C62E5A">
      <w:pPr>
        <w:spacing w:after="129" w:line="270" w:lineRule="auto"/>
        <w:ind w:left="1524" w:right="54" w:hanging="720"/>
        <w:jc w:val="both"/>
      </w:pPr>
      <w:r>
        <w:rPr>
          <w:rFonts w:ascii="Arial" w:eastAsia="Arial" w:hAnsi="Arial" w:cs="Arial"/>
          <w:sz w:val="20"/>
        </w:rPr>
        <w:t xml:space="preserve">18.3.1 Constatando-se, junto ao SICAF, a situação de irregularidade do fornecedor contratado, deverão ser tomadas as providências previstas no do art. 31 da Instrução Normativa </w:t>
      </w:r>
      <w:r>
        <w:rPr>
          <w:rFonts w:ascii="Arial" w:eastAsia="Arial" w:hAnsi="Arial" w:cs="Arial"/>
          <w:sz w:val="20"/>
        </w:rPr>
        <w:t xml:space="preserve">nº 3, de 26 de abril de 2018. </w:t>
      </w:r>
    </w:p>
    <w:p w:rsidR="006C145C" w:rsidRDefault="00C62E5A">
      <w:pPr>
        <w:spacing w:after="129" w:line="270" w:lineRule="auto"/>
        <w:ind w:left="508" w:right="54" w:hanging="511"/>
        <w:jc w:val="both"/>
      </w:pPr>
      <w:r>
        <w:rPr>
          <w:rFonts w:ascii="Arial" w:eastAsia="Arial" w:hAnsi="Arial" w:cs="Arial"/>
          <w:sz w:val="20"/>
        </w:rPr>
        <w:t xml:space="preserve">18.4 O setor competente para proceder o pagamento deve verificar se a Nota Fiscal ou Fatura apresentada expressa os elementos necessários e essenciais do documento, tais como:  </w:t>
      </w:r>
    </w:p>
    <w:p w:rsidR="006C145C" w:rsidRDefault="00C62E5A">
      <w:pPr>
        <w:spacing w:after="129" w:line="270" w:lineRule="auto"/>
        <w:ind w:left="812" w:right="54" w:hanging="8"/>
        <w:jc w:val="both"/>
      </w:pPr>
      <w:r>
        <w:rPr>
          <w:rFonts w:ascii="Arial" w:eastAsia="Arial" w:hAnsi="Arial" w:cs="Arial"/>
          <w:sz w:val="20"/>
        </w:rPr>
        <w:t xml:space="preserve">18.4.1 o prazo de validade;  </w:t>
      </w:r>
    </w:p>
    <w:p w:rsidR="006C145C" w:rsidRDefault="00C62E5A">
      <w:pPr>
        <w:spacing w:after="129" w:line="270" w:lineRule="auto"/>
        <w:ind w:left="812" w:right="54" w:hanging="8"/>
        <w:jc w:val="both"/>
      </w:pPr>
      <w:r>
        <w:rPr>
          <w:rFonts w:ascii="Arial" w:eastAsia="Arial" w:hAnsi="Arial" w:cs="Arial"/>
          <w:sz w:val="20"/>
        </w:rPr>
        <w:t xml:space="preserve">18.4.2 a data da </w:t>
      </w:r>
      <w:r>
        <w:rPr>
          <w:rFonts w:ascii="Arial" w:eastAsia="Arial" w:hAnsi="Arial" w:cs="Arial"/>
          <w:sz w:val="20"/>
        </w:rPr>
        <w:t xml:space="preserve">emissão;  </w:t>
      </w:r>
    </w:p>
    <w:p w:rsidR="006C145C" w:rsidRDefault="00C62E5A">
      <w:pPr>
        <w:spacing w:after="129" w:line="270" w:lineRule="auto"/>
        <w:ind w:left="812" w:right="54" w:hanging="8"/>
        <w:jc w:val="both"/>
      </w:pPr>
      <w:r>
        <w:rPr>
          <w:rFonts w:ascii="Arial" w:eastAsia="Arial" w:hAnsi="Arial" w:cs="Arial"/>
          <w:sz w:val="20"/>
        </w:rPr>
        <w:t xml:space="preserve">18.4.3 os dados do contrato e do órgão contratante;  </w:t>
      </w:r>
    </w:p>
    <w:p w:rsidR="006C145C" w:rsidRDefault="00C62E5A">
      <w:pPr>
        <w:spacing w:after="129" w:line="270" w:lineRule="auto"/>
        <w:ind w:left="812" w:right="54" w:hanging="8"/>
        <w:jc w:val="both"/>
      </w:pPr>
      <w:r>
        <w:rPr>
          <w:rFonts w:ascii="Arial" w:eastAsia="Arial" w:hAnsi="Arial" w:cs="Arial"/>
          <w:sz w:val="20"/>
        </w:rPr>
        <w:t xml:space="preserve">18.4.4 o período de prestação dos serviços;  </w:t>
      </w:r>
    </w:p>
    <w:p w:rsidR="006C145C" w:rsidRDefault="00C62E5A">
      <w:pPr>
        <w:spacing w:after="129" w:line="270" w:lineRule="auto"/>
        <w:ind w:left="812" w:right="54" w:hanging="8"/>
        <w:jc w:val="both"/>
      </w:pPr>
      <w:r>
        <w:rPr>
          <w:rFonts w:ascii="Arial" w:eastAsia="Arial" w:hAnsi="Arial" w:cs="Arial"/>
          <w:sz w:val="20"/>
        </w:rPr>
        <w:t xml:space="preserve">18.4.5 o valor a pagar; e  </w:t>
      </w:r>
    </w:p>
    <w:p w:rsidR="006C145C" w:rsidRDefault="00C62E5A">
      <w:pPr>
        <w:spacing w:after="129" w:line="270" w:lineRule="auto"/>
        <w:ind w:left="812" w:right="54" w:hanging="8"/>
        <w:jc w:val="both"/>
      </w:pPr>
      <w:r>
        <w:rPr>
          <w:rFonts w:ascii="Arial" w:eastAsia="Arial" w:hAnsi="Arial" w:cs="Arial"/>
          <w:sz w:val="20"/>
        </w:rPr>
        <w:t xml:space="preserve">18.4.6 eventual destaque do valor de retenções tributárias cabíveis. </w:t>
      </w:r>
    </w:p>
    <w:p w:rsidR="006C145C" w:rsidRDefault="00C62E5A">
      <w:pPr>
        <w:spacing w:after="6" w:line="270" w:lineRule="auto"/>
        <w:ind w:left="508" w:right="54" w:hanging="511"/>
        <w:jc w:val="both"/>
      </w:pPr>
      <w:r>
        <w:rPr>
          <w:rFonts w:ascii="Arial" w:eastAsia="Arial" w:hAnsi="Arial" w:cs="Arial"/>
          <w:sz w:val="20"/>
        </w:rPr>
        <w:t>18.5 Havendo erro na apresentação da Nota Fisca</w:t>
      </w:r>
      <w:r>
        <w:rPr>
          <w:rFonts w:ascii="Arial" w:eastAsia="Arial" w:hAnsi="Arial" w:cs="Arial"/>
          <w:sz w:val="20"/>
        </w:rPr>
        <w:t>l/Fatura, ou circunstância que impeça a liquidação da despesa, o pagamento ficará sobrestado até que a Contratada providencie as medidas saneadoras. Nesta hipótese, o prazo para pagamento iniciar-se-á após a comprovação da regularização da situação, não ac</w:t>
      </w:r>
      <w:r>
        <w:rPr>
          <w:rFonts w:ascii="Arial" w:eastAsia="Arial" w:hAnsi="Arial" w:cs="Arial"/>
          <w:sz w:val="20"/>
        </w:rPr>
        <w:t xml:space="preserve">arretando qualquer ônus para a Contratante; </w:t>
      </w:r>
    </w:p>
    <w:p w:rsidR="006C145C" w:rsidRDefault="00C62E5A">
      <w:pPr>
        <w:spacing w:after="129" w:line="270" w:lineRule="auto"/>
        <w:ind w:left="508" w:right="54" w:hanging="511"/>
        <w:jc w:val="both"/>
      </w:pPr>
      <w:r>
        <w:rPr>
          <w:rFonts w:ascii="Arial" w:eastAsia="Arial" w:hAnsi="Arial" w:cs="Arial"/>
          <w:sz w:val="20"/>
        </w:rPr>
        <w:t>18.6 Nos termos do item 1, do Anexo VIII-A da Instrução Normativa SEGES/MP nº 05, de 2017, será efetuada a retenção ou glosa no pagamento, proporcional à irregularidade verificada, sem prejuízo das sanções cabív</w:t>
      </w:r>
      <w:r>
        <w:rPr>
          <w:rFonts w:ascii="Arial" w:eastAsia="Arial" w:hAnsi="Arial" w:cs="Arial"/>
          <w:sz w:val="20"/>
        </w:rPr>
        <w:t xml:space="preserve">eis, caso se constate que a Contratada: </w:t>
      </w:r>
    </w:p>
    <w:p w:rsidR="006C145C" w:rsidRDefault="00C62E5A">
      <w:pPr>
        <w:spacing w:after="129" w:line="270" w:lineRule="auto"/>
        <w:ind w:left="812" w:right="54" w:hanging="8"/>
        <w:jc w:val="both"/>
      </w:pPr>
      <w:r>
        <w:rPr>
          <w:rFonts w:ascii="Arial" w:eastAsia="Arial" w:hAnsi="Arial" w:cs="Arial"/>
          <w:sz w:val="20"/>
        </w:rPr>
        <w:t xml:space="preserve">18.6.1 não produziu os resultados acordados; </w:t>
      </w:r>
    </w:p>
    <w:p w:rsidR="006C145C" w:rsidRDefault="00C62E5A">
      <w:pPr>
        <w:spacing w:after="129" w:line="270" w:lineRule="auto"/>
        <w:ind w:left="1524" w:right="54" w:hanging="720"/>
        <w:jc w:val="both"/>
      </w:pPr>
      <w:r>
        <w:rPr>
          <w:rFonts w:ascii="Arial" w:eastAsia="Arial" w:hAnsi="Arial" w:cs="Arial"/>
          <w:sz w:val="20"/>
        </w:rPr>
        <w:t xml:space="preserve">18.6.2 deixou de executar as atividades contratadas, ou não as executou com a qualidade mínima exigida; </w:t>
      </w:r>
    </w:p>
    <w:p w:rsidR="006C145C" w:rsidRDefault="00C62E5A">
      <w:pPr>
        <w:spacing w:after="152" w:line="270" w:lineRule="auto"/>
        <w:ind w:left="1524" w:right="54" w:hanging="720"/>
        <w:jc w:val="both"/>
      </w:pPr>
      <w:r>
        <w:rPr>
          <w:rFonts w:ascii="Arial" w:eastAsia="Arial" w:hAnsi="Arial" w:cs="Arial"/>
          <w:sz w:val="20"/>
        </w:rPr>
        <w:t xml:space="preserve">18.6.3 </w:t>
      </w:r>
      <w:r>
        <w:rPr>
          <w:rFonts w:ascii="Arial" w:eastAsia="Arial" w:hAnsi="Arial" w:cs="Arial"/>
          <w:sz w:val="20"/>
        </w:rPr>
        <w:t xml:space="preserve">deixou de utilizar os materiais e recursos humanos exigidos para a execução do serviço, ou utilizou-os com qualidade ou quantidade inferior à demandada.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5" w:line="249" w:lineRule="auto"/>
        <w:ind w:left="94" w:right="57" w:hanging="10"/>
        <w:jc w:val="both"/>
      </w:pPr>
      <w:r>
        <w:rPr>
          <w:rFonts w:ascii="Arial" w:eastAsia="Arial" w:hAnsi="Arial" w:cs="Arial"/>
          <w:b/>
          <w:i/>
          <w:sz w:val="20"/>
        </w:rPr>
        <w:t>Nota Explicativa</w:t>
      </w:r>
      <w:r>
        <w:rPr>
          <w:rFonts w:ascii="Arial" w:eastAsia="Arial" w:hAnsi="Arial" w:cs="Arial"/>
          <w:i/>
          <w:sz w:val="20"/>
        </w:rPr>
        <w:t xml:space="preserve">: Para que seja possível efetuar a glosa, é necessário definir, objetivamente, no IMR </w:t>
      </w:r>
      <w:r>
        <w:rPr>
          <w:rFonts w:ascii="Arial" w:eastAsia="Arial" w:hAnsi="Arial" w:cs="Arial"/>
          <w:i/>
          <w:sz w:val="20"/>
        </w:rPr>
        <w:t xml:space="preserve">ou instrumento equivalente, quais os parâmetros para mensuração do percentual do pagamento devido em razão dos níveis esperados de qualidade da prestação do serviço. </w:t>
      </w:r>
    </w:p>
    <w:p w:rsidR="006C145C" w:rsidRDefault="00C62E5A">
      <w:pPr>
        <w:spacing w:after="129" w:line="270" w:lineRule="auto"/>
        <w:ind w:left="508" w:right="54" w:hanging="511"/>
        <w:jc w:val="both"/>
      </w:pPr>
      <w:r>
        <w:rPr>
          <w:rFonts w:ascii="Arial" w:eastAsia="Arial" w:hAnsi="Arial" w:cs="Arial"/>
          <w:sz w:val="20"/>
        </w:rPr>
        <w:lastRenderedPageBreak/>
        <w:t>18.7 Será considerada data do pagamento o dia em que constar como emitida a ordem bancári</w:t>
      </w:r>
      <w:r>
        <w:rPr>
          <w:rFonts w:ascii="Arial" w:eastAsia="Arial" w:hAnsi="Arial" w:cs="Arial"/>
          <w:sz w:val="20"/>
        </w:rPr>
        <w:t xml:space="preserve">a para pagamento. </w:t>
      </w:r>
    </w:p>
    <w:p w:rsidR="006C145C" w:rsidRDefault="00C62E5A">
      <w:pPr>
        <w:spacing w:after="6" w:line="270" w:lineRule="auto"/>
        <w:ind w:left="509" w:right="54" w:hanging="512"/>
        <w:jc w:val="both"/>
      </w:pPr>
      <w:r>
        <w:rPr>
          <w:rFonts w:ascii="Arial" w:eastAsia="Arial" w:hAnsi="Arial" w:cs="Arial"/>
          <w:sz w:val="20"/>
        </w:rPr>
        <w:t xml:space="preserve">18.8 Antes de cada pagamento à contratada, será realizada consulta ao SICAF para verificar a manutenção das condições de habilitação exigidas no edital.  </w:t>
      </w:r>
    </w:p>
    <w:p w:rsidR="006C145C" w:rsidRDefault="00C62E5A">
      <w:pPr>
        <w:spacing w:after="6" w:line="270" w:lineRule="auto"/>
        <w:ind w:left="509" w:right="54" w:hanging="512"/>
        <w:jc w:val="both"/>
      </w:pPr>
      <w:r>
        <w:rPr>
          <w:rFonts w:ascii="Arial" w:eastAsia="Arial" w:hAnsi="Arial" w:cs="Arial"/>
          <w:sz w:val="20"/>
        </w:rPr>
        <w:t>18.9 Constatando-se, junto ao SICAF, a situação de irregularidade da contratada, s</w:t>
      </w:r>
      <w:r>
        <w:rPr>
          <w:rFonts w:ascii="Arial" w:eastAsia="Arial" w:hAnsi="Arial" w:cs="Arial"/>
          <w:sz w:val="20"/>
        </w:rPr>
        <w:t xml:space="preserve">erá providenciada sua notificação, por escrito, para que, no prazo de 5 (cinco) dias úteis, regularize sua situação ou, no mesmo prazo, apresente sua defesa. O prazo poderá ser prorrogado uma vez, por igual período, a critério da contratante. </w:t>
      </w:r>
    </w:p>
    <w:p w:rsidR="006C145C" w:rsidRDefault="00C62E5A">
      <w:pPr>
        <w:spacing w:after="6" w:line="270" w:lineRule="auto"/>
        <w:ind w:left="509" w:right="54" w:hanging="512"/>
        <w:jc w:val="both"/>
      </w:pPr>
      <w:r>
        <w:rPr>
          <w:rFonts w:ascii="Arial" w:eastAsia="Arial" w:hAnsi="Arial" w:cs="Arial"/>
          <w:sz w:val="20"/>
        </w:rPr>
        <w:t>18.10 Previa</w:t>
      </w:r>
      <w:r>
        <w:rPr>
          <w:rFonts w:ascii="Arial" w:eastAsia="Arial" w:hAnsi="Arial" w:cs="Arial"/>
          <w:sz w:val="20"/>
        </w:rPr>
        <w:t>mente à emissão de nota de empenho e a cada pagamento, a Administração deverá realizar consulta ao SICAF para identificar possível suspensão temporária de participação em licitação, no âmbito do órgão ou entidade, proibição de contratar com o Poder Público</w:t>
      </w:r>
      <w:r>
        <w:rPr>
          <w:rFonts w:ascii="Arial" w:eastAsia="Arial" w:hAnsi="Arial" w:cs="Arial"/>
          <w:sz w:val="20"/>
        </w:rPr>
        <w:t xml:space="preserve">, bem como ocorrências impeditivas indiretas, observado o disposto no art. 29, da Instrução Normativa nº 3, de 26 de abril de 2018. </w:t>
      </w:r>
    </w:p>
    <w:p w:rsidR="006C145C" w:rsidRDefault="00C62E5A">
      <w:pPr>
        <w:spacing w:after="6" w:line="270" w:lineRule="auto"/>
        <w:ind w:left="509" w:right="54" w:hanging="512"/>
        <w:jc w:val="both"/>
      </w:pPr>
      <w:r>
        <w:rPr>
          <w:rFonts w:ascii="Arial" w:eastAsia="Arial" w:hAnsi="Arial" w:cs="Arial"/>
          <w:sz w:val="20"/>
        </w:rPr>
        <w:t>18.11 Não havendo regularização ou sendo a defesa considerada improcedente, a contratante deverá comunicar aos órgãos respo</w:t>
      </w:r>
      <w:r>
        <w:rPr>
          <w:rFonts w:ascii="Arial" w:eastAsia="Arial" w:hAnsi="Arial" w:cs="Arial"/>
          <w:sz w:val="20"/>
        </w:rPr>
        <w:t xml:space="preserve">nsáveis pela fiscalização da regularidade fiscal quanto à inadimplência da contratada, bem como quanto à existência de pagamento a ser efetuado, para que sejam acionados os meios pertinentes e necessários para garantir o recebimento de seus créditos.   </w:t>
      </w:r>
    </w:p>
    <w:p w:rsidR="006C145C" w:rsidRDefault="00C62E5A">
      <w:pPr>
        <w:spacing w:after="5" w:line="270" w:lineRule="auto"/>
        <w:ind w:left="509" w:right="54" w:hanging="512"/>
        <w:jc w:val="both"/>
      </w:pPr>
      <w:r>
        <w:rPr>
          <w:rFonts w:ascii="Arial" w:eastAsia="Arial" w:hAnsi="Arial" w:cs="Arial"/>
          <w:sz w:val="20"/>
        </w:rPr>
        <w:t>18</w:t>
      </w:r>
      <w:r>
        <w:rPr>
          <w:rFonts w:ascii="Arial" w:eastAsia="Arial" w:hAnsi="Arial" w:cs="Arial"/>
          <w:sz w:val="20"/>
        </w:rPr>
        <w:t xml:space="preserve">.12 Persistindo a irregularidade, a contratante deverá adotar as medidas necessárias à rescisão contratual nos autos do processo administrativo correspondente, assegurada à contratada a ampla defesa.  </w:t>
      </w:r>
    </w:p>
    <w:p w:rsidR="006C145C" w:rsidRDefault="00C62E5A">
      <w:pPr>
        <w:spacing w:after="129" w:line="270" w:lineRule="auto"/>
        <w:ind w:left="509" w:right="54" w:hanging="512"/>
        <w:jc w:val="both"/>
      </w:pPr>
      <w:r>
        <w:rPr>
          <w:rFonts w:ascii="Arial" w:eastAsia="Arial" w:hAnsi="Arial" w:cs="Arial"/>
          <w:sz w:val="20"/>
        </w:rPr>
        <w:t>18.13 Havendo a efetiva execução do objeto, os pagamen</w:t>
      </w:r>
      <w:r>
        <w:rPr>
          <w:rFonts w:ascii="Arial" w:eastAsia="Arial" w:hAnsi="Arial" w:cs="Arial"/>
          <w:sz w:val="20"/>
        </w:rPr>
        <w:t xml:space="preserve">tos serão realizados normalmente, até que se decida pela rescisão do contrato, caso a contratada não regularize sua situação junto ao SICAF.   </w:t>
      </w:r>
    </w:p>
    <w:p w:rsidR="006C145C" w:rsidRDefault="00C62E5A">
      <w:pPr>
        <w:spacing w:after="129" w:line="270" w:lineRule="auto"/>
        <w:ind w:left="1524" w:right="54" w:hanging="720"/>
        <w:jc w:val="both"/>
      </w:pPr>
      <w:r>
        <w:rPr>
          <w:rFonts w:ascii="Arial" w:eastAsia="Arial" w:hAnsi="Arial" w:cs="Arial"/>
          <w:sz w:val="20"/>
        </w:rPr>
        <w:t xml:space="preserve">18.13.1 </w:t>
      </w:r>
      <w:r>
        <w:rPr>
          <w:rFonts w:ascii="Arial" w:eastAsia="Arial" w:hAnsi="Arial" w:cs="Arial"/>
          <w:sz w:val="20"/>
        </w:rPr>
        <w:t>Será rescindido o contrato em execução com a contratada inadimplente no SICAF, salvo por motivo de economicidade, segurança nacional ou outro de interesse público de alta relevância, devidamente justificado, em qualquer caso, pela máxima autoridade da cont</w:t>
      </w:r>
      <w:r>
        <w:rPr>
          <w:rFonts w:ascii="Arial" w:eastAsia="Arial" w:hAnsi="Arial" w:cs="Arial"/>
          <w:sz w:val="20"/>
        </w:rPr>
        <w:t xml:space="preserve">ratante.  </w:t>
      </w:r>
    </w:p>
    <w:p w:rsidR="006C145C" w:rsidRDefault="00C62E5A">
      <w:pPr>
        <w:spacing w:after="152" w:line="270" w:lineRule="auto"/>
        <w:ind w:left="509" w:right="54" w:hanging="512"/>
        <w:jc w:val="both"/>
      </w:pPr>
      <w:r>
        <w:rPr>
          <w:rFonts w:ascii="Arial" w:eastAsia="Arial" w:hAnsi="Arial" w:cs="Arial"/>
          <w:sz w:val="20"/>
        </w:rPr>
        <w:t xml:space="preserve">18.14 Quando do pagamento, será efetuada a retenção tributária prevista na legislação aplicável, em especial a prevista no artigo 31 da Lei 8.212, de 1993, nos termos do item 6 do Anexo XI da IN SEGES/MP n. 5/2017, quando couber.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7" w:line="249" w:lineRule="auto"/>
        <w:ind w:left="94" w:right="57" w:hanging="10"/>
        <w:jc w:val="both"/>
      </w:pPr>
      <w:r>
        <w:rPr>
          <w:rFonts w:ascii="Arial" w:eastAsia="Arial" w:hAnsi="Arial" w:cs="Arial"/>
          <w:b/>
          <w:i/>
          <w:sz w:val="20"/>
        </w:rPr>
        <w:t>Nota Explicati</w:t>
      </w:r>
      <w:r>
        <w:rPr>
          <w:rFonts w:ascii="Arial" w:eastAsia="Arial" w:hAnsi="Arial" w:cs="Arial"/>
          <w:b/>
          <w:i/>
          <w:sz w:val="20"/>
        </w:rPr>
        <w:t xml:space="preserve">va: </w:t>
      </w:r>
      <w:r>
        <w:rPr>
          <w:rFonts w:ascii="Arial" w:eastAsia="Arial" w:hAnsi="Arial" w:cs="Arial"/>
          <w:i/>
          <w:sz w:val="20"/>
        </w:rPr>
        <w:t>Atentar que a natureza do contrato e o objeto da contratação que irão determinar a retenção tributária eventualmente cabível, bem como a possibilidade de a empresa se beneficiar da condição de optante do Simples Nacional, dentre outras questões de cará</w:t>
      </w:r>
      <w:r>
        <w:rPr>
          <w:rFonts w:ascii="Arial" w:eastAsia="Arial" w:hAnsi="Arial" w:cs="Arial"/>
          <w:i/>
          <w:sz w:val="20"/>
        </w:rPr>
        <w:t xml:space="preserve">ter tributário. </w:t>
      </w:r>
    </w:p>
    <w:p w:rsidR="006C145C" w:rsidRDefault="00C62E5A">
      <w:pPr>
        <w:spacing w:after="152" w:line="270" w:lineRule="auto"/>
        <w:ind w:left="509" w:right="54" w:hanging="512"/>
        <w:jc w:val="both"/>
      </w:pPr>
      <w:r>
        <w:rPr>
          <w:rFonts w:ascii="Arial" w:eastAsia="Arial" w:hAnsi="Arial" w:cs="Arial"/>
          <w:sz w:val="20"/>
        </w:rPr>
        <w:t xml:space="preserve">18.15 É vedado o pagamento, a qualquer título, por serviços prestados, à empresa privada que tenha em seu quadro societário servidor público da ativa do órgão contratante, com fundamento na Lei de Diretrizes Orçamentárias vigente.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4" w:line="249" w:lineRule="auto"/>
        <w:ind w:left="94" w:right="57" w:hanging="10"/>
        <w:jc w:val="both"/>
      </w:pPr>
      <w:r>
        <w:rPr>
          <w:rFonts w:ascii="Arial" w:eastAsia="Arial" w:hAnsi="Arial" w:cs="Arial"/>
          <w:b/>
          <w:i/>
          <w:sz w:val="20"/>
        </w:rPr>
        <w:t>Nota Ex</w:t>
      </w:r>
      <w:r>
        <w:rPr>
          <w:rFonts w:ascii="Arial" w:eastAsia="Arial" w:hAnsi="Arial" w:cs="Arial"/>
          <w:b/>
          <w:i/>
          <w:sz w:val="20"/>
        </w:rPr>
        <w:t>plicativa:</w:t>
      </w:r>
      <w:r>
        <w:rPr>
          <w:rFonts w:ascii="Arial" w:eastAsia="Arial" w:hAnsi="Arial" w:cs="Arial"/>
          <w:i/>
          <w:sz w:val="20"/>
        </w:rPr>
        <w:t xml:space="preserve"> Verificar se a LDO vigente mantém essa previsão. Além disso, a Administração deve verificar no SICAF, ou por outros meios, a eventual existência de vínculos dessa natureza. </w:t>
      </w:r>
    </w:p>
    <w:p w:rsidR="006C145C" w:rsidRDefault="00C62E5A">
      <w:pPr>
        <w:spacing w:after="5" w:line="270" w:lineRule="auto"/>
        <w:ind w:left="509" w:right="54" w:hanging="512"/>
        <w:jc w:val="both"/>
      </w:pPr>
      <w:r>
        <w:rPr>
          <w:rFonts w:ascii="Arial" w:eastAsia="Arial" w:hAnsi="Arial" w:cs="Arial"/>
          <w:sz w:val="20"/>
        </w:rPr>
        <w:t>18.16 A parcela mensal a ser paga a título de aviso prévio trabalhado e</w:t>
      </w:r>
      <w:r>
        <w:rPr>
          <w:rFonts w:ascii="Arial" w:eastAsia="Arial" w:hAnsi="Arial" w:cs="Arial"/>
          <w:sz w:val="20"/>
        </w:rPr>
        <w:t xml:space="preserve"> indenizado corresponderá, no primeiro ano de contratação, ao percentual originalmente fixado na planilha de preços. </w:t>
      </w:r>
    </w:p>
    <w:p w:rsidR="006C145C" w:rsidRDefault="00C62E5A">
      <w:pPr>
        <w:spacing w:after="129" w:line="270" w:lineRule="auto"/>
        <w:ind w:left="1524" w:right="54" w:hanging="720"/>
        <w:jc w:val="both"/>
      </w:pPr>
      <w:r>
        <w:rPr>
          <w:rFonts w:ascii="Arial" w:eastAsia="Arial" w:hAnsi="Arial" w:cs="Arial"/>
          <w:sz w:val="20"/>
        </w:rPr>
        <w:t xml:space="preserve">18.16.1 </w:t>
      </w:r>
      <w:r>
        <w:rPr>
          <w:rFonts w:ascii="Arial" w:eastAsia="Arial" w:hAnsi="Arial" w:cs="Arial"/>
          <w:sz w:val="20"/>
        </w:rPr>
        <w:t>Não tendo havido a incidência de custos com aviso prévio trabalhado e indenizado, a prorrogação contratual seguinte deverá prever o pagamento do percentual máximo equivalente a 03 (três) dias a mais por ano de serviço, até o limite compatível com o prazo t</w:t>
      </w:r>
      <w:r>
        <w:rPr>
          <w:rFonts w:ascii="Arial" w:eastAsia="Arial" w:hAnsi="Arial" w:cs="Arial"/>
          <w:sz w:val="20"/>
        </w:rPr>
        <w:t xml:space="preserve">otal de vigência contratual. </w:t>
      </w:r>
    </w:p>
    <w:p w:rsidR="006C145C" w:rsidRDefault="00C62E5A">
      <w:pPr>
        <w:spacing w:after="129" w:line="270" w:lineRule="auto"/>
        <w:ind w:left="1524" w:right="54" w:hanging="720"/>
        <w:jc w:val="both"/>
      </w:pPr>
      <w:r>
        <w:rPr>
          <w:rFonts w:ascii="Arial" w:eastAsia="Arial" w:hAnsi="Arial" w:cs="Arial"/>
          <w:sz w:val="20"/>
        </w:rPr>
        <w:t xml:space="preserve">18.16.2 A adequação de pagamento de que trata o subitem anterior deverá ser prevista em termo aditivo. </w:t>
      </w:r>
    </w:p>
    <w:p w:rsidR="006C145C" w:rsidRDefault="00C62E5A">
      <w:pPr>
        <w:spacing w:after="129" w:line="270" w:lineRule="auto"/>
        <w:ind w:left="1524" w:right="54" w:hanging="720"/>
        <w:jc w:val="both"/>
      </w:pPr>
      <w:r>
        <w:rPr>
          <w:rFonts w:ascii="Arial" w:eastAsia="Arial" w:hAnsi="Arial" w:cs="Arial"/>
          <w:sz w:val="20"/>
        </w:rPr>
        <w:t>18.16.3 Caso tenha ocorrido a incidência parcial ou total dos custos com aviso prévio trabalhado e/ou indenizado no primei</w:t>
      </w:r>
      <w:r>
        <w:rPr>
          <w:rFonts w:ascii="Arial" w:eastAsia="Arial" w:hAnsi="Arial" w:cs="Arial"/>
          <w:sz w:val="20"/>
        </w:rPr>
        <w:t xml:space="preserve">ro ano de contratação, tais rubricas deverão ser mantidas na planilha de forma complementar/proporcional, devendo o órgão contratante esclarecer a metodologia de cálculo adotada.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0" w:line="249" w:lineRule="auto"/>
        <w:ind w:left="94" w:right="57" w:hanging="10"/>
        <w:jc w:val="both"/>
      </w:pPr>
      <w:r>
        <w:rPr>
          <w:rFonts w:ascii="Arial" w:eastAsia="Arial" w:hAnsi="Arial" w:cs="Arial"/>
          <w:b/>
          <w:i/>
          <w:sz w:val="20"/>
        </w:rPr>
        <w:lastRenderedPageBreak/>
        <w:t>Nota explicativa</w:t>
      </w:r>
      <w:r>
        <w:rPr>
          <w:rFonts w:ascii="Arial" w:eastAsia="Arial" w:hAnsi="Arial" w:cs="Arial"/>
          <w:i/>
          <w:sz w:val="20"/>
        </w:rPr>
        <w:t>: Os itens acima foram acrescentados em virtude do Acórdão n</w:t>
      </w:r>
      <w:r>
        <w:rPr>
          <w:rFonts w:ascii="Arial" w:eastAsia="Arial" w:hAnsi="Arial" w:cs="Arial"/>
          <w:i/>
          <w:sz w:val="20"/>
        </w:rPr>
        <w:t xml:space="preserve">. 1186/2017- TCUPlenário e das orientações expedidas pela Secretaria de Gestão do Ministério do Planejamento,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0" w:line="249" w:lineRule="auto"/>
        <w:ind w:left="94" w:right="57" w:hanging="10"/>
        <w:jc w:val="both"/>
      </w:pPr>
      <w:r>
        <w:rPr>
          <w:rFonts w:ascii="Arial" w:eastAsia="Arial" w:hAnsi="Arial" w:cs="Arial"/>
          <w:i/>
          <w:sz w:val="20"/>
        </w:rPr>
        <w:t>Desenvolvimento e Gestão em relação aos impactos da reforma trabalhista nos contratos da Administração, com base na Nota Técnica nº 652/2017-MP (</w:t>
      </w:r>
      <w:r>
        <w:rPr>
          <w:rFonts w:ascii="Arial" w:eastAsia="Arial" w:hAnsi="Arial" w:cs="Arial"/>
          <w:i/>
          <w:sz w:val="20"/>
        </w:rPr>
        <w:t xml:space="preserve">Disponível em: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20" w:line="241" w:lineRule="auto"/>
        <w:ind w:left="84" w:right="57"/>
      </w:pPr>
      <w:hyperlink r:id="rId37" w:anchor="P6">
        <w:r>
          <w:rPr>
            <w:rFonts w:ascii="Arial" w:eastAsia="Arial" w:hAnsi="Arial" w:cs="Arial"/>
            <w:i/>
            <w:color w:val="000080"/>
            <w:sz w:val="20"/>
            <w:u w:val="single" w:color="000080"/>
          </w:rPr>
          <w:t>https://www.comprasgovernamentais.gov.br/index.php/orientacoes</w:t>
        </w:r>
      </w:hyperlink>
      <w:hyperlink r:id="rId38" w:anchor="P6">
        <w:r>
          <w:rPr>
            <w:rFonts w:ascii="Arial" w:eastAsia="Arial" w:hAnsi="Arial" w:cs="Arial"/>
            <w:i/>
            <w:color w:val="000080"/>
            <w:sz w:val="20"/>
            <w:u w:val="single" w:color="000080"/>
          </w:rPr>
          <w:t>-</w:t>
        </w:r>
      </w:hyperlink>
      <w:hyperlink r:id="rId39" w:anchor="P6">
        <w:r>
          <w:rPr>
            <w:rFonts w:ascii="Arial" w:eastAsia="Arial" w:hAnsi="Arial" w:cs="Arial"/>
            <w:i/>
            <w:color w:val="000080"/>
            <w:sz w:val="20"/>
            <w:u w:val="single" w:color="000080"/>
          </w:rPr>
          <w:t>e</w:t>
        </w:r>
      </w:hyperlink>
      <w:hyperlink r:id="rId40" w:anchor="P6">
        <w:r>
          <w:rPr>
            <w:rFonts w:ascii="Arial" w:eastAsia="Arial" w:hAnsi="Arial" w:cs="Arial"/>
            <w:i/>
            <w:color w:val="000080"/>
            <w:sz w:val="20"/>
            <w:u w:val="single" w:color="000080"/>
          </w:rPr>
          <w:t>-</w:t>
        </w:r>
      </w:hyperlink>
      <w:hyperlink r:id="rId41" w:anchor="P6">
        <w:r>
          <w:rPr>
            <w:rFonts w:ascii="Arial" w:eastAsia="Arial" w:hAnsi="Arial" w:cs="Arial"/>
            <w:i/>
            <w:color w:val="000080"/>
            <w:sz w:val="20"/>
            <w:u w:val="single" w:color="000080"/>
          </w:rPr>
          <w:t>procedimentos/orientacoes</w:t>
        </w:r>
      </w:hyperlink>
      <w:hyperlink r:id="rId42" w:anchor="P6"/>
      <w:hyperlink r:id="rId43" w:anchor="P6">
        <w:r>
          <w:rPr>
            <w:rFonts w:ascii="Arial" w:eastAsia="Arial" w:hAnsi="Arial" w:cs="Arial"/>
            <w:i/>
            <w:color w:val="000080"/>
            <w:sz w:val="20"/>
            <w:u w:val="single" w:color="000080"/>
          </w:rPr>
          <w:t>reformatrabalhista#P6</w:t>
        </w:r>
      </w:hyperlink>
      <w:hyperlink r:id="rId44" w:anchor="P6">
        <w:r>
          <w:rPr>
            <w:rFonts w:ascii="Arial" w:eastAsia="Arial" w:hAnsi="Arial" w:cs="Arial"/>
            <w:i/>
            <w:sz w:val="20"/>
          </w:rPr>
          <w:t>)</w:t>
        </w:r>
      </w:hyperlink>
      <w:r>
        <w:rPr>
          <w:rFonts w:ascii="Arial" w:eastAsia="Arial" w:hAnsi="Arial" w:cs="Arial"/>
          <w:i/>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5" w:line="249" w:lineRule="auto"/>
        <w:ind w:left="94" w:right="57" w:hanging="10"/>
        <w:jc w:val="both"/>
      </w:pPr>
      <w:r>
        <w:rPr>
          <w:rFonts w:ascii="Arial" w:eastAsia="Arial" w:hAnsi="Arial" w:cs="Arial"/>
          <w:i/>
          <w:sz w:val="20"/>
        </w:rPr>
        <w:t>O TCU considera que os percentuais de aviso prévio trabalhado e indenizado da planilha de composição de preços da Administração são de 1,94% e 0,46% respectivamente (Acórdãos n. 1904/2007 -Plenário, n. 3006/2010-Plenário e n. 11186/2017-Plenário). Recomend</w:t>
      </w:r>
      <w:r>
        <w:rPr>
          <w:rFonts w:ascii="Arial" w:eastAsia="Arial" w:hAnsi="Arial" w:cs="Arial"/>
          <w:i/>
          <w:sz w:val="20"/>
        </w:rPr>
        <w:t xml:space="preserve">a-se que a adoção de metodologia de cálculo diversa seja devidamente demonstrada no processo em memória de cálculo com esclarecimentos. </w:t>
      </w:r>
    </w:p>
    <w:p w:rsidR="006C145C" w:rsidRDefault="00C62E5A">
      <w:pPr>
        <w:spacing w:after="155" w:line="270" w:lineRule="auto"/>
        <w:ind w:left="92" w:right="54" w:hanging="8"/>
        <w:jc w:val="both"/>
      </w:pPr>
      <w:r>
        <w:rPr>
          <w:rFonts w:ascii="Arial" w:eastAsia="Arial" w:hAnsi="Arial" w:cs="Arial"/>
          <w:sz w:val="20"/>
        </w:rPr>
        <w:t>18.17 A Contratante providenciará o desconto na fatura a ser paga do valor global pago a título de vale-transporte em r</w:t>
      </w:r>
      <w:r>
        <w:rPr>
          <w:rFonts w:ascii="Arial" w:eastAsia="Arial" w:hAnsi="Arial" w:cs="Arial"/>
          <w:sz w:val="20"/>
        </w:rPr>
        <w:t xml:space="preserve">elação aos empregados da Contratada que expressamente optaram por não receber o benefício previsto na Lei nº 7.418, de 16 de dezembro de 1985, regulamentado pelo Decreto nº 95.247, de 17 de novembro de 1987.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174" w:line="250" w:lineRule="auto"/>
        <w:ind w:left="94" w:right="56" w:hanging="10"/>
        <w:jc w:val="both"/>
      </w:pPr>
      <w:r>
        <w:rPr>
          <w:rFonts w:ascii="Arial" w:eastAsia="Arial" w:hAnsi="Arial" w:cs="Arial"/>
          <w:b/>
          <w:sz w:val="20"/>
        </w:rPr>
        <w:t>Nota Explicativa:</w:t>
      </w:r>
      <w:r>
        <w:rPr>
          <w:rFonts w:ascii="Arial" w:eastAsia="Arial" w:hAnsi="Arial" w:cs="Arial"/>
          <w:sz w:val="20"/>
        </w:rPr>
        <w:t xml:space="preserve"> </w:t>
      </w:r>
      <w:r>
        <w:rPr>
          <w:rFonts w:ascii="Arial" w:eastAsia="Arial" w:hAnsi="Arial" w:cs="Arial"/>
          <w:i/>
          <w:sz w:val="20"/>
        </w:rPr>
        <w:t>O item acima</w:t>
      </w:r>
      <w:r>
        <w:rPr>
          <w:rFonts w:ascii="Arial" w:eastAsia="Arial" w:hAnsi="Arial" w:cs="Arial"/>
          <w:sz w:val="20"/>
        </w:rPr>
        <w:t xml:space="preserve"> </w:t>
      </w:r>
      <w:r>
        <w:rPr>
          <w:rFonts w:ascii="Arial" w:eastAsia="Arial" w:hAnsi="Arial" w:cs="Arial"/>
          <w:i/>
          <w:sz w:val="20"/>
        </w:rPr>
        <w:t>foi acrescentad</w:t>
      </w:r>
      <w:r>
        <w:rPr>
          <w:rFonts w:ascii="Arial" w:eastAsia="Arial" w:hAnsi="Arial" w:cs="Arial"/>
          <w:i/>
          <w:sz w:val="20"/>
        </w:rPr>
        <w:t>o em decorrência do disposto na Orientação Normativa SLTI/MP n.º 3, de 10 de setembro de 2014.</w:t>
      </w:r>
      <w:r>
        <w:rPr>
          <w:rFonts w:ascii="Arial" w:eastAsia="Arial" w:hAnsi="Arial" w:cs="Arial"/>
          <w:sz w:val="20"/>
        </w:rPr>
        <w:t xml:space="preserve">  </w:t>
      </w:r>
    </w:p>
    <w:p w:rsidR="006C145C" w:rsidRDefault="00C62E5A">
      <w:pPr>
        <w:spacing w:after="129" w:line="270" w:lineRule="auto"/>
        <w:ind w:left="508" w:right="54" w:hanging="511"/>
        <w:jc w:val="both"/>
      </w:pPr>
      <w:r>
        <w:rPr>
          <w:rFonts w:ascii="Arial" w:eastAsia="Arial" w:hAnsi="Arial" w:cs="Arial"/>
          <w:sz w:val="20"/>
        </w:rPr>
        <w:t>18.18 Nos casos de eventuais atrasos de pagamento, desde que a Contratada não tenha concorrido, de alguma forma, para tanto, fica convencionado que a taxa de c</w:t>
      </w:r>
      <w:r>
        <w:rPr>
          <w:rFonts w:ascii="Arial" w:eastAsia="Arial" w:hAnsi="Arial" w:cs="Arial"/>
          <w:sz w:val="20"/>
        </w:rPr>
        <w:t xml:space="preserve">ompensação financeira devida pela Contratante, entre a data do vencimento e o efetivo adimplemento da parcela é calculada mediante a aplicação da seguinte fórmula: </w:t>
      </w:r>
    </w:p>
    <w:p w:rsidR="006C145C" w:rsidRDefault="00C62E5A">
      <w:pPr>
        <w:spacing w:after="7" w:line="270" w:lineRule="auto"/>
        <w:ind w:left="1225" w:right="54" w:hanging="8"/>
        <w:jc w:val="both"/>
      </w:pPr>
      <w:r>
        <w:rPr>
          <w:rFonts w:ascii="Arial" w:eastAsia="Arial" w:hAnsi="Arial" w:cs="Arial"/>
          <w:sz w:val="20"/>
        </w:rPr>
        <w:t xml:space="preserve">EM = I x N x VP, sendo: </w:t>
      </w:r>
    </w:p>
    <w:p w:rsidR="006C145C" w:rsidRDefault="00C62E5A">
      <w:pPr>
        <w:spacing w:after="7" w:line="270" w:lineRule="auto"/>
        <w:ind w:left="1225" w:right="54" w:hanging="8"/>
        <w:jc w:val="both"/>
      </w:pPr>
      <w:r>
        <w:rPr>
          <w:rFonts w:ascii="Arial" w:eastAsia="Arial" w:hAnsi="Arial" w:cs="Arial"/>
          <w:sz w:val="20"/>
        </w:rPr>
        <w:t xml:space="preserve">EM = Encargos moratórios; </w:t>
      </w:r>
    </w:p>
    <w:p w:rsidR="006C145C" w:rsidRDefault="00C62E5A">
      <w:pPr>
        <w:spacing w:after="8" w:line="270" w:lineRule="auto"/>
        <w:ind w:left="1225" w:right="54" w:hanging="8"/>
        <w:jc w:val="both"/>
      </w:pPr>
      <w:r>
        <w:rPr>
          <w:rFonts w:ascii="Arial" w:eastAsia="Arial" w:hAnsi="Arial" w:cs="Arial"/>
          <w:sz w:val="20"/>
        </w:rPr>
        <w:t xml:space="preserve">N = Número de dias entre a data prevista para o pagamento e a do efetivo pagamento; VP = Valor da parcela a ser paga. </w:t>
      </w:r>
    </w:p>
    <w:p w:rsidR="006C145C" w:rsidRDefault="00C62E5A">
      <w:pPr>
        <w:spacing w:after="8" w:line="270" w:lineRule="auto"/>
        <w:ind w:left="1225" w:right="54" w:hanging="8"/>
        <w:jc w:val="both"/>
      </w:pPr>
      <w:r>
        <w:rPr>
          <w:rFonts w:ascii="Arial" w:eastAsia="Arial" w:hAnsi="Arial" w:cs="Arial"/>
          <w:sz w:val="20"/>
        </w:rPr>
        <w:t xml:space="preserve">I = Índice de compensação financeira = 0,00016438, assim apurado: </w:t>
      </w:r>
    </w:p>
    <w:p w:rsidR="006C145C" w:rsidRDefault="00C62E5A">
      <w:pPr>
        <w:tabs>
          <w:tab w:val="center" w:pos="3665"/>
          <w:tab w:val="center" w:pos="5896"/>
        </w:tabs>
        <w:spacing w:after="2" w:line="254" w:lineRule="auto"/>
      </w:pPr>
      <w:r>
        <w:tab/>
      </w:r>
      <w:r>
        <w:rPr>
          <w:rFonts w:ascii="Arial" w:eastAsia="Arial" w:hAnsi="Arial" w:cs="Arial"/>
          <w:sz w:val="20"/>
        </w:rPr>
        <w:t xml:space="preserve">( 6 / 100 ) </w:t>
      </w:r>
      <w:r>
        <w:rPr>
          <w:rFonts w:ascii="Arial" w:eastAsia="Arial" w:hAnsi="Arial" w:cs="Arial"/>
          <w:sz w:val="20"/>
        </w:rPr>
        <w:tab/>
        <w:t xml:space="preserve">I = 0,00016438 </w:t>
      </w:r>
    </w:p>
    <w:p w:rsidR="006C145C" w:rsidRDefault="00C62E5A">
      <w:pPr>
        <w:spacing w:after="0"/>
        <w:ind w:left="3099"/>
      </w:pPr>
      <w:r>
        <w:rPr>
          <w:noProof/>
        </w:rPr>
        <mc:AlternateContent>
          <mc:Choice Requires="wpg">
            <w:drawing>
              <wp:inline distT="0" distB="0" distL="0" distR="0">
                <wp:extent cx="792480" cy="6096"/>
                <wp:effectExtent l="0" t="0" r="0" b="0"/>
                <wp:docPr id="281917" name="Group 281917"/>
                <wp:cNvGraphicFramePr/>
                <a:graphic xmlns:a="http://schemas.openxmlformats.org/drawingml/2006/main">
                  <a:graphicData uri="http://schemas.microsoft.com/office/word/2010/wordprocessingGroup">
                    <wpg:wgp>
                      <wpg:cNvGrpSpPr/>
                      <wpg:grpSpPr>
                        <a:xfrm>
                          <a:off x="0" y="0"/>
                          <a:ext cx="792480" cy="6096"/>
                          <a:chOff x="0" y="0"/>
                          <a:chExt cx="792480" cy="6096"/>
                        </a:xfrm>
                      </wpg:grpSpPr>
                      <wps:wsp>
                        <wps:cNvPr id="311279" name="Shape 311279"/>
                        <wps:cNvSpPr/>
                        <wps:spPr>
                          <a:xfrm>
                            <a:off x="0" y="0"/>
                            <a:ext cx="792480" cy="9144"/>
                          </a:xfrm>
                          <a:custGeom>
                            <a:avLst/>
                            <a:gdLst/>
                            <a:ahLst/>
                            <a:cxnLst/>
                            <a:rect l="0" t="0" r="0" b="0"/>
                            <a:pathLst>
                              <a:path w="792480" h="9144">
                                <a:moveTo>
                                  <a:pt x="0" y="0"/>
                                </a:moveTo>
                                <a:lnTo>
                                  <a:pt x="792480" y="0"/>
                                </a:lnTo>
                                <a:lnTo>
                                  <a:pt x="792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1917" style="width:62.4pt;height:0.47998pt;mso-position-horizontal-relative:char;mso-position-vertical-relative:line" coordsize="7924,60">
                <v:shape id="Shape 311280" style="position:absolute;width:7924;height:91;left:0;top:0;" coordsize="792480,9144" path="m0,0l792480,0l792480,9144l0,9144l0,0">
                  <v:stroke weight="0pt" endcap="flat" joinstyle="miter" miterlimit="10" on="false" color="#000000" opacity="0"/>
                  <v:fill on="true" color="#000000"/>
                </v:shape>
              </v:group>
            </w:pict>
          </mc:Fallback>
        </mc:AlternateContent>
      </w:r>
    </w:p>
    <w:p w:rsidR="006C145C" w:rsidRDefault="00C62E5A">
      <w:pPr>
        <w:tabs>
          <w:tab w:val="center" w:pos="984"/>
          <w:tab w:val="center" w:pos="3183"/>
          <w:tab w:val="center" w:pos="6832"/>
        </w:tabs>
        <w:spacing w:after="33" w:line="254" w:lineRule="auto"/>
      </w:pPr>
      <w:r>
        <w:tab/>
      </w:r>
      <w:r>
        <w:rPr>
          <w:rFonts w:ascii="Arial" w:eastAsia="Arial" w:hAnsi="Arial" w:cs="Arial"/>
          <w:sz w:val="20"/>
        </w:rPr>
        <w:t xml:space="preserve">I = (TX) </w:t>
      </w:r>
      <w:r>
        <w:rPr>
          <w:rFonts w:ascii="Arial" w:eastAsia="Arial" w:hAnsi="Arial" w:cs="Arial"/>
          <w:sz w:val="20"/>
        </w:rPr>
        <w:tab/>
        <w:t xml:space="preserve">I =  365 </w:t>
      </w:r>
      <w:r>
        <w:rPr>
          <w:rFonts w:ascii="Arial" w:eastAsia="Arial" w:hAnsi="Arial" w:cs="Arial"/>
          <w:sz w:val="20"/>
        </w:rPr>
        <w:tab/>
        <w:t>TX = Percentual d</w:t>
      </w:r>
      <w:r>
        <w:rPr>
          <w:rFonts w:ascii="Arial" w:eastAsia="Arial" w:hAnsi="Arial" w:cs="Arial"/>
          <w:sz w:val="20"/>
        </w:rPr>
        <w:t xml:space="preserve">a taxa anual = 6% </w:t>
      </w:r>
    </w:p>
    <w:p w:rsidR="006C145C" w:rsidRDefault="00C62E5A">
      <w:pPr>
        <w:spacing w:after="494"/>
        <w:ind w:left="1223"/>
        <w:jc w:val="center"/>
      </w:pPr>
      <w:r>
        <w:rPr>
          <w:rFonts w:ascii="Arial" w:eastAsia="Arial" w:hAnsi="Arial" w:cs="Arial"/>
          <w:sz w:val="20"/>
        </w:rPr>
        <w:t xml:space="preserve"> </w:t>
      </w:r>
    </w:p>
    <w:p w:rsidR="006C145C" w:rsidRDefault="00C62E5A">
      <w:pPr>
        <w:pStyle w:val="Ttulo5"/>
        <w:tabs>
          <w:tab w:val="center" w:pos="2321"/>
        </w:tabs>
        <w:spacing w:after="23" w:line="265" w:lineRule="auto"/>
        <w:ind w:left="0" w:firstLine="0"/>
        <w:jc w:val="left"/>
      </w:pPr>
      <w:r>
        <w:t xml:space="preserve">19 </w:t>
      </w:r>
      <w:r>
        <w:tab/>
      </w:r>
      <w:r>
        <w:rPr>
          <w:color w:val="FF0000"/>
        </w:rPr>
        <w:t xml:space="preserve">DA CONTA-DEPÓSITO VINCULADA </w:t>
      </w:r>
    </w:p>
    <w:p w:rsidR="006C145C" w:rsidRDefault="00C62E5A">
      <w:pPr>
        <w:spacing w:after="103"/>
        <w:ind w:left="84"/>
      </w:pPr>
      <w:r>
        <w:rPr>
          <w:rFonts w:ascii="Arial" w:eastAsia="Arial" w:hAnsi="Arial" w:cs="Arial"/>
          <w:color w:val="FF0000"/>
          <w:sz w:val="20"/>
        </w:rPr>
        <w:t xml:space="preserve"> </w:t>
      </w:r>
    </w:p>
    <w:p w:rsidR="006C145C" w:rsidRDefault="00C62E5A">
      <w:pPr>
        <w:spacing w:after="6" w:line="269" w:lineRule="auto"/>
        <w:ind w:left="955" w:right="54" w:hanging="511"/>
        <w:jc w:val="both"/>
      </w:pPr>
      <w:r>
        <w:rPr>
          <w:rFonts w:ascii="Arial" w:eastAsia="Arial" w:hAnsi="Arial" w:cs="Arial"/>
          <w:sz w:val="20"/>
        </w:rPr>
        <w:t xml:space="preserve">19.1 </w:t>
      </w:r>
      <w:r>
        <w:rPr>
          <w:rFonts w:ascii="Arial" w:eastAsia="Arial" w:hAnsi="Arial" w:cs="Arial"/>
          <w:color w:val="FF0000"/>
          <w:sz w:val="20"/>
        </w:rPr>
        <w:t>Para atendimento ao disposto no art. 18 da IN SEGES/MP N. 5/2017, as regras acerca da Conta-</w:t>
      </w:r>
      <w:r>
        <w:rPr>
          <w:rFonts w:ascii="Arial" w:eastAsia="Arial" w:hAnsi="Arial" w:cs="Arial"/>
          <w:color w:val="FF0000"/>
          <w:sz w:val="20"/>
        </w:rPr>
        <w:t xml:space="preserve">Depósito Vinculada a que se refere o Anexo XII da IN SEGES/MP n. 5/2017 são as estabelecidas neste Termo de Referência. </w:t>
      </w:r>
    </w:p>
    <w:p w:rsidR="006C145C" w:rsidRDefault="00C62E5A">
      <w:pPr>
        <w:spacing w:after="7" w:line="269" w:lineRule="auto"/>
        <w:ind w:left="955" w:right="54" w:hanging="511"/>
        <w:jc w:val="both"/>
      </w:pPr>
      <w:r>
        <w:rPr>
          <w:rFonts w:ascii="Arial" w:eastAsia="Arial" w:hAnsi="Arial" w:cs="Arial"/>
          <w:sz w:val="20"/>
        </w:rPr>
        <w:t xml:space="preserve">19.2 </w:t>
      </w:r>
      <w:r>
        <w:rPr>
          <w:rFonts w:ascii="Arial" w:eastAsia="Arial" w:hAnsi="Arial" w:cs="Arial"/>
          <w:color w:val="FF0000"/>
          <w:sz w:val="20"/>
        </w:rPr>
        <w:t>A futura Contratada deve autorizar a Administração contratante, no momento da assinatura do contrato, a fazer o desconto nas fatur</w:t>
      </w:r>
      <w:r>
        <w:rPr>
          <w:rFonts w:ascii="Arial" w:eastAsia="Arial" w:hAnsi="Arial" w:cs="Arial"/>
          <w:color w:val="FF0000"/>
          <w:sz w:val="20"/>
        </w:rPr>
        <w:t>as e realizar os pagamentos dos salários e demais verbas trabalhistas diretamente aos trabalhadores, bem como das contribuições previdenciárias e do FGTS, quando não demonstrado o cumprimento tempestivo e regular dessas obrigações, até o momento da regular</w:t>
      </w:r>
      <w:r>
        <w:rPr>
          <w:rFonts w:ascii="Arial" w:eastAsia="Arial" w:hAnsi="Arial" w:cs="Arial"/>
          <w:color w:val="FF0000"/>
          <w:sz w:val="20"/>
        </w:rPr>
        <w:t xml:space="preserve">ização, sem prejuízo das sanções cabíveis.  </w:t>
      </w:r>
    </w:p>
    <w:p w:rsidR="006C145C" w:rsidRDefault="00C62E5A">
      <w:pPr>
        <w:spacing w:after="7" w:line="269" w:lineRule="auto"/>
        <w:ind w:left="1524" w:right="54" w:hanging="720"/>
        <w:jc w:val="both"/>
      </w:pPr>
      <w:r>
        <w:rPr>
          <w:rFonts w:ascii="Arial" w:eastAsia="Arial" w:hAnsi="Arial" w:cs="Arial"/>
          <w:sz w:val="20"/>
        </w:rPr>
        <w:t xml:space="preserve">19.2.1 </w:t>
      </w:r>
      <w:r>
        <w:rPr>
          <w:rFonts w:ascii="Arial" w:eastAsia="Arial" w:hAnsi="Arial" w:cs="Arial"/>
          <w:color w:val="FF0000"/>
          <w:sz w:val="20"/>
        </w:rPr>
        <w:t>Quando não for possível a realização desses pagamentos pela própria Administração (ex.: por falta da documentação pertinente, tais como folha de pagamento, rescisões dos contratos e guias de recolhimento), os valores retidos cautelarmente serão depositados</w:t>
      </w:r>
      <w:r>
        <w:rPr>
          <w:rFonts w:ascii="Arial" w:eastAsia="Arial" w:hAnsi="Arial" w:cs="Arial"/>
          <w:color w:val="FF0000"/>
          <w:sz w:val="20"/>
        </w:rPr>
        <w:t xml:space="preserve"> junto à Justiça do Trabalho, com o objetivo de serem utilizados exclusivamente no pagamento de salários e das demais verbas trabalhistas, bem como das contribuições sociais e FGTS decorrentes. </w:t>
      </w:r>
    </w:p>
    <w:p w:rsidR="006C145C" w:rsidRDefault="00C62E5A">
      <w:pPr>
        <w:spacing w:after="9" w:line="269" w:lineRule="auto"/>
        <w:ind w:left="955" w:right="54" w:hanging="511"/>
        <w:jc w:val="both"/>
      </w:pPr>
      <w:r>
        <w:rPr>
          <w:rFonts w:ascii="Arial" w:eastAsia="Arial" w:hAnsi="Arial" w:cs="Arial"/>
          <w:sz w:val="20"/>
        </w:rPr>
        <w:t xml:space="preserve">19.3 </w:t>
      </w:r>
      <w:r>
        <w:rPr>
          <w:rFonts w:ascii="Arial" w:eastAsia="Arial" w:hAnsi="Arial" w:cs="Arial"/>
          <w:color w:val="FF0000"/>
          <w:sz w:val="20"/>
        </w:rPr>
        <w:t>A CONTRATADA autorizará o provisionamento de valores par</w:t>
      </w:r>
      <w:r>
        <w:rPr>
          <w:rFonts w:ascii="Arial" w:eastAsia="Arial" w:hAnsi="Arial" w:cs="Arial"/>
          <w:color w:val="FF0000"/>
          <w:sz w:val="20"/>
        </w:rPr>
        <w:t xml:space="preserve">a o pagamento das férias, 13º salário e rescisão contratual dos trabalhadores da contratada, bem como de suas repercussões trabalhistas, fundiárias e previdenciárias, que serão depositados pela </w:t>
      </w:r>
      <w:r>
        <w:rPr>
          <w:rFonts w:ascii="Arial" w:eastAsia="Arial" w:hAnsi="Arial" w:cs="Arial"/>
          <w:color w:val="FF0000"/>
          <w:sz w:val="20"/>
        </w:rPr>
        <w:lastRenderedPageBreak/>
        <w:t>contratante em conta-depósito vinculada específica, em nome do</w:t>
      </w:r>
      <w:r>
        <w:rPr>
          <w:rFonts w:ascii="Arial" w:eastAsia="Arial" w:hAnsi="Arial" w:cs="Arial"/>
          <w:color w:val="FF0000"/>
          <w:sz w:val="20"/>
        </w:rPr>
        <w:t xml:space="preserve"> prestador dos serviços, bloqueada para movimentação, conforme disposto no anexo XII da Instrução Normativa SEGES/MP nº 5, de 2017, os quais somente serão liberados para o pagamento direto dessas verbas aos trabalhadores, nas condições estabelecidas no ite</w:t>
      </w:r>
      <w:r>
        <w:rPr>
          <w:rFonts w:ascii="Arial" w:eastAsia="Arial" w:hAnsi="Arial" w:cs="Arial"/>
          <w:color w:val="FF0000"/>
          <w:sz w:val="20"/>
        </w:rPr>
        <w:t xml:space="preserve">m 1.5 do anexo VII-B da referida norma. </w:t>
      </w:r>
    </w:p>
    <w:p w:rsidR="006C145C" w:rsidRDefault="00C62E5A">
      <w:pPr>
        <w:spacing w:after="9" w:line="269" w:lineRule="auto"/>
        <w:ind w:left="588" w:right="54" w:hanging="511"/>
        <w:jc w:val="both"/>
      </w:pPr>
      <w:r>
        <w:rPr>
          <w:rFonts w:ascii="Arial" w:eastAsia="Arial" w:hAnsi="Arial" w:cs="Arial"/>
          <w:sz w:val="20"/>
        </w:rPr>
        <w:t xml:space="preserve">19.4 </w:t>
      </w:r>
      <w:r>
        <w:rPr>
          <w:rFonts w:ascii="Arial" w:eastAsia="Arial" w:hAnsi="Arial" w:cs="Arial"/>
          <w:color w:val="FF0000"/>
          <w:sz w:val="20"/>
        </w:rPr>
        <w:t xml:space="preserve">O montante dos depósitos da conta vinculada, conforme item 2 do Anexo XII da IN SEGES/MP n. 5/2017 será igual ao somatório dos valores das provisões a seguir discriminadas, incidentes sobre a remuneração, cuja </w:t>
      </w:r>
      <w:r>
        <w:rPr>
          <w:rFonts w:ascii="Arial" w:eastAsia="Arial" w:hAnsi="Arial" w:cs="Arial"/>
          <w:color w:val="FF0000"/>
          <w:sz w:val="20"/>
        </w:rPr>
        <w:t xml:space="preserve">movimentação dependerá de autorização do órgão ou entidade promotora da licitação e será feita exclusivamente para o pagamento das respectivas obrigações: </w:t>
      </w:r>
    </w:p>
    <w:p w:rsidR="006C145C" w:rsidRDefault="00C62E5A">
      <w:pPr>
        <w:spacing w:after="8" w:line="269" w:lineRule="auto"/>
        <w:ind w:left="1155" w:right="54" w:hanging="10"/>
        <w:jc w:val="both"/>
      </w:pPr>
      <w:r>
        <w:rPr>
          <w:rFonts w:ascii="Arial" w:eastAsia="Arial" w:hAnsi="Arial" w:cs="Arial"/>
          <w:sz w:val="20"/>
        </w:rPr>
        <w:t xml:space="preserve">19.4.1 </w:t>
      </w:r>
      <w:r>
        <w:rPr>
          <w:rFonts w:ascii="Arial" w:eastAsia="Arial" w:hAnsi="Arial" w:cs="Arial"/>
          <w:color w:val="FF0000"/>
          <w:sz w:val="20"/>
        </w:rPr>
        <w:t xml:space="preserve">13º (décimo terceiro) salário; </w:t>
      </w:r>
    </w:p>
    <w:p w:rsidR="006C145C" w:rsidRDefault="00C62E5A">
      <w:pPr>
        <w:spacing w:after="8" w:line="269" w:lineRule="auto"/>
        <w:ind w:left="1155" w:right="54" w:hanging="10"/>
        <w:jc w:val="both"/>
      </w:pPr>
      <w:r>
        <w:rPr>
          <w:rFonts w:ascii="Arial" w:eastAsia="Arial" w:hAnsi="Arial" w:cs="Arial"/>
          <w:sz w:val="20"/>
        </w:rPr>
        <w:t xml:space="preserve">19.4.2 </w:t>
      </w:r>
      <w:r>
        <w:rPr>
          <w:rFonts w:ascii="Arial" w:eastAsia="Arial" w:hAnsi="Arial" w:cs="Arial"/>
          <w:color w:val="FF0000"/>
          <w:sz w:val="20"/>
        </w:rPr>
        <w:t xml:space="preserve">Férias e um terço constitucional de férias; </w:t>
      </w:r>
    </w:p>
    <w:p w:rsidR="006C145C" w:rsidRDefault="00C62E5A">
      <w:pPr>
        <w:spacing w:after="6" w:line="269" w:lineRule="auto"/>
        <w:ind w:left="1155" w:right="54" w:hanging="10"/>
        <w:jc w:val="both"/>
      </w:pPr>
      <w:r>
        <w:rPr>
          <w:rFonts w:ascii="Arial" w:eastAsia="Arial" w:hAnsi="Arial" w:cs="Arial"/>
          <w:sz w:val="20"/>
        </w:rPr>
        <w:t xml:space="preserve">19.4.3 </w:t>
      </w:r>
      <w:r>
        <w:rPr>
          <w:rFonts w:ascii="Arial" w:eastAsia="Arial" w:hAnsi="Arial" w:cs="Arial"/>
          <w:color w:val="FF0000"/>
          <w:sz w:val="20"/>
        </w:rPr>
        <w:t>Mu</w:t>
      </w:r>
      <w:r>
        <w:rPr>
          <w:rFonts w:ascii="Arial" w:eastAsia="Arial" w:hAnsi="Arial" w:cs="Arial"/>
          <w:color w:val="FF0000"/>
          <w:sz w:val="20"/>
        </w:rPr>
        <w:t xml:space="preserve">lta sobre o FGTS e contribuição social para as rescisões sem justa causa; e </w:t>
      </w:r>
    </w:p>
    <w:p w:rsidR="006C145C" w:rsidRDefault="00C62E5A">
      <w:pPr>
        <w:spacing w:after="11" w:line="269" w:lineRule="auto"/>
        <w:ind w:left="1155" w:right="54" w:hanging="10"/>
        <w:jc w:val="both"/>
      </w:pPr>
      <w:r>
        <w:rPr>
          <w:rFonts w:ascii="Arial" w:eastAsia="Arial" w:hAnsi="Arial" w:cs="Arial"/>
          <w:sz w:val="20"/>
        </w:rPr>
        <w:t xml:space="preserve">19.4.4 </w:t>
      </w:r>
      <w:r>
        <w:rPr>
          <w:rFonts w:ascii="Arial" w:eastAsia="Arial" w:hAnsi="Arial" w:cs="Arial"/>
          <w:color w:val="FF0000"/>
          <w:sz w:val="20"/>
        </w:rPr>
        <w:t xml:space="preserve">Encargos sobre férias e 13º (décimo terceiro) salário. </w:t>
      </w:r>
    </w:p>
    <w:p w:rsidR="006C145C" w:rsidRDefault="00C62E5A">
      <w:pPr>
        <w:spacing w:after="6" w:line="269" w:lineRule="auto"/>
        <w:ind w:left="1155" w:right="54" w:hanging="10"/>
        <w:jc w:val="both"/>
      </w:pPr>
      <w:r>
        <w:rPr>
          <w:rFonts w:ascii="Arial" w:eastAsia="Arial" w:hAnsi="Arial" w:cs="Arial"/>
          <w:sz w:val="20"/>
        </w:rPr>
        <w:t xml:space="preserve">19.4.5 </w:t>
      </w:r>
      <w:r>
        <w:rPr>
          <w:rFonts w:ascii="Arial" w:eastAsia="Arial" w:hAnsi="Arial" w:cs="Arial"/>
          <w:color w:val="FF0000"/>
          <w:sz w:val="20"/>
        </w:rPr>
        <w:t>Os percentuais de provisionamento e a forma de cálculo serão aqueles indicados no Anexo XII da IN SEGES/MP n.</w:t>
      </w:r>
      <w:r>
        <w:rPr>
          <w:rFonts w:ascii="Arial" w:eastAsia="Arial" w:hAnsi="Arial" w:cs="Arial"/>
          <w:color w:val="FF0000"/>
          <w:sz w:val="20"/>
        </w:rPr>
        <w:t xml:space="preserve"> 5/2017. </w:t>
      </w:r>
    </w:p>
    <w:p w:rsidR="006C145C" w:rsidRDefault="00C62E5A">
      <w:pPr>
        <w:spacing w:after="8" w:line="269" w:lineRule="auto"/>
        <w:ind w:left="588" w:right="54" w:hanging="511"/>
        <w:jc w:val="both"/>
      </w:pPr>
      <w:r>
        <w:rPr>
          <w:rFonts w:ascii="Arial" w:eastAsia="Arial" w:hAnsi="Arial" w:cs="Arial"/>
          <w:sz w:val="20"/>
        </w:rPr>
        <w:t xml:space="preserve">19.5 </w:t>
      </w:r>
      <w:r>
        <w:rPr>
          <w:rFonts w:ascii="Arial" w:eastAsia="Arial" w:hAnsi="Arial" w:cs="Arial"/>
          <w:color w:val="FF0000"/>
          <w:sz w:val="20"/>
        </w:rPr>
        <w:t xml:space="preserve">O saldo da conta-depósito será remunerado pelo índice de correção da poupança </w:t>
      </w:r>
      <w:r>
        <w:rPr>
          <w:rFonts w:ascii="Arial" w:eastAsia="Arial" w:hAnsi="Arial" w:cs="Arial"/>
          <w:i/>
          <w:color w:val="FF0000"/>
          <w:sz w:val="20"/>
        </w:rPr>
        <w:t>pro rata die</w:t>
      </w:r>
      <w:r>
        <w:rPr>
          <w:rFonts w:ascii="Arial" w:eastAsia="Arial" w:hAnsi="Arial" w:cs="Arial"/>
          <w:color w:val="FF0000"/>
          <w:sz w:val="20"/>
        </w:rPr>
        <w:t>, conforme definido em Termo de Cooperação Técnica firmado entre o promotor desta licitação e instituição financeira. Eventual alteração da forma de co</w:t>
      </w:r>
      <w:r>
        <w:rPr>
          <w:rFonts w:ascii="Arial" w:eastAsia="Arial" w:hAnsi="Arial" w:cs="Arial"/>
          <w:color w:val="FF0000"/>
          <w:sz w:val="20"/>
        </w:rPr>
        <w:t xml:space="preserve">rreção implicará a revisão do Termo de Cooperação Técnica. </w:t>
      </w:r>
    </w:p>
    <w:p w:rsidR="006C145C" w:rsidRDefault="00C62E5A">
      <w:pPr>
        <w:spacing w:after="6" w:line="269" w:lineRule="auto"/>
        <w:ind w:left="588" w:right="54" w:hanging="511"/>
        <w:jc w:val="both"/>
      </w:pPr>
      <w:r>
        <w:rPr>
          <w:rFonts w:ascii="Arial" w:eastAsia="Arial" w:hAnsi="Arial" w:cs="Arial"/>
          <w:sz w:val="20"/>
        </w:rPr>
        <w:t xml:space="preserve">19.6 </w:t>
      </w:r>
      <w:r>
        <w:rPr>
          <w:rFonts w:ascii="Arial" w:eastAsia="Arial" w:hAnsi="Arial" w:cs="Arial"/>
          <w:color w:val="FF0000"/>
          <w:sz w:val="20"/>
        </w:rPr>
        <w:t>Os valores referentes às provisões mencionadas neste edital que sejam retidos por meio da conta-</w:t>
      </w:r>
      <w:r>
        <w:rPr>
          <w:rFonts w:ascii="Arial" w:eastAsia="Arial" w:hAnsi="Arial" w:cs="Arial"/>
          <w:color w:val="FF0000"/>
          <w:sz w:val="20"/>
        </w:rPr>
        <w:t xml:space="preserve">depósito, deixarão de compor o valor mensal a ser pago diretamente à empresa que vier a prestar os serviços. </w:t>
      </w:r>
    </w:p>
    <w:p w:rsidR="006C145C" w:rsidRDefault="00C62E5A">
      <w:pPr>
        <w:spacing w:after="8" w:line="269" w:lineRule="auto"/>
        <w:ind w:left="588" w:right="54" w:hanging="511"/>
        <w:jc w:val="both"/>
      </w:pPr>
      <w:r>
        <w:rPr>
          <w:rFonts w:ascii="Arial" w:eastAsia="Arial" w:hAnsi="Arial" w:cs="Arial"/>
          <w:sz w:val="20"/>
        </w:rPr>
        <w:t xml:space="preserve">19.7 </w:t>
      </w:r>
      <w:r>
        <w:rPr>
          <w:rFonts w:ascii="Arial" w:eastAsia="Arial" w:hAnsi="Arial" w:cs="Arial"/>
          <w:color w:val="FF0000"/>
          <w:sz w:val="20"/>
        </w:rPr>
        <w:t>Em caso de cobrança de tarifa ou encargos bancários para operacionalização da contadepósito, os recursos atinentes a essas despesas serão deb</w:t>
      </w:r>
      <w:r>
        <w:rPr>
          <w:rFonts w:ascii="Arial" w:eastAsia="Arial" w:hAnsi="Arial" w:cs="Arial"/>
          <w:color w:val="FF0000"/>
          <w:sz w:val="20"/>
        </w:rPr>
        <w:t xml:space="preserve">itados dos valores depositados. </w:t>
      </w:r>
    </w:p>
    <w:p w:rsidR="006C145C" w:rsidRDefault="00C62E5A">
      <w:pPr>
        <w:spacing w:after="9" w:line="269" w:lineRule="auto"/>
        <w:ind w:left="588" w:right="54" w:hanging="511"/>
        <w:jc w:val="both"/>
      </w:pPr>
      <w:r>
        <w:rPr>
          <w:rFonts w:ascii="Arial" w:eastAsia="Arial" w:hAnsi="Arial" w:cs="Arial"/>
          <w:sz w:val="20"/>
        </w:rPr>
        <w:t xml:space="preserve">19.8 </w:t>
      </w:r>
      <w:r>
        <w:rPr>
          <w:rFonts w:ascii="Arial" w:eastAsia="Arial" w:hAnsi="Arial" w:cs="Arial"/>
          <w:color w:val="FF0000"/>
          <w:sz w:val="20"/>
        </w:rPr>
        <w:t>A empresa contratada poderá solicitar a autorização do órgão ou entidade contratante para utilizar os valores da conta-depósito para o pagamento dos encargos trabalhistas previstos nos subitens acima ou de eventuais in</w:t>
      </w:r>
      <w:r>
        <w:rPr>
          <w:rFonts w:ascii="Arial" w:eastAsia="Arial" w:hAnsi="Arial" w:cs="Arial"/>
          <w:color w:val="FF0000"/>
          <w:sz w:val="20"/>
        </w:rPr>
        <w:t xml:space="preserve">denizações trabalhistas aos empregados, decorrentes de situações ocorridas durante a vigência do contrato. </w:t>
      </w:r>
    </w:p>
    <w:p w:rsidR="006C145C" w:rsidRDefault="00C62E5A">
      <w:pPr>
        <w:spacing w:after="7" w:line="269" w:lineRule="auto"/>
        <w:ind w:left="1155" w:right="54" w:hanging="10"/>
        <w:jc w:val="both"/>
      </w:pPr>
      <w:r>
        <w:rPr>
          <w:rFonts w:ascii="Arial" w:eastAsia="Arial" w:hAnsi="Arial" w:cs="Arial"/>
          <w:sz w:val="20"/>
        </w:rPr>
        <w:t xml:space="preserve">19.8.1 </w:t>
      </w:r>
      <w:r>
        <w:rPr>
          <w:rFonts w:ascii="Arial" w:eastAsia="Arial" w:hAnsi="Arial" w:cs="Arial"/>
          <w:color w:val="FF0000"/>
          <w:sz w:val="20"/>
        </w:rPr>
        <w:t>Na situação do subitem acima, a empresa deverá apresentar os documentos comprobatórios da ocorrência das obrigações trabalhistas e seus respe</w:t>
      </w:r>
      <w:r>
        <w:rPr>
          <w:rFonts w:ascii="Arial" w:eastAsia="Arial" w:hAnsi="Arial" w:cs="Arial"/>
          <w:color w:val="FF0000"/>
          <w:sz w:val="20"/>
        </w:rPr>
        <w:t>ctivos prazos de vencimento. Somente após a confirmação da ocorrência da situação pela Administração, será expedida a autorização para a movimentação dos recursos creditados na conta-depósito vinculada, que será encaminhada à Instituição Financeira no praz</w:t>
      </w:r>
      <w:r>
        <w:rPr>
          <w:rFonts w:ascii="Arial" w:eastAsia="Arial" w:hAnsi="Arial" w:cs="Arial"/>
          <w:color w:val="FF0000"/>
          <w:sz w:val="20"/>
        </w:rPr>
        <w:t xml:space="preserve">o máximo de 5 (cinco) dias úteis, a contar da data da apresentação dos documentos comprobatórios pela empresa. </w:t>
      </w:r>
    </w:p>
    <w:p w:rsidR="006C145C" w:rsidRDefault="00C62E5A">
      <w:pPr>
        <w:spacing w:after="9" w:line="269" w:lineRule="auto"/>
        <w:ind w:left="1155" w:right="54" w:hanging="10"/>
        <w:jc w:val="both"/>
      </w:pPr>
      <w:r>
        <w:rPr>
          <w:rFonts w:ascii="Arial" w:eastAsia="Arial" w:hAnsi="Arial" w:cs="Arial"/>
          <w:sz w:val="20"/>
        </w:rPr>
        <w:t xml:space="preserve">19.8.2 </w:t>
      </w:r>
      <w:r>
        <w:rPr>
          <w:rFonts w:ascii="Arial" w:eastAsia="Arial" w:hAnsi="Arial" w:cs="Arial"/>
          <w:color w:val="FF0000"/>
          <w:sz w:val="20"/>
        </w:rPr>
        <w:t xml:space="preserve">A autorização de movimentação deverá especificar que se destina exclusivamente para o pagamento dos encargos trabalhistas ou de eventual </w:t>
      </w:r>
      <w:r>
        <w:rPr>
          <w:rFonts w:ascii="Arial" w:eastAsia="Arial" w:hAnsi="Arial" w:cs="Arial"/>
          <w:color w:val="FF0000"/>
          <w:sz w:val="20"/>
        </w:rPr>
        <w:t xml:space="preserve">indenização trabalhista aos trabalhadores favorecidos. </w:t>
      </w:r>
    </w:p>
    <w:p w:rsidR="006C145C" w:rsidRDefault="00C62E5A">
      <w:pPr>
        <w:spacing w:after="6" w:line="269" w:lineRule="auto"/>
        <w:ind w:left="1155" w:right="54" w:hanging="10"/>
        <w:jc w:val="both"/>
      </w:pPr>
      <w:r>
        <w:rPr>
          <w:rFonts w:ascii="Arial" w:eastAsia="Arial" w:hAnsi="Arial" w:cs="Arial"/>
          <w:sz w:val="20"/>
        </w:rPr>
        <w:t xml:space="preserve">19.8.3 </w:t>
      </w:r>
      <w:r>
        <w:rPr>
          <w:rFonts w:ascii="Arial" w:eastAsia="Arial" w:hAnsi="Arial" w:cs="Arial"/>
          <w:color w:val="FF0000"/>
          <w:sz w:val="20"/>
        </w:rPr>
        <w:t>A empresa deverá apresentar ao órgão ou entidade contratante, no prazo máximo de 3 (três) dias úteis, contados da movimentação, o comprovante das transferências bancárias realizadas para a quit</w:t>
      </w:r>
      <w:r>
        <w:rPr>
          <w:rFonts w:ascii="Arial" w:eastAsia="Arial" w:hAnsi="Arial" w:cs="Arial"/>
          <w:color w:val="FF0000"/>
          <w:sz w:val="20"/>
        </w:rPr>
        <w:t xml:space="preserve">ação das obrigações trabalhistas. </w:t>
      </w:r>
    </w:p>
    <w:p w:rsidR="006C145C" w:rsidRDefault="00C62E5A">
      <w:pPr>
        <w:spacing w:after="7" w:line="269" w:lineRule="auto"/>
        <w:ind w:left="588" w:right="54" w:hanging="511"/>
        <w:jc w:val="both"/>
      </w:pPr>
      <w:r>
        <w:rPr>
          <w:rFonts w:ascii="Arial" w:eastAsia="Arial" w:hAnsi="Arial" w:cs="Arial"/>
          <w:sz w:val="20"/>
        </w:rPr>
        <w:t xml:space="preserve">19.9 </w:t>
      </w:r>
      <w:r>
        <w:rPr>
          <w:rFonts w:ascii="Arial" w:eastAsia="Arial" w:hAnsi="Arial" w:cs="Arial"/>
          <w:color w:val="FF0000"/>
          <w:sz w:val="20"/>
        </w:rPr>
        <w:t xml:space="preserve"> O saldo remanescente dos recursos depositados na conta-depósito será liberado à respectiva titular no momento do encerramento do contrato, na presença do sindicato da categoria correspondente aos serviços contratado</w:t>
      </w:r>
      <w:r>
        <w:rPr>
          <w:rFonts w:ascii="Arial" w:eastAsia="Arial" w:hAnsi="Arial" w:cs="Arial"/>
          <w:color w:val="FF0000"/>
          <w:sz w:val="20"/>
        </w:rPr>
        <w:t xml:space="preserve">s, quando couber, e após a comprovação da quitação de todos os encargos trabalhistas e previdenciários relativos ao serviço contratado, conforme item 15 da IN SEGES/MP n. 5/2017. </w:t>
      </w:r>
    </w:p>
    <w:p w:rsidR="006C145C" w:rsidRDefault="00C62E5A">
      <w:pPr>
        <w:spacing w:after="163"/>
        <w:ind w:left="437"/>
      </w:pPr>
      <w:r>
        <w:rPr>
          <w:rFonts w:ascii="Arial" w:eastAsia="Arial" w:hAnsi="Arial" w:cs="Arial"/>
          <w:color w:val="FF0000"/>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4" w:line="249" w:lineRule="auto"/>
        <w:ind w:left="-5" w:right="57" w:hanging="10"/>
        <w:jc w:val="both"/>
      </w:pPr>
      <w:r>
        <w:rPr>
          <w:rFonts w:ascii="Arial" w:eastAsia="Arial" w:hAnsi="Arial" w:cs="Arial"/>
          <w:b/>
          <w:i/>
          <w:sz w:val="20"/>
        </w:rPr>
        <w:t>Nota explicativa</w:t>
      </w:r>
      <w:r>
        <w:rPr>
          <w:rFonts w:ascii="Arial" w:eastAsia="Arial" w:hAnsi="Arial" w:cs="Arial"/>
          <w:i/>
          <w:sz w:val="20"/>
        </w:rPr>
        <w:t>: O provisionamento tornou-</w:t>
      </w:r>
      <w:r>
        <w:rPr>
          <w:rFonts w:ascii="Arial" w:eastAsia="Arial" w:hAnsi="Arial" w:cs="Arial"/>
          <w:i/>
          <w:sz w:val="20"/>
        </w:rPr>
        <w:t xml:space="preserve">se obrigatório conforme Anexo XII da IN SEGES/MP n. 5/2017. </w:t>
      </w:r>
    </w:p>
    <w:p w:rsidR="006C145C" w:rsidRDefault="00C62E5A">
      <w:pPr>
        <w:spacing w:after="0"/>
        <w:ind w:left="437"/>
      </w:pPr>
      <w:r>
        <w:rPr>
          <w:rFonts w:ascii="Arial" w:eastAsia="Arial" w:hAnsi="Arial" w:cs="Arial"/>
          <w:color w:val="FF0000"/>
          <w:sz w:val="20"/>
        </w:rPr>
        <w:t xml:space="preserve"> </w:t>
      </w:r>
    </w:p>
    <w:p w:rsidR="006C145C" w:rsidRDefault="00C62E5A">
      <w:pPr>
        <w:pStyle w:val="Ttulo1"/>
        <w:spacing w:after="12"/>
        <w:ind w:left="588"/>
      </w:pPr>
      <w:r>
        <w:t xml:space="preserve">OU </w:t>
      </w:r>
    </w:p>
    <w:p w:rsidR="006C145C" w:rsidRDefault="00C62E5A">
      <w:pPr>
        <w:spacing w:after="17"/>
        <w:ind w:left="578"/>
      </w:pPr>
      <w:r>
        <w:rPr>
          <w:rFonts w:ascii="Arial" w:eastAsia="Arial" w:hAnsi="Arial" w:cs="Arial"/>
          <w:b/>
          <w:color w:val="FF0000"/>
          <w:sz w:val="20"/>
        </w:rPr>
        <w:t xml:space="preserve"> </w:t>
      </w:r>
    </w:p>
    <w:p w:rsidR="006C145C" w:rsidRDefault="00C62E5A">
      <w:pPr>
        <w:pStyle w:val="Ttulo2"/>
        <w:spacing w:after="163"/>
        <w:ind w:left="228"/>
        <w:jc w:val="left"/>
      </w:pPr>
      <w:r>
        <w:lastRenderedPageBreak/>
        <w:t xml:space="preserve">19. </w:t>
      </w:r>
      <w:r>
        <w:rPr>
          <w:color w:val="FF0000"/>
        </w:rPr>
        <w:t xml:space="preserve">DO PAGAMENTO PELO FATO GERADOR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143" w:line="250" w:lineRule="auto"/>
        <w:ind w:left="293" w:right="56" w:hanging="10"/>
        <w:jc w:val="both"/>
      </w:pPr>
      <w:r>
        <w:rPr>
          <w:rFonts w:ascii="Arial" w:eastAsia="Arial" w:hAnsi="Arial" w:cs="Arial"/>
          <w:b/>
          <w:i/>
          <w:sz w:val="20"/>
        </w:rPr>
        <w:t>Nota Explicativa:</w:t>
      </w:r>
      <w:r>
        <w:rPr>
          <w:rFonts w:ascii="Arial" w:eastAsia="Arial" w:hAnsi="Arial" w:cs="Arial"/>
          <w:i/>
          <w:sz w:val="20"/>
        </w:rPr>
        <w:t xml:space="preserve"> </w:t>
      </w:r>
      <w:r>
        <w:rPr>
          <w:rFonts w:ascii="Arial" w:eastAsia="Arial" w:hAnsi="Arial" w:cs="Arial"/>
          <w:i/>
          <w:sz w:val="20"/>
        </w:rPr>
        <w:t xml:space="preserve">O pagamento pelo fato gerador está previsto no artigo 18, inciso II, da IN SEGES/MP n. 05/2017. Eis a definição constante do Anexo I da referida norma: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142" w:line="250" w:lineRule="auto"/>
        <w:ind w:left="293" w:right="56" w:hanging="10"/>
        <w:jc w:val="both"/>
      </w:pPr>
      <w:r>
        <w:rPr>
          <w:rFonts w:ascii="Arial" w:eastAsia="Arial" w:hAnsi="Arial" w:cs="Arial"/>
          <w:i/>
          <w:sz w:val="20"/>
        </w:rPr>
        <w:t xml:space="preserve">XIV – </w:t>
      </w:r>
      <w:r>
        <w:rPr>
          <w:rFonts w:ascii="Arial" w:eastAsia="Arial" w:hAnsi="Arial" w:cs="Arial"/>
          <w:i/>
          <w:sz w:val="20"/>
        </w:rPr>
        <w:t>PAGAMENTO PELO FATO GERADOR: Situação de fato ou conjunto de fatos, prevista na lei ou contrato, necessária e suficiente a sua materialização, que gera obrigação de pagamento do contratante à contratada. Caso a Administração opte por efetuar o pagamento pe</w:t>
      </w:r>
      <w:r>
        <w:rPr>
          <w:rFonts w:ascii="Arial" w:eastAsia="Arial" w:hAnsi="Arial" w:cs="Arial"/>
          <w:i/>
          <w:sz w:val="20"/>
        </w:rPr>
        <w:t xml:space="preserve">lo Fato Gerador, deverá ajustar seu mapa de riscos a essa opção.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4" w:line="250" w:lineRule="auto"/>
        <w:ind w:left="293" w:right="56" w:hanging="10"/>
        <w:jc w:val="both"/>
      </w:pPr>
      <w:r>
        <w:rPr>
          <w:rFonts w:ascii="Arial" w:eastAsia="Arial" w:hAnsi="Arial" w:cs="Arial"/>
          <w:i/>
          <w:sz w:val="20"/>
        </w:rPr>
        <w:t xml:space="preserve"> Vale ressaltar que, em atenção ao art. 18, § 1º, inciso II, da IN SEGES/MP n.º 05/2017, foi editado pela SEGES/MP o Caderno de Logística contendo orientações básicas para operacionalização</w:t>
      </w:r>
      <w:r>
        <w:rPr>
          <w:rFonts w:ascii="Arial" w:eastAsia="Arial" w:hAnsi="Arial" w:cs="Arial"/>
          <w:i/>
          <w:sz w:val="20"/>
        </w:rPr>
        <w:t xml:space="preserve"> do Pagamento pelo Fato Gerador, as quais deverão ser integralmente observadas pela Administração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tabs>
          <w:tab w:val="center" w:pos="9047"/>
        </w:tabs>
        <w:spacing w:after="32" w:line="250" w:lineRule="auto"/>
        <w:ind w:left="283" w:right="56"/>
        <w:jc w:val="both"/>
      </w:pPr>
      <w:r>
        <w:rPr>
          <w:rFonts w:ascii="Arial" w:eastAsia="Arial" w:hAnsi="Arial" w:cs="Arial"/>
          <w:i/>
          <w:sz w:val="20"/>
        </w:rPr>
        <w:t xml:space="preserve">(disponível </w:t>
      </w:r>
      <w:r>
        <w:rPr>
          <w:rFonts w:ascii="Arial" w:eastAsia="Arial" w:hAnsi="Arial" w:cs="Arial"/>
          <w:i/>
          <w:sz w:val="20"/>
        </w:rPr>
        <w:tab/>
        <w:t xml:space="preserve">em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4" w:line="250" w:lineRule="auto"/>
        <w:ind w:left="293" w:right="56" w:hanging="10"/>
        <w:jc w:val="both"/>
      </w:pPr>
      <w:hyperlink r:id="rId45">
        <w:r>
          <w:rPr>
            <w:rFonts w:ascii="Arial" w:eastAsia="Arial" w:hAnsi="Arial" w:cs="Arial"/>
            <w:i/>
            <w:sz w:val="20"/>
          </w:rPr>
          <w:t>https://www.comprasgovernamentais</w:t>
        </w:r>
        <w:r>
          <w:rPr>
            <w:rFonts w:ascii="Arial" w:eastAsia="Arial" w:hAnsi="Arial" w:cs="Arial"/>
            <w:i/>
            <w:sz w:val="20"/>
          </w:rPr>
          <w:t>.gov.br/images/conteudo/ArquivosCGNOR/fato_gerador.pdf</w:t>
        </w:r>
      </w:hyperlink>
      <w:hyperlink r:id="rId46">
        <w:r>
          <w:rPr>
            <w:rFonts w:ascii="Arial" w:eastAsia="Arial" w:hAnsi="Arial" w:cs="Arial"/>
            <w:i/>
            <w:sz w:val="20"/>
          </w:rPr>
          <w:t>)</w:t>
        </w:r>
      </w:hyperlink>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145" w:line="250" w:lineRule="auto"/>
        <w:ind w:left="293" w:right="56" w:hanging="10"/>
        <w:jc w:val="both"/>
      </w:pPr>
      <w:r>
        <w:rPr>
          <w:rFonts w:ascii="Arial" w:eastAsia="Arial" w:hAnsi="Arial" w:cs="Arial"/>
          <w:i/>
          <w:sz w:val="20"/>
        </w:rPr>
        <w:t xml:space="preserve">.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173" w:line="250" w:lineRule="auto"/>
        <w:ind w:left="293" w:right="56" w:hanging="10"/>
        <w:jc w:val="both"/>
      </w:pPr>
      <w:r>
        <w:rPr>
          <w:rFonts w:ascii="Arial" w:eastAsia="Arial" w:hAnsi="Arial" w:cs="Arial"/>
          <w:i/>
          <w:sz w:val="20"/>
        </w:rPr>
        <w:t>Saliente-</w:t>
      </w:r>
      <w:r>
        <w:rPr>
          <w:rFonts w:ascii="Arial" w:eastAsia="Arial" w:hAnsi="Arial" w:cs="Arial"/>
          <w:i/>
          <w:sz w:val="20"/>
        </w:rPr>
        <w:t>se, por fim, que o Art. 8º, V do Decreto nº 9.507, de 2018 prevê que em contratos continuados com dedicação exclusiva de mão-de-obra deve ser utilizado ou a Conta-Vinculada ou o Pagamento pelo Fato Gerador, incumbindo ao Administrador, apenas, escolher ent</w:t>
      </w:r>
      <w:r>
        <w:rPr>
          <w:rFonts w:ascii="Arial" w:eastAsia="Arial" w:hAnsi="Arial" w:cs="Arial"/>
          <w:i/>
          <w:sz w:val="20"/>
        </w:rPr>
        <w:t xml:space="preserve">re uma das duas opções. </w:t>
      </w:r>
    </w:p>
    <w:p w:rsidR="006C145C" w:rsidRDefault="00C62E5A">
      <w:pPr>
        <w:spacing w:after="17"/>
      </w:pPr>
      <w:r>
        <w:rPr>
          <w:rFonts w:ascii="Arial" w:eastAsia="Arial" w:hAnsi="Arial" w:cs="Arial"/>
          <w:sz w:val="20"/>
        </w:rPr>
        <w:t xml:space="preserve"> </w:t>
      </w:r>
    </w:p>
    <w:p w:rsidR="006C145C" w:rsidRDefault="00C62E5A">
      <w:pPr>
        <w:spacing w:after="6" w:line="269" w:lineRule="auto"/>
        <w:ind w:left="-5" w:right="54" w:hanging="10"/>
        <w:jc w:val="both"/>
      </w:pPr>
      <w:r>
        <w:rPr>
          <w:rFonts w:ascii="Arial" w:eastAsia="Arial" w:hAnsi="Arial" w:cs="Arial"/>
          <w:color w:val="FF0000"/>
          <w:sz w:val="20"/>
        </w:rPr>
        <w:t xml:space="preserve">19.1 No caso do Pagamento pelo Fato Gerador, os órgãos e entidades deverão adotar os seguintes procedimentos: </w:t>
      </w:r>
    </w:p>
    <w:p w:rsidR="006C145C" w:rsidRDefault="00C62E5A">
      <w:pPr>
        <w:spacing w:after="17"/>
        <w:ind w:left="710"/>
      </w:pPr>
      <w:r>
        <w:rPr>
          <w:rFonts w:ascii="Arial" w:eastAsia="Arial" w:hAnsi="Arial" w:cs="Arial"/>
          <w:color w:val="FF0000"/>
          <w:sz w:val="20"/>
        </w:rPr>
        <w:t xml:space="preserve"> </w:t>
      </w:r>
    </w:p>
    <w:p w:rsidR="006C145C" w:rsidRDefault="00C62E5A">
      <w:pPr>
        <w:spacing w:after="7" w:line="269" w:lineRule="auto"/>
        <w:ind w:left="720" w:right="54" w:hanging="10"/>
        <w:jc w:val="both"/>
      </w:pPr>
      <w:r>
        <w:rPr>
          <w:rFonts w:ascii="Arial" w:eastAsia="Arial" w:hAnsi="Arial" w:cs="Arial"/>
          <w:color w:val="FF0000"/>
          <w:sz w:val="20"/>
        </w:rPr>
        <w:t xml:space="preserve">a) Serão objeto de pagamento mensal pela Administração à contratada o somatório dos seguintes módulos que compõem a </w:t>
      </w:r>
      <w:r>
        <w:rPr>
          <w:rFonts w:ascii="Arial" w:eastAsia="Arial" w:hAnsi="Arial" w:cs="Arial"/>
          <w:color w:val="FF0000"/>
          <w:sz w:val="20"/>
        </w:rPr>
        <w:t xml:space="preserve">planilha de custos e formação de preços, disposta no Anexo VII-D:  </w:t>
      </w:r>
    </w:p>
    <w:p w:rsidR="006C145C" w:rsidRDefault="00C62E5A">
      <w:pPr>
        <w:spacing w:after="17"/>
        <w:ind w:left="710"/>
      </w:pPr>
      <w:r>
        <w:rPr>
          <w:rFonts w:ascii="Arial" w:eastAsia="Arial" w:hAnsi="Arial" w:cs="Arial"/>
          <w:color w:val="FF0000"/>
          <w:sz w:val="20"/>
        </w:rPr>
        <w:t xml:space="preserve"> </w:t>
      </w:r>
    </w:p>
    <w:p w:rsidR="006C145C" w:rsidRDefault="00C62E5A">
      <w:pPr>
        <w:numPr>
          <w:ilvl w:val="1"/>
          <w:numId w:val="39"/>
        </w:numPr>
        <w:spacing w:after="8" w:line="269" w:lineRule="auto"/>
        <w:ind w:right="54" w:hanging="221"/>
        <w:jc w:val="both"/>
      </w:pPr>
      <w:r>
        <w:rPr>
          <w:rFonts w:ascii="Arial" w:eastAsia="Arial" w:hAnsi="Arial" w:cs="Arial"/>
          <w:color w:val="FF0000"/>
          <w:sz w:val="20"/>
        </w:rPr>
        <w:t xml:space="preserve">Módulo 1: Composição da Remuneração;  </w:t>
      </w:r>
    </w:p>
    <w:p w:rsidR="006C145C" w:rsidRDefault="00C62E5A">
      <w:pPr>
        <w:numPr>
          <w:ilvl w:val="1"/>
          <w:numId w:val="39"/>
        </w:numPr>
        <w:spacing w:after="11" w:line="269" w:lineRule="auto"/>
        <w:ind w:right="54" w:hanging="221"/>
        <w:jc w:val="both"/>
      </w:pPr>
      <w:r>
        <w:rPr>
          <w:rFonts w:ascii="Arial" w:eastAsia="Arial" w:hAnsi="Arial" w:cs="Arial"/>
          <w:color w:val="FF0000"/>
          <w:sz w:val="20"/>
        </w:rPr>
        <w:t xml:space="preserve">Submódulo 2.2: Encargos Previdenciários e FGTS;  </w:t>
      </w:r>
    </w:p>
    <w:p w:rsidR="006C145C" w:rsidRDefault="00C62E5A">
      <w:pPr>
        <w:numPr>
          <w:ilvl w:val="1"/>
          <w:numId w:val="39"/>
        </w:numPr>
        <w:spacing w:after="8" w:line="269" w:lineRule="auto"/>
        <w:ind w:right="54" w:hanging="221"/>
        <w:jc w:val="both"/>
      </w:pPr>
      <w:r>
        <w:rPr>
          <w:rFonts w:ascii="Arial" w:eastAsia="Arial" w:hAnsi="Arial" w:cs="Arial"/>
          <w:color w:val="FF0000"/>
          <w:sz w:val="20"/>
        </w:rPr>
        <w:t xml:space="preserve">Submódulo 2.3: Benefícios Mensais e Diários;  </w:t>
      </w:r>
    </w:p>
    <w:p w:rsidR="006C145C" w:rsidRDefault="00C62E5A">
      <w:pPr>
        <w:numPr>
          <w:ilvl w:val="1"/>
          <w:numId w:val="39"/>
        </w:numPr>
        <w:spacing w:after="8" w:line="269" w:lineRule="auto"/>
        <w:ind w:right="54" w:hanging="221"/>
        <w:jc w:val="both"/>
      </w:pPr>
      <w:r>
        <w:rPr>
          <w:rFonts w:ascii="Arial" w:eastAsia="Arial" w:hAnsi="Arial" w:cs="Arial"/>
          <w:color w:val="FF0000"/>
          <w:sz w:val="20"/>
        </w:rPr>
        <w:t xml:space="preserve">Submódulo 4.2: Substituto na Intrajornada;  </w:t>
      </w:r>
    </w:p>
    <w:p w:rsidR="006C145C" w:rsidRDefault="00C62E5A">
      <w:pPr>
        <w:numPr>
          <w:ilvl w:val="1"/>
          <w:numId w:val="39"/>
        </w:numPr>
        <w:spacing w:after="8" w:line="269" w:lineRule="auto"/>
        <w:ind w:right="54" w:hanging="221"/>
        <w:jc w:val="both"/>
      </w:pPr>
      <w:r>
        <w:rPr>
          <w:rFonts w:ascii="Arial" w:eastAsia="Arial" w:hAnsi="Arial" w:cs="Arial"/>
          <w:color w:val="FF0000"/>
          <w:sz w:val="20"/>
        </w:rPr>
        <w:t xml:space="preserve">Módulo 5: Insumos; e  </w:t>
      </w:r>
    </w:p>
    <w:p w:rsidR="006C145C" w:rsidRDefault="00C62E5A">
      <w:pPr>
        <w:numPr>
          <w:ilvl w:val="1"/>
          <w:numId w:val="39"/>
        </w:numPr>
        <w:spacing w:after="9" w:line="269" w:lineRule="auto"/>
        <w:ind w:right="54" w:hanging="221"/>
        <w:jc w:val="both"/>
      </w:pPr>
      <w:r>
        <w:rPr>
          <w:rFonts w:ascii="Arial" w:eastAsia="Arial" w:hAnsi="Arial" w:cs="Arial"/>
          <w:color w:val="FF0000"/>
          <w:sz w:val="20"/>
        </w:rPr>
        <w:t xml:space="preserve">Módulo 6: Custos Indiretos, Tributos e Lucro (CITL), que será calculado tendo por base as alíneas acima.  </w:t>
      </w:r>
    </w:p>
    <w:p w:rsidR="006C145C" w:rsidRDefault="00C62E5A">
      <w:pPr>
        <w:numPr>
          <w:ilvl w:val="1"/>
          <w:numId w:val="38"/>
        </w:numPr>
        <w:spacing w:after="9" w:line="269" w:lineRule="auto"/>
        <w:ind w:right="54" w:hanging="10"/>
        <w:jc w:val="both"/>
      </w:pPr>
      <w:r>
        <w:rPr>
          <w:rFonts w:ascii="Arial" w:eastAsia="Arial" w:hAnsi="Arial" w:cs="Arial"/>
          <w:color w:val="FF0000"/>
          <w:sz w:val="20"/>
        </w:rPr>
        <w:t>Os valores referentes a férias, 1/3 (um terço) de férias previsto na Constituição, 13º (décimo terceiro) salários, ausências l</w:t>
      </w:r>
      <w:r>
        <w:rPr>
          <w:rFonts w:ascii="Arial" w:eastAsia="Arial" w:hAnsi="Arial" w:cs="Arial"/>
          <w:color w:val="FF0000"/>
          <w:sz w:val="20"/>
        </w:rPr>
        <w:t xml:space="preserve">egais, verbas rescisórias, devidos aos trabalhadores, bem como outros de evento futuro e incerto, não serão parte integrante dos pagamentos mensais à contratada, devendo ser pagos pela Administração à contratada somente na ocorrência do seu fato gerador;  </w:t>
      </w:r>
    </w:p>
    <w:p w:rsidR="006C145C" w:rsidRDefault="00C62E5A">
      <w:pPr>
        <w:numPr>
          <w:ilvl w:val="1"/>
          <w:numId w:val="38"/>
        </w:numPr>
        <w:spacing w:after="6" w:line="269" w:lineRule="auto"/>
        <w:ind w:right="54" w:hanging="10"/>
        <w:jc w:val="both"/>
      </w:pPr>
      <w:r>
        <w:rPr>
          <w:rFonts w:ascii="Arial" w:eastAsia="Arial" w:hAnsi="Arial" w:cs="Arial"/>
          <w:color w:val="FF0000"/>
          <w:sz w:val="20"/>
        </w:rPr>
        <w:t xml:space="preserve">As verbas discriminadas na forma da alínea “b” acima somente serão liberadas nas seguintes condições: </w:t>
      </w:r>
    </w:p>
    <w:p w:rsidR="006C145C" w:rsidRDefault="00C62E5A">
      <w:pPr>
        <w:spacing w:after="6" w:line="269" w:lineRule="auto"/>
        <w:ind w:left="720" w:right="54" w:hanging="10"/>
        <w:jc w:val="both"/>
      </w:pPr>
      <w:r>
        <w:rPr>
          <w:rFonts w:ascii="Arial" w:eastAsia="Arial" w:hAnsi="Arial" w:cs="Arial"/>
          <w:color w:val="FF0000"/>
          <w:sz w:val="20"/>
        </w:rPr>
        <w:t xml:space="preserve">c.1. pelo valor correspondente ao 13º (décimo terceiro) salário dos empregados vinculados ao contrato, quando devido; </w:t>
      </w:r>
    </w:p>
    <w:p w:rsidR="006C145C" w:rsidRDefault="00C62E5A">
      <w:pPr>
        <w:spacing w:after="8" w:line="269" w:lineRule="auto"/>
        <w:ind w:left="720" w:right="54" w:hanging="10"/>
        <w:jc w:val="both"/>
      </w:pPr>
      <w:r>
        <w:rPr>
          <w:rFonts w:ascii="Arial" w:eastAsia="Arial" w:hAnsi="Arial" w:cs="Arial"/>
          <w:color w:val="FF0000"/>
          <w:sz w:val="20"/>
        </w:rPr>
        <w:t>c.2. pelo valor correspondente às</w:t>
      </w:r>
      <w:r>
        <w:rPr>
          <w:rFonts w:ascii="Arial" w:eastAsia="Arial" w:hAnsi="Arial" w:cs="Arial"/>
          <w:color w:val="FF0000"/>
          <w:sz w:val="20"/>
        </w:rPr>
        <w:t xml:space="preserve"> férias e a 1/3 (um terço) de férias previsto na Constituição, quando do gozo de férias pelos empregados vinculados ao contrato; </w:t>
      </w:r>
    </w:p>
    <w:p w:rsidR="006C145C" w:rsidRDefault="00C62E5A">
      <w:pPr>
        <w:spacing w:after="6" w:line="269" w:lineRule="auto"/>
        <w:ind w:left="720" w:right="54" w:hanging="10"/>
        <w:jc w:val="both"/>
      </w:pPr>
      <w:r>
        <w:rPr>
          <w:rFonts w:ascii="Arial" w:eastAsia="Arial" w:hAnsi="Arial" w:cs="Arial"/>
          <w:color w:val="FF0000"/>
          <w:sz w:val="20"/>
        </w:rPr>
        <w:t>c.3. pelo valor correspondente ao 13º (décimo terceiro) salário proporcional, férias proporcionais e à indenização compensatór</w:t>
      </w:r>
      <w:r>
        <w:rPr>
          <w:rFonts w:ascii="Arial" w:eastAsia="Arial" w:hAnsi="Arial" w:cs="Arial"/>
          <w:color w:val="FF0000"/>
          <w:sz w:val="20"/>
        </w:rPr>
        <w:t xml:space="preserve">ia porventura devida sobre o FGTS, quando da dispensa de empregado vinculado ao contrato; </w:t>
      </w:r>
    </w:p>
    <w:p w:rsidR="006C145C" w:rsidRDefault="00C62E5A">
      <w:pPr>
        <w:spacing w:after="131" w:line="269" w:lineRule="auto"/>
        <w:ind w:left="720" w:right="54" w:hanging="10"/>
        <w:jc w:val="both"/>
      </w:pPr>
      <w:r>
        <w:rPr>
          <w:rFonts w:ascii="Arial" w:eastAsia="Arial" w:hAnsi="Arial" w:cs="Arial"/>
          <w:color w:val="FF0000"/>
          <w:sz w:val="20"/>
        </w:rPr>
        <w:t xml:space="preserve">c.4. pelos valores correspondentes às ausências legais efetivamente ocorridas dos empregados vinculados ao contrato; e </w:t>
      </w:r>
    </w:p>
    <w:p w:rsidR="006C145C" w:rsidRDefault="00C62E5A">
      <w:pPr>
        <w:spacing w:after="18" w:line="269" w:lineRule="auto"/>
        <w:ind w:left="1004" w:right="54" w:hanging="10"/>
        <w:jc w:val="both"/>
      </w:pPr>
      <w:r>
        <w:rPr>
          <w:rFonts w:ascii="Arial" w:eastAsia="Arial" w:hAnsi="Arial" w:cs="Arial"/>
          <w:color w:val="FF0000"/>
          <w:sz w:val="20"/>
        </w:rPr>
        <w:t xml:space="preserve">c.5. outras de evento futuro e incerto, após efetivamente ocorridas, pelos seus valores correspondentes.  </w:t>
      </w:r>
    </w:p>
    <w:p w:rsidR="006C145C" w:rsidRDefault="00C62E5A">
      <w:pPr>
        <w:spacing w:after="484" w:line="269" w:lineRule="auto"/>
        <w:ind w:left="294" w:right="54" w:hanging="10"/>
        <w:jc w:val="both"/>
      </w:pPr>
      <w:r>
        <w:rPr>
          <w:rFonts w:ascii="Arial" w:eastAsia="Arial" w:hAnsi="Arial" w:cs="Arial"/>
          <w:color w:val="FF0000"/>
          <w:sz w:val="20"/>
        </w:rPr>
        <w:t>19.2 A não ocorrência dos fatos geradores discriminados na alínea “b” acima não gera direito adquirido para a contratada das referidas verbas ao fina</w:t>
      </w:r>
      <w:r>
        <w:rPr>
          <w:rFonts w:ascii="Arial" w:eastAsia="Arial" w:hAnsi="Arial" w:cs="Arial"/>
          <w:color w:val="FF0000"/>
          <w:sz w:val="20"/>
        </w:rPr>
        <w:t xml:space="preserve">l da vigência do contrato, devendo o pagamento seguir as regras previstas neste termo de referência e demais anexos do edital. </w:t>
      </w:r>
    </w:p>
    <w:p w:rsidR="006C145C" w:rsidRDefault="00C62E5A">
      <w:pPr>
        <w:pStyle w:val="Ttulo2"/>
        <w:tabs>
          <w:tab w:val="center" w:pos="3664"/>
        </w:tabs>
        <w:spacing w:after="21"/>
        <w:ind w:left="0" w:firstLine="0"/>
        <w:jc w:val="left"/>
      </w:pPr>
      <w:r>
        <w:lastRenderedPageBreak/>
        <w:t xml:space="preserve">20 </w:t>
      </w:r>
      <w:r>
        <w:tab/>
      </w:r>
      <w:r>
        <w:rPr>
          <w:color w:val="FF0000"/>
        </w:rPr>
        <w:t xml:space="preserve">DO REAJUSTAMENTO DE PREÇOS EM SENTIDO AMPLO (REPACTUAÇÃO) </w:t>
      </w:r>
    </w:p>
    <w:p w:rsidR="006C145C" w:rsidRDefault="00C62E5A">
      <w:pPr>
        <w:spacing w:after="9"/>
        <w:ind w:left="142"/>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4" w:line="250" w:lineRule="auto"/>
        <w:ind w:left="152" w:right="56" w:hanging="10"/>
        <w:jc w:val="both"/>
      </w:pPr>
      <w:r>
        <w:rPr>
          <w:rFonts w:ascii="Arial" w:eastAsia="Arial" w:hAnsi="Arial" w:cs="Arial"/>
          <w:b/>
          <w:sz w:val="20"/>
        </w:rPr>
        <w:t>Nota Explicativa:</w:t>
      </w:r>
      <w:r>
        <w:rPr>
          <w:rFonts w:ascii="Arial" w:eastAsia="Arial" w:hAnsi="Arial" w:cs="Arial"/>
          <w:sz w:val="20"/>
        </w:rPr>
        <w:t xml:space="preserve"> </w:t>
      </w:r>
      <w:r>
        <w:rPr>
          <w:rFonts w:ascii="Arial" w:eastAsia="Arial" w:hAnsi="Arial" w:cs="Arial"/>
          <w:i/>
          <w:sz w:val="20"/>
        </w:rPr>
        <w:t xml:space="preserve">A Administração deverá optar, de forma justificada, por apenas </w:t>
      </w:r>
      <w:r>
        <w:rPr>
          <w:rFonts w:ascii="Arial" w:eastAsia="Arial" w:hAnsi="Arial" w:cs="Arial"/>
          <w:b/>
          <w:i/>
          <w:sz w:val="20"/>
        </w:rPr>
        <w:t xml:space="preserve">uma </w:t>
      </w:r>
      <w:r>
        <w:rPr>
          <w:rFonts w:ascii="Arial" w:eastAsia="Arial" w:hAnsi="Arial" w:cs="Arial"/>
          <w:i/>
          <w:sz w:val="20"/>
        </w:rPr>
        <w:t>das sugestões de redação descritas neste item do Termo de Referência, relativas aos seguintes mecanismos de reajustamento: i) repactuação dos preços do contrato administrativo, nas situaçõe</w:t>
      </w:r>
      <w:r>
        <w:rPr>
          <w:rFonts w:ascii="Arial" w:eastAsia="Arial" w:hAnsi="Arial" w:cs="Arial"/>
          <w:i/>
          <w:sz w:val="20"/>
        </w:rPr>
        <w:t xml:space="preserve">s que se amoldem ao art. 12 do Decreto n.º 9.507, de 2018, e aos arts. 54 a 60 da IN SEGES/MP n.º 05/2017; </w:t>
      </w:r>
      <w:r>
        <w:rPr>
          <w:rFonts w:ascii="Arial" w:eastAsia="Arial" w:hAnsi="Arial" w:cs="Arial"/>
          <w:b/>
          <w:i/>
          <w:sz w:val="20"/>
        </w:rPr>
        <w:t>ou,</w:t>
      </w:r>
      <w:r>
        <w:rPr>
          <w:rFonts w:ascii="Arial" w:eastAsia="Arial" w:hAnsi="Arial" w:cs="Arial"/>
          <w:i/>
          <w:sz w:val="20"/>
        </w:rPr>
        <w:t xml:space="preserve"> </w:t>
      </w:r>
      <w:r>
        <w:rPr>
          <w:rFonts w:ascii="Arial" w:eastAsia="Arial" w:hAnsi="Arial" w:cs="Arial"/>
          <w:b/>
          <w:i/>
          <w:sz w:val="20"/>
        </w:rPr>
        <w:t>alternativamente,</w:t>
      </w:r>
      <w:r>
        <w:rPr>
          <w:rFonts w:ascii="Arial" w:eastAsia="Arial" w:hAnsi="Arial" w:cs="Arial"/>
          <w:i/>
          <w:sz w:val="20"/>
        </w:rPr>
        <w:t xml:space="preserve"> ii) reajuste em sentido estrito dos preços contratados, mediante a aplicação de índices oficiais, caso se trate da hipótese pre</w:t>
      </w:r>
      <w:r>
        <w:rPr>
          <w:rFonts w:ascii="Arial" w:eastAsia="Arial" w:hAnsi="Arial" w:cs="Arial"/>
          <w:i/>
          <w:sz w:val="20"/>
        </w:rPr>
        <w:t xml:space="preserve">vista no art. 13, § 2º, do Decreto n.º 9.507, de 2018, e no art. 61, § 4º, da IN SEGES/MP n.º 05/2017.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4" w:line="250" w:lineRule="auto"/>
        <w:ind w:left="152" w:right="56" w:hanging="10"/>
        <w:jc w:val="both"/>
      </w:pPr>
      <w:r>
        <w:rPr>
          <w:rFonts w:ascii="Arial" w:eastAsia="Arial" w:hAnsi="Arial" w:cs="Arial"/>
          <w:i/>
          <w:sz w:val="20"/>
        </w:rPr>
        <w:t>Como se sabe, a repactuação de preços, por meio da análise e demonstração da variação dos custos contratuais, a partir de um ano após a data limite para</w:t>
      </w:r>
      <w:r>
        <w:rPr>
          <w:rFonts w:ascii="Arial" w:eastAsia="Arial" w:hAnsi="Arial" w:cs="Arial"/>
          <w:i/>
          <w:sz w:val="20"/>
        </w:rPr>
        <w:t xml:space="preserve"> apresentação das propostas, para os custos decorrentes do mercado, e da data vinculada ao Acordo ou à Convenção Coletiva ao qual o orçamento esteja vinculado, para os custos decorrentes da mão de obra, em regra, é o mecanismo de reajustamento utilizado na</w:t>
      </w:r>
      <w:r>
        <w:rPr>
          <w:rFonts w:ascii="Arial" w:eastAsia="Arial" w:hAnsi="Arial" w:cs="Arial"/>
          <w:i/>
          <w:sz w:val="20"/>
        </w:rPr>
        <w:t>s contratações de serviços continuados com regime de dedicação exclusiva de mão de obra. Já o reajuste em sentido estrito, por meio da exclusiva aplicação de índices oficiais estabelecidos no contrato, destina-se, em regra, ao reajustamento de contratos de</w:t>
      </w:r>
      <w:r>
        <w:rPr>
          <w:rFonts w:ascii="Arial" w:eastAsia="Arial" w:hAnsi="Arial" w:cs="Arial"/>
          <w:i/>
          <w:sz w:val="20"/>
        </w:rPr>
        <w:t xml:space="preserve"> serviços continuados executados sem dedicação exclusiva de mão de obra.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4" w:line="250" w:lineRule="auto"/>
        <w:ind w:left="152" w:right="56" w:hanging="10"/>
        <w:jc w:val="both"/>
      </w:pPr>
      <w:r>
        <w:rPr>
          <w:rFonts w:ascii="Arial" w:eastAsia="Arial" w:hAnsi="Arial" w:cs="Arial"/>
          <w:i/>
          <w:sz w:val="20"/>
        </w:rPr>
        <w:t>A IN SEGES/MP n.º 05/2017, em seu art. 61, § 1º, admite-se a estipulação de reajuste em sentido estrito nos contratos de prazo de duração igual ou superior a um ano, desde que não h</w:t>
      </w:r>
      <w:r>
        <w:rPr>
          <w:rFonts w:ascii="Arial" w:eastAsia="Arial" w:hAnsi="Arial" w:cs="Arial"/>
          <w:i/>
          <w:sz w:val="20"/>
        </w:rPr>
        <w:t>aja regime de dedicação exclusiva de mão de obra. Essa disposição, isoladamente considerada, impediria, em tese, a adoção do reajuste por índices naquele tipo de contratação. Todavia, o mesmo art. 61 da IN, em seu § 4º, estabelece que “Nos casos em que o v</w:t>
      </w:r>
      <w:r>
        <w:rPr>
          <w:rFonts w:ascii="Arial" w:eastAsia="Arial" w:hAnsi="Arial" w:cs="Arial"/>
          <w:i/>
          <w:sz w:val="20"/>
        </w:rPr>
        <w:t xml:space="preserve">alor dos contratos de serviços continuados </w:t>
      </w:r>
      <w:r>
        <w:rPr>
          <w:rFonts w:ascii="Arial" w:eastAsia="Arial" w:hAnsi="Arial" w:cs="Arial"/>
          <w:b/>
          <w:i/>
          <w:sz w:val="20"/>
        </w:rPr>
        <w:t>sejam preponderantemente formados pelos custos dos insumos</w:t>
      </w:r>
      <w:r>
        <w:rPr>
          <w:rFonts w:ascii="Arial" w:eastAsia="Arial" w:hAnsi="Arial" w:cs="Arial"/>
          <w:i/>
          <w:sz w:val="20"/>
        </w:rPr>
        <w:t xml:space="preserve">, poderá ser adotado o reajuste de que trata este artigo”.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4" w:line="250" w:lineRule="auto"/>
        <w:ind w:left="152" w:right="56" w:hanging="10"/>
        <w:jc w:val="both"/>
      </w:pPr>
      <w:r>
        <w:rPr>
          <w:rFonts w:ascii="Arial" w:eastAsia="Arial" w:hAnsi="Arial" w:cs="Arial"/>
          <w:i/>
          <w:sz w:val="20"/>
        </w:rPr>
        <w:t xml:space="preserve">Tais disposições do art. 61 da IN SEGES/MP n.º 05/2017 foram reproduzidas no art. 13, § 1º e § </w:t>
      </w:r>
      <w:r>
        <w:rPr>
          <w:rFonts w:ascii="Arial" w:eastAsia="Arial" w:hAnsi="Arial" w:cs="Arial"/>
          <w:i/>
          <w:sz w:val="20"/>
        </w:rPr>
        <w:t xml:space="preserve">2º, do Decreto n.º 9.507, de 2018.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4" w:line="250" w:lineRule="auto"/>
        <w:ind w:left="152" w:right="56" w:hanging="10"/>
        <w:jc w:val="both"/>
      </w:pPr>
      <w:r>
        <w:rPr>
          <w:rFonts w:ascii="Arial" w:eastAsia="Arial" w:hAnsi="Arial" w:cs="Arial"/>
          <w:i/>
          <w:sz w:val="20"/>
        </w:rPr>
        <w:t>Sendo assim, nas situações que se amoldem ao art. 13, § 2º, do Decreto n.º 9.507, de 2018, e ao art. 61, § 4º, da IN SEGES/MP n.º 05/2017, ainda que o contrato de serviço continuado seja executado com regime de dedicaçã</w:t>
      </w:r>
      <w:r>
        <w:rPr>
          <w:rFonts w:ascii="Arial" w:eastAsia="Arial" w:hAnsi="Arial" w:cs="Arial"/>
          <w:i/>
          <w:sz w:val="20"/>
        </w:rPr>
        <w:t>o exclusiva de mão de obra, será possível a adoção exclusiva de reajuste em sentido estrito, em detrimento da repactuação, desde que os custos com insumos, e não com a mão de obra, prevaleçam no valor contratual dos serviços. Um bom exemplo da aplicação da</w:t>
      </w:r>
      <w:r>
        <w:rPr>
          <w:rFonts w:ascii="Arial" w:eastAsia="Arial" w:hAnsi="Arial" w:cs="Arial"/>
          <w:i/>
          <w:sz w:val="20"/>
        </w:rPr>
        <w:t xml:space="preserve"> norma consiste nas contratações de serviços de reprografia, nos quais é comum que, nada obstante haja regime de dedicação exclusiva (operador das máquinas), preponderem no valor total da contratação os custos com materiais e insumos (aquisição e manutençã</w:t>
      </w:r>
      <w:r>
        <w:rPr>
          <w:rFonts w:ascii="Arial" w:eastAsia="Arial" w:hAnsi="Arial" w:cs="Arial"/>
          <w:i/>
          <w:sz w:val="20"/>
        </w:rPr>
        <w:t xml:space="preserve">o das máquinas reprográficas). </w:t>
      </w:r>
      <w:r>
        <w:rPr>
          <w:rFonts w:ascii="Arial" w:eastAsia="Arial" w:hAnsi="Arial" w:cs="Arial"/>
          <w:sz w:val="20"/>
        </w:rPr>
        <w:t xml:space="preserve"> </w:t>
      </w:r>
    </w:p>
    <w:p w:rsidR="006C145C" w:rsidRDefault="00C62E5A">
      <w:pPr>
        <w:spacing w:after="9"/>
        <w:ind w:left="142"/>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147" w:line="250" w:lineRule="auto"/>
        <w:ind w:left="152" w:right="56" w:hanging="10"/>
        <w:jc w:val="both"/>
      </w:pPr>
      <w:r>
        <w:rPr>
          <w:rFonts w:ascii="Arial" w:eastAsia="Arial" w:hAnsi="Arial" w:cs="Arial"/>
          <w:b/>
          <w:sz w:val="20"/>
        </w:rPr>
        <w:t>Nota Explicativa</w:t>
      </w:r>
      <w:r>
        <w:rPr>
          <w:rFonts w:ascii="Arial" w:eastAsia="Arial" w:hAnsi="Arial" w:cs="Arial"/>
          <w:sz w:val="20"/>
        </w:rPr>
        <w:t xml:space="preserve">: </w:t>
      </w:r>
      <w:r>
        <w:rPr>
          <w:rFonts w:ascii="Arial" w:eastAsia="Arial" w:hAnsi="Arial" w:cs="Arial"/>
          <w:i/>
          <w:sz w:val="20"/>
        </w:rPr>
        <w:t xml:space="preserve">Caso se trate de situação que demande a repactuação de preços, deverão ser adotados os itens dispostos a seguir.  </w:t>
      </w:r>
    </w:p>
    <w:p w:rsidR="006C145C" w:rsidRDefault="00C62E5A">
      <w:pPr>
        <w:spacing w:after="131" w:line="269" w:lineRule="auto"/>
        <w:ind w:left="554" w:right="54" w:hanging="569"/>
        <w:jc w:val="both"/>
      </w:pPr>
      <w:r>
        <w:rPr>
          <w:rFonts w:ascii="Arial" w:eastAsia="Arial" w:hAnsi="Arial" w:cs="Arial"/>
          <w:sz w:val="20"/>
        </w:rPr>
        <w:t xml:space="preserve">20.1 </w:t>
      </w:r>
      <w:r>
        <w:rPr>
          <w:rFonts w:ascii="Arial" w:eastAsia="Arial" w:hAnsi="Arial" w:cs="Arial"/>
          <w:color w:val="FF0000"/>
          <w:sz w:val="20"/>
        </w:rPr>
        <w:t xml:space="preserve">Visando à adequação aos novos preços praticados no mercado, desde que solicitado pela CONTRATADA e observado o interregno mínimo de 1 (um) ano contado na forma apresentada no subitem que se seguirá, o valor consignado no Termo de Contrato será repactuado, </w:t>
      </w:r>
      <w:r>
        <w:rPr>
          <w:rFonts w:ascii="Arial" w:eastAsia="Arial" w:hAnsi="Arial" w:cs="Arial"/>
          <w:color w:val="FF0000"/>
          <w:sz w:val="20"/>
        </w:rPr>
        <w:t xml:space="preserve">competindo à CONTRATADA justificar e comprovar a variação dos custos, apresentando memória de cálculo e planilhas apropriadas para análise e posterior aprovação da CONTRATANTE, na forma  estatuída no Decreto n° 9.507, de 2018, e nas disposições aplicáveis </w:t>
      </w:r>
      <w:r>
        <w:rPr>
          <w:rFonts w:ascii="Arial" w:eastAsia="Arial" w:hAnsi="Arial" w:cs="Arial"/>
          <w:color w:val="FF0000"/>
          <w:sz w:val="20"/>
        </w:rPr>
        <w:t xml:space="preserve">da Instrução Normativa SEGES/MP n° 5, de 2017. </w:t>
      </w:r>
    </w:p>
    <w:p w:rsidR="006C145C" w:rsidRDefault="00C62E5A">
      <w:pPr>
        <w:spacing w:after="131" w:line="269" w:lineRule="auto"/>
        <w:ind w:left="494" w:right="54" w:hanging="509"/>
        <w:jc w:val="both"/>
      </w:pPr>
      <w:r>
        <w:rPr>
          <w:rFonts w:ascii="Arial" w:eastAsia="Arial" w:hAnsi="Arial" w:cs="Arial"/>
          <w:sz w:val="20"/>
        </w:rPr>
        <w:t xml:space="preserve">20.2 </w:t>
      </w:r>
      <w:r>
        <w:rPr>
          <w:rFonts w:ascii="Arial" w:eastAsia="Arial" w:hAnsi="Arial" w:cs="Arial"/>
          <w:color w:val="FF0000"/>
          <w:sz w:val="20"/>
        </w:rPr>
        <w:t>A repactuação poderá ser dividida em tantas parcelas quantas forem necessárias, em respeito ao princípio da anualidade do reajustamento dos preços da contratação, podendo ser realizada em momentos distin</w:t>
      </w:r>
      <w:r>
        <w:rPr>
          <w:rFonts w:ascii="Arial" w:eastAsia="Arial" w:hAnsi="Arial" w:cs="Arial"/>
          <w:color w:val="FF0000"/>
          <w:sz w:val="20"/>
        </w:rPr>
        <w:t xml:space="preserve">tos para discutir a variação de custos que tenham sua anualidade resultante em datas diferenciadas, tais como os custos decorrentes da mão de obra e os custos decorrentes dos insumos necessários à execução do serviço.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172" w:line="250" w:lineRule="auto"/>
        <w:ind w:left="519" w:right="56" w:hanging="10"/>
        <w:jc w:val="both"/>
      </w:pPr>
      <w:r>
        <w:rPr>
          <w:rFonts w:ascii="Arial" w:eastAsia="Arial" w:hAnsi="Arial" w:cs="Arial"/>
          <w:b/>
          <w:i/>
          <w:sz w:val="20"/>
        </w:rPr>
        <w:t>Nota Explicativa:</w:t>
      </w:r>
      <w:r>
        <w:rPr>
          <w:rFonts w:ascii="Arial" w:eastAsia="Arial" w:hAnsi="Arial" w:cs="Arial"/>
          <w:i/>
          <w:sz w:val="20"/>
        </w:rPr>
        <w:t xml:space="preserve"> Para fins de reajus</w:t>
      </w:r>
      <w:r>
        <w:rPr>
          <w:rFonts w:ascii="Arial" w:eastAsia="Arial" w:hAnsi="Arial" w:cs="Arial"/>
          <w:i/>
          <w:sz w:val="20"/>
        </w:rPr>
        <w:t xml:space="preserve">tamento contratual, consideram-se insumos os itens relativos a “uniformes, materiais, utensílios, suprimentos, máquinas, equipamentos, entre outros, utilizados diretamente na execução dos serviços”, nos termos da definição constante do Anexo I, item X, da </w:t>
      </w:r>
      <w:r>
        <w:rPr>
          <w:rFonts w:ascii="Arial" w:eastAsia="Arial" w:hAnsi="Arial" w:cs="Arial"/>
          <w:i/>
          <w:sz w:val="20"/>
        </w:rPr>
        <w:t xml:space="preserve">IN SEGES/MP n.º 05, de 2017.  </w:t>
      </w:r>
    </w:p>
    <w:p w:rsidR="006C145C" w:rsidRDefault="00C62E5A">
      <w:pPr>
        <w:spacing w:after="131" w:line="269" w:lineRule="auto"/>
        <w:ind w:left="-5" w:right="54" w:hanging="10"/>
        <w:jc w:val="both"/>
      </w:pPr>
      <w:r>
        <w:rPr>
          <w:rFonts w:ascii="Arial" w:eastAsia="Arial" w:hAnsi="Arial" w:cs="Arial"/>
          <w:sz w:val="20"/>
        </w:rPr>
        <w:t xml:space="preserve">20.3 </w:t>
      </w:r>
      <w:r>
        <w:rPr>
          <w:rFonts w:ascii="Arial" w:eastAsia="Arial" w:hAnsi="Arial" w:cs="Arial"/>
          <w:color w:val="FF0000"/>
          <w:sz w:val="20"/>
        </w:rPr>
        <w:t xml:space="preserve">O interregno mínimo de 1 (um) ano para a primeira repactuação será contado: </w:t>
      </w:r>
    </w:p>
    <w:p w:rsidR="006C145C" w:rsidRDefault="00C62E5A">
      <w:pPr>
        <w:spacing w:after="8" w:line="269" w:lineRule="auto"/>
        <w:ind w:left="507" w:right="54" w:hanging="10"/>
        <w:jc w:val="both"/>
      </w:pPr>
      <w:r>
        <w:rPr>
          <w:rFonts w:ascii="Arial" w:eastAsia="Arial" w:hAnsi="Arial" w:cs="Arial"/>
          <w:sz w:val="20"/>
        </w:rPr>
        <w:lastRenderedPageBreak/>
        <w:t xml:space="preserve">20.3.1 </w:t>
      </w:r>
      <w:r>
        <w:rPr>
          <w:rFonts w:ascii="Arial" w:eastAsia="Arial" w:hAnsi="Arial" w:cs="Arial"/>
          <w:color w:val="FF0000"/>
          <w:sz w:val="20"/>
        </w:rPr>
        <w:t xml:space="preserve">Para os custos relativos à mão de obra, vinculados à data-base da categoria profissional: </w:t>
      </w:r>
    </w:p>
    <w:p w:rsidR="006C145C" w:rsidRDefault="00C62E5A">
      <w:pPr>
        <w:spacing w:after="131" w:line="269" w:lineRule="auto"/>
        <w:ind w:left="1227" w:right="54" w:hanging="10"/>
        <w:jc w:val="both"/>
      </w:pPr>
      <w:r>
        <w:rPr>
          <w:rFonts w:ascii="Arial" w:eastAsia="Arial" w:hAnsi="Arial" w:cs="Arial"/>
          <w:color w:val="FF0000"/>
          <w:sz w:val="20"/>
        </w:rPr>
        <w:t xml:space="preserve">a partir dos efeitos financeiros do acordo, dissídio ou convenção coletiva de trabalho, vigente à época da apresentação da proposta, relativo a cada categoria profissional abrangida pelo contrato; </w:t>
      </w:r>
    </w:p>
    <w:p w:rsidR="006C145C" w:rsidRDefault="00C62E5A">
      <w:pPr>
        <w:spacing w:after="156" w:line="269" w:lineRule="auto"/>
        <w:ind w:left="1217" w:right="54" w:hanging="720"/>
        <w:jc w:val="both"/>
      </w:pPr>
      <w:r>
        <w:rPr>
          <w:rFonts w:ascii="Arial" w:eastAsia="Arial" w:hAnsi="Arial" w:cs="Arial"/>
          <w:sz w:val="20"/>
        </w:rPr>
        <w:t xml:space="preserve">20.3.2 </w:t>
      </w:r>
      <w:r>
        <w:rPr>
          <w:rFonts w:ascii="Arial" w:eastAsia="Arial" w:hAnsi="Arial" w:cs="Arial"/>
          <w:color w:val="FF0000"/>
          <w:sz w:val="20"/>
        </w:rPr>
        <w:t>Para os insumos discriminados na Planilha de Custos</w:t>
      </w:r>
      <w:r>
        <w:rPr>
          <w:rFonts w:ascii="Arial" w:eastAsia="Arial" w:hAnsi="Arial" w:cs="Arial"/>
          <w:color w:val="FF0000"/>
          <w:sz w:val="20"/>
        </w:rPr>
        <w:t xml:space="preserve"> e Formação de Preços que estejam diretamente vinculados ao valor de preço público (tarifa): do último reajuste aprovado por autoridade governamental ou realizado por determinação legal ou normativa;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173" w:line="250" w:lineRule="auto"/>
        <w:ind w:left="519" w:right="56" w:hanging="10"/>
        <w:jc w:val="both"/>
      </w:pPr>
      <w:r>
        <w:rPr>
          <w:rFonts w:ascii="Arial" w:eastAsia="Arial" w:hAnsi="Arial" w:cs="Arial"/>
          <w:b/>
          <w:i/>
          <w:sz w:val="20"/>
        </w:rPr>
        <w:t>Nota explicativa:</w:t>
      </w:r>
      <w:r>
        <w:rPr>
          <w:rFonts w:ascii="Arial" w:eastAsia="Arial" w:hAnsi="Arial" w:cs="Arial"/>
          <w:i/>
          <w:sz w:val="20"/>
        </w:rPr>
        <w:t xml:space="preserve"> Segundo a Orientação Normativa/SLTI/M</w:t>
      </w:r>
      <w:r>
        <w:rPr>
          <w:rFonts w:ascii="Arial" w:eastAsia="Arial" w:hAnsi="Arial" w:cs="Arial"/>
          <w:i/>
          <w:sz w:val="20"/>
        </w:rPr>
        <w:t>P nº 2, de 22 de agosto de 2014, a majoração da tarifa de transporte público gera a possibilidade de repactuação do item relativo aos valores pagos a título de vale-transporte. Nesse caso, o início da contagem do prazo de 01 (um) ano para a primeira repact</w:t>
      </w:r>
      <w:r>
        <w:rPr>
          <w:rFonts w:ascii="Arial" w:eastAsia="Arial" w:hAnsi="Arial" w:cs="Arial"/>
          <w:i/>
          <w:sz w:val="20"/>
        </w:rPr>
        <w:t>uação deve tomar por base a data do orçamento a que a proposta se referir, isto é, a data do último reajuste de tarifa de transporte público. Ademais, nessa hipótese, os efeitos financeiros da repactuação contratual devem viger a partir da efetiva modifica</w:t>
      </w:r>
      <w:r>
        <w:rPr>
          <w:rFonts w:ascii="Arial" w:eastAsia="Arial" w:hAnsi="Arial" w:cs="Arial"/>
          <w:i/>
          <w:sz w:val="20"/>
        </w:rPr>
        <w:t xml:space="preserve">ção do valor de tarifa de transporte público. </w:t>
      </w:r>
    </w:p>
    <w:p w:rsidR="006C145C" w:rsidRDefault="00C62E5A">
      <w:pPr>
        <w:spacing w:after="131" w:line="269" w:lineRule="auto"/>
        <w:ind w:left="1217" w:right="54" w:hanging="720"/>
        <w:jc w:val="both"/>
      </w:pPr>
      <w:r>
        <w:rPr>
          <w:rFonts w:ascii="Arial" w:eastAsia="Arial" w:hAnsi="Arial" w:cs="Arial"/>
          <w:sz w:val="20"/>
        </w:rPr>
        <w:t xml:space="preserve">20.3.3 </w:t>
      </w:r>
      <w:r>
        <w:rPr>
          <w:rFonts w:ascii="Arial" w:eastAsia="Arial" w:hAnsi="Arial" w:cs="Arial"/>
          <w:color w:val="FF0000"/>
          <w:sz w:val="20"/>
        </w:rPr>
        <w:t xml:space="preserve">Para os demais custos, sujeitos à variação de preços do mercado (insumos não decorrentes da mão de obra): a partir da data limite para apresentação das propostas constante do Edital. </w:t>
      </w:r>
    </w:p>
    <w:p w:rsidR="006C145C" w:rsidRDefault="00C62E5A">
      <w:pPr>
        <w:spacing w:after="131" w:line="269" w:lineRule="auto"/>
        <w:ind w:left="494" w:right="54" w:hanging="509"/>
        <w:jc w:val="both"/>
      </w:pPr>
      <w:r>
        <w:rPr>
          <w:rFonts w:ascii="Arial" w:eastAsia="Arial" w:hAnsi="Arial" w:cs="Arial"/>
          <w:sz w:val="20"/>
        </w:rPr>
        <w:t xml:space="preserve">20.4 </w:t>
      </w:r>
      <w:r>
        <w:rPr>
          <w:rFonts w:ascii="Arial" w:eastAsia="Arial" w:hAnsi="Arial" w:cs="Arial"/>
          <w:color w:val="FF0000"/>
          <w:sz w:val="20"/>
        </w:rPr>
        <w:t>Nas repactuaç</w:t>
      </w:r>
      <w:r>
        <w:rPr>
          <w:rFonts w:ascii="Arial" w:eastAsia="Arial" w:hAnsi="Arial" w:cs="Arial"/>
          <w:color w:val="FF0000"/>
          <w:sz w:val="20"/>
        </w:rPr>
        <w:t>ões subsequentes à primeira, o interregno de um ano será computado da última repactuação correspondente à mesma parcela objeto de nova solicitação. Entende-se como última repactuação, a data em que iniciados seus efeitos financeiros, independentemente daqu</w:t>
      </w:r>
      <w:r>
        <w:rPr>
          <w:rFonts w:ascii="Arial" w:eastAsia="Arial" w:hAnsi="Arial" w:cs="Arial"/>
          <w:color w:val="FF0000"/>
          <w:sz w:val="20"/>
        </w:rPr>
        <w:t xml:space="preserve">ela em que celebrada ou apostilada.  </w:t>
      </w:r>
    </w:p>
    <w:p w:rsidR="006C145C" w:rsidRDefault="00C62E5A">
      <w:pPr>
        <w:spacing w:after="131" w:line="269" w:lineRule="auto"/>
        <w:ind w:left="494" w:right="54" w:hanging="509"/>
        <w:jc w:val="both"/>
      </w:pPr>
      <w:r>
        <w:rPr>
          <w:rFonts w:ascii="Arial" w:eastAsia="Arial" w:hAnsi="Arial" w:cs="Arial"/>
          <w:sz w:val="20"/>
        </w:rPr>
        <w:t xml:space="preserve">20.5 </w:t>
      </w:r>
      <w:r>
        <w:rPr>
          <w:rFonts w:ascii="Arial" w:eastAsia="Arial" w:hAnsi="Arial" w:cs="Arial"/>
          <w:color w:val="FF0000"/>
          <w:sz w:val="20"/>
        </w:rPr>
        <w:t>O prazo para a CONTRATADA solicitar a repactuação encerra-se na data da prorrogação contratual subsequente ao novo acordo, dissídio ou convenção coletiva que fixar os novos custos de mão de obra da categoria profi</w:t>
      </w:r>
      <w:r>
        <w:rPr>
          <w:rFonts w:ascii="Arial" w:eastAsia="Arial" w:hAnsi="Arial" w:cs="Arial"/>
          <w:color w:val="FF0000"/>
          <w:sz w:val="20"/>
        </w:rPr>
        <w:t xml:space="preserve">ssional abrangida pelo contrato, ou na data do encerramento da vigência do contrato, caso não haja prorrogação. </w:t>
      </w:r>
    </w:p>
    <w:p w:rsidR="006C145C" w:rsidRDefault="00C62E5A">
      <w:pPr>
        <w:spacing w:after="131" w:line="269" w:lineRule="auto"/>
        <w:ind w:left="494" w:right="54" w:hanging="509"/>
        <w:jc w:val="both"/>
      </w:pPr>
      <w:r>
        <w:rPr>
          <w:rFonts w:ascii="Arial" w:eastAsia="Arial" w:hAnsi="Arial" w:cs="Arial"/>
          <w:sz w:val="20"/>
        </w:rPr>
        <w:t xml:space="preserve">20.6 </w:t>
      </w:r>
      <w:r>
        <w:rPr>
          <w:rFonts w:ascii="Arial" w:eastAsia="Arial" w:hAnsi="Arial" w:cs="Arial"/>
          <w:color w:val="FF0000"/>
          <w:sz w:val="20"/>
        </w:rPr>
        <w:t>Caso a CONTRATADA não solicite a repactuação tempestivamente, dentro do prazo acima fixado, ocorrerá a preclusão do direito à repactuação.</w:t>
      </w:r>
      <w:r>
        <w:rPr>
          <w:rFonts w:ascii="Arial" w:eastAsia="Arial" w:hAnsi="Arial" w:cs="Arial"/>
          <w:color w:val="FF0000"/>
          <w:sz w:val="20"/>
        </w:rPr>
        <w:t xml:space="preserve"> </w:t>
      </w:r>
    </w:p>
    <w:p w:rsidR="006C145C" w:rsidRDefault="00C62E5A">
      <w:pPr>
        <w:spacing w:after="131" w:line="269" w:lineRule="auto"/>
        <w:ind w:left="494" w:right="54" w:hanging="509"/>
        <w:jc w:val="both"/>
      </w:pPr>
      <w:r>
        <w:rPr>
          <w:rFonts w:ascii="Arial" w:eastAsia="Arial" w:hAnsi="Arial" w:cs="Arial"/>
          <w:sz w:val="20"/>
        </w:rPr>
        <w:t xml:space="preserve">20.7 </w:t>
      </w:r>
      <w:r>
        <w:rPr>
          <w:rFonts w:ascii="Arial" w:eastAsia="Arial" w:hAnsi="Arial" w:cs="Arial"/>
          <w:color w:val="FF0000"/>
          <w:sz w:val="20"/>
        </w:rPr>
        <w:t xml:space="preserve">Nessas condições, se a vigência do contrato tiver sido prorrogada, nova repactuação só poderá ser pleiteada após o decurso de novo interregno mínimo de 1 (um) ano, contado: </w:t>
      </w:r>
    </w:p>
    <w:p w:rsidR="006C145C" w:rsidRDefault="00C62E5A">
      <w:pPr>
        <w:spacing w:after="131" w:line="269" w:lineRule="auto"/>
        <w:ind w:left="1217" w:right="54" w:hanging="720"/>
        <w:jc w:val="both"/>
      </w:pPr>
      <w:r>
        <w:rPr>
          <w:rFonts w:ascii="Arial" w:eastAsia="Arial" w:hAnsi="Arial" w:cs="Arial"/>
          <w:sz w:val="20"/>
        </w:rPr>
        <w:t xml:space="preserve">20.7.1 </w:t>
      </w:r>
      <w:r>
        <w:rPr>
          <w:rFonts w:ascii="Arial" w:eastAsia="Arial" w:hAnsi="Arial" w:cs="Arial"/>
          <w:color w:val="FF0000"/>
          <w:sz w:val="20"/>
        </w:rPr>
        <w:t xml:space="preserve">da vigência do acordo, dissídio ou convenção coletiva anterior, em relação aos custos decorrentes de mão de obra; </w:t>
      </w:r>
    </w:p>
    <w:p w:rsidR="006C145C" w:rsidRDefault="00C62E5A">
      <w:pPr>
        <w:spacing w:after="131" w:line="269" w:lineRule="auto"/>
        <w:ind w:left="1217" w:right="54" w:hanging="720"/>
        <w:jc w:val="both"/>
      </w:pPr>
      <w:r>
        <w:rPr>
          <w:rFonts w:ascii="Arial" w:eastAsia="Arial" w:hAnsi="Arial" w:cs="Arial"/>
          <w:sz w:val="20"/>
        </w:rPr>
        <w:t xml:space="preserve">20.7.2 </w:t>
      </w:r>
      <w:r>
        <w:rPr>
          <w:rFonts w:ascii="Arial" w:eastAsia="Arial" w:hAnsi="Arial" w:cs="Arial"/>
          <w:color w:val="FF0000"/>
          <w:sz w:val="20"/>
        </w:rPr>
        <w:t>do último reajuste aprovado por autoridade governamental ou realizado por determinação legal ou normativa, para os insumos discriminad</w:t>
      </w:r>
      <w:r>
        <w:rPr>
          <w:rFonts w:ascii="Arial" w:eastAsia="Arial" w:hAnsi="Arial" w:cs="Arial"/>
          <w:color w:val="FF0000"/>
          <w:sz w:val="20"/>
        </w:rPr>
        <w:t xml:space="preserve">os na planilha de custos e formação de preços que estejam diretamente vinculados ao valor de preço público (tarifa); </w:t>
      </w:r>
    </w:p>
    <w:p w:rsidR="006C145C" w:rsidRDefault="00C62E5A">
      <w:pPr>
        <w:spacing w:after="131" w:line="269" w:lineRule="auto"/>
        <w:ind w:left="1217" w:right="54" w:hanging="720"/>
        <w:jc w:val="both"/>
      </w:pPr>
      <w:r>
        <w:rPr>
          <w:rFonts w:ascii="Arial" w:eastAsia="Arial" w:hAnsi="Arial" w:cs="Arial"/>
          <w:sz w:val="20"/>
        </w:rPr>
        <w:t xml:space="preserve">20.7.3 </w:t>
      </w:r>
      <w:r>
        <w:rPr>
          <w:rFonts w:ascii="Arial" w:eastAsia="Arial" w:hAnsi="Arial" w:cs="Arial"/>
          <w:color w:val="FF0000"/>
          <w:sz w:val="20"/>
        </w:rPr>
        <w:t>do dia em que se completou um ou mais anos da apresentação da proposta, em relação aos custos sujeitos à variação de preços do merc</w:t>
      </w:r>
      <w:r>
        <w:rPr>
          <w:rFonts w:ascii="Arial" w:eastAsia="Arial" w:hAnsi="Arial" w:cs="Arial"/>
          <w:color w:val="FF0000"/>
          <w:sz w:val="20"/>
        </w:rPr>
        <w:t xml:space="preserve">ado; </w:t>
      </w:r>
    </w:p>
    <w:p w:rsidR="006C145C" w:rsidRDefault="00C62E5A">
      <w:pPr>
        <w:spacing w:after="131" w:line="269" w:lineRule="auto"/>
        <w:ind w:left="494" w:right="54" w:hanging="509"/>
        <w:jc w:val="both"/>
      </w:pPr>
      <w:r>
        <w:rPr>
          <w:rFonts w:ascii="Arial" w:eastAsia="Arial" w:hAnsi="Arial" w:cs="Arial"/>
          <w:sz w:val="20"/>
        </w:rPr>
        <w:t xml:space="preserve">20.8 </w:t>
      </w:r>
      <w:r>
        <w:rPr>
          <w:rFonts w:ascii="Arial" w:eastAsia="Arial" w:hAnsi="Arial" w:cs="Arial"/>
          <w:color w:val="FF0000"/>
          <w:sz w:val="20"/>
        </w:rPr>
        <w:t>Caso, na data da prorrogação contratual, ainda não tenha sido celebrado o novo acordo, dissídio ou convenção coletiva da categoria, ou ainda não tenha sido possível à CONTRATANTE ou à CONTRATADA proceder aos cálculos devidos, deverá ser inserida cláusula n</w:t>
      </w:r>
      <w:r>
        <w:rPr>
          <w:rFonts w:ascii="Arial" w:eastAsia="Arial" w:hAnsi="Arial" w:cs="Arial"/>
          <w:color w:val="FF0000"/>
          <w:sz w:val="20"/>
        </w:rPr>
        <w:t xml:space="preserve">o termo aditivo de prorrogação para resguardar o direito futuro à repactuação, a ser exercido tão logo se disponha dos valores reajustados, sob pena de preclusão.  </w:t>
      </w:r>
    </w:p>
    <w:p w:rsidR="006C145C" w:rsidRDefault="00C62E5A">
      <w:pPr>
        <w:spacing w:after="131" w:line="269" w:lineRule="auto"/>
        <w:ind w:left="494" w:right="54" w:hanging="509"/>
        <w:jc w:val="both"/>
      </w:pPr>
      <w:r>
        <w:rPr>
          <w:rFonts w:ascii="Arial" w:eastAsia="Arial" w:hAnsi="Arial" w:cs="Arial"/>
          <w:sz w:val="20"/>
        </w:rPr>
        <w:t xml:space="preserve">20.9 </w:t>
      </w:r>
      <w:r>
        <w:rPr>
          <w:rFonts w:ascii="Arial" w:eastAsia="Arial" w:hAnsi="Arial" w:cs="Arial"/>
          <w:color w:val="FF0000"/>
          <w:sz w:val="20"/>
        </w:rPr>
        <w:t>Quando a contratação envolver mais de uma categoria profissional, com datas base difer</w:t>
      </w:r>
      <w:r>
        <w:rPr>
          <w:rFonts w:ascii="Arial" w:eastAsia="Arial" w:hAnsi="Arial" w:cs="Arial"/>
          <w:color w:val="FF0000"/>
          <w:sz w:val="20"/>
        </w:rPr>
        <w:t xml:space="preserve">enciadas, a repactuação deverá ser dividida em tantas parcelas quantos forem os acordos, dissídios ou convenções coletivas das categorias envolvidas na contratação. </w:t>
      </w:r>
    </w:p>
    <w:p w:rsidR="006C145C" w:rsidRDefault="00C62E5A">
      <w:pPr>
        <w:spacing w:after="131" w:line="269" w:lineRule="auto"/>
        <w:ind w:left="494" w:right="54" w:hanging="509"/>
        <w:jc w:val="both"/>
      </w:pPr>
      <w:r>
        <w:rPr>
          <w:rFonts w:ascii="Arial" w:eastAsia="Arial" w:hAnsi="Arial" w:cs="Arial"/>
          <w:sz w:val="20"/>
        </w:rPr>
        <w:t xml:space="preserve">20.10 </w:t>
      </w:r>
      <w:r>
        <w:rPr>
          <w:rFonts w:ascii="Arial" w:eastAsia="Arial" w:hAnsi="Arial" w:cs="Arial"/>
          <w:color w:val="FF0000"/>
          <w:sz w:val="20"/>
        </w:rPr>
        <w:t>É vedada a inclusão, por ocasião da repactuação, de benefícios não previstos na prop</w:t>
      </w:r>
      <w:r>
        <w:rPr>
          <w:rFonts w:ascii="Arial" w:eastAsia="Arial" w:hAnsi="Arial" w:cs="Arial"/>
          <w:color w:val="FF0000"/>
          <w:sz w:val="20"/>
        </w:rPr>
        <w:t xml:space="preserve">osta inicial, exceto quando se tornarem obrigatórios por força de instrumento legal, sentença normativa, Acordo, Convenção e Dissídio Coletivo de Trabalho.   </w:t>
      </w:r>
    </w:p>
    <w:p w:rsidR="006C145C" w:rsidRDefault="00C62E5A">
      <w:pPr>
        <w:spacing w:after="120" w:line="277" w:lineRule="auto"/>
        <w:ind w:left="509" w:hanging="509"/>
      </w:pPr>
      <w:r>
        <w:rPr>
          <w:rFonts w:ascii="Arial" w:eastAsia="Arial" w:hAnsi="Arial" w:cs="Arial"/>
          <w:sz w:val="20"/>
        </w:rPr>
        <w:lastRenderedPageBreak/>
        <w:t xml:space="preserve">20.11 </w:t>
      </w:r>
      <w:r>
        <w:rPr>
          <w:rFonts w:ascii="Arial" w:eastAsia="Arial" w:hAnsi="Arial" w:cs="Arial"/>
          <w:color w:val="FF0000"/>
          <w:sz w:val="20"/>
        </w:rPr>
        <w:t>A CONTRATANTE não se vincula às disposições contidas em Acordos, Dissídios ou Convenções Co</w:t>
      </w:r>
      <w:r>
        <w:rPr>
          <w:rFonts w:ascii="Arial" w:eastAsia="Arial" w:hAnsi="Arial" w:cs="Arial"/>
          <w:color w:val="FF0000"/>
          <w:sz w:val="20"/>
        </w:rPr>
        <w:t>letivas que tratem do pagamento de participação dos trabalhadores nos lucros ou resultados da empresa contratada, de matéria não trabalhista, de obrigações e direitos que somente se aplicam aos contratos com a Administração Pública, ou que estabeleçam dire</w:t>
      </w:r>
      <w:r>
        <w:rPr>
          <w:rFonts w:ascii="Arial" w:eastAsia="Arial" w:hAnsi="Arial" w:cs="Arial"/>
          <w:color w:val="FF0000"/>
          <w:sz w:val="20"/>
        </w:rPr>
        <w:t xml:space="preserve">itos não previstos em lei, tais como valores ou índices obrigatórios de encargos sociais ou previdenciários, bem como de preços para os insumos relacionados ao exercício da atividade.  </w:t>
      </w:r>
    </w:p>
    <w:p w:rsidR="006C145C" w:rsidRDefault="00C62E5A">
      <w:pPr>
        <w:spacing w:after="131" w:line="269" w:lineRule="auto"/>
        <w:ind w:left="494" w:right="54" w:hanging="509"/>
        <w:jc w:val="both"/>
      </w:pPr>
      <w:r>
        <w:rPr>
          <w:rFonts w:ascii="Arial" w:eastAsia="Arial" w:hAnsi="Arial" w:cs="Arial"/>
          <w:sz w:val="20"/>
        </w:rPr>
        <w:t xml:space="preserve">20.12 </w:t>
      </w:r>
      <w:r>
        <w:rPr>
          <w:rFonts w:ascii="Arial" w:eastAsia="Arial" w:hAnsi="Arial" w:cs="Arial"/>
          <w:color w:val="FF0000"/>
          <w:sz w:val="20"/>
        </w:rPr>
        <w:t>Quando a repactuação se referir aos custos da mão de obra, a CON</w:t>
      </w:r>
      <w:r>
        <w:rPr>
          <w:rFonts w:ascii="Arial" w:eastAsia="Arial" w:hAnsi="Arial" w:cs="Arial"/>
          <w:color w:val="FF0000"/>
          <w:sz w:val="20"/>
        </w:rPr>
        <w:t xml:space="preserve">TRATADA efetuará a comprovação da variação dos custos dos serviços por meio de Planilha de Custos e Formação de Preços, acompanhada da apresentação do novo acordo, dissídio ou convenção coletiva da categoria profissional abrangida pelo contrato. </w:t>
      </w:r>
    </w:p>
    <w:p w:rsidR="006C145C" w:rsidRDefault="00C62E5A">
      <w:pPr>
        <w:spacing w:after="131" w:line="269" w:lineRule="auto"/>
        <w:ind w:left="494" w:right="54" w:hanging="509"/>
        <w:jc w:val="both"/>
      </w:pPr>
      <w:r>
        <w:rPr>
          <w:rFonts w:ascii="Arial" w:eastAsia="Arial" w:hAnsi="Arial" w:cs="Arial"/>
          <w:sz w:val="20"/>
        </w:rPr>
        <w:t xml:space="preserve">20.13 </w:t>
      </w:r>
      <w:r>
        <w:rPr>
          <w:rFonts w:ascii="Arial" w:eastAsia="Arial" w:hAnsi="Arial" w:cs="Arial"/>
          <w:color w:val="FF0000"/>
          <w:sz w:val="20"/>
        </w:rPr>
        <w:t>Qua</w:t>
      </w:r>
      <w:r>
        <w:rPr>
          <w:rFonts w:ascii="Arial" w:eastAsia="Arial" w:hAnsi="Arial" w:cs="Arial"/>
          <w:color w:val="FF0000"/>
          <w:sz w:val="20"/>
        </w:rPr>
        <w:t>ndo a repactuação se referir aos custos sujeitos à variação dos preços de mercado (insumos não decorrentes da mão de obra), a CONTRATADA demonstrará o respectivo aumento por meio de Planilha de Custos e Formação de Preços, considerando-se a aplicação do ín</w:t>
      </w:r>
      <w:r>
        <w:rPr>
          <w:rFonts w:ascii="Arial" w:eastAsia="Arial" w:hAnsi="Arial" w:cs="Arial"/>
          <w:color w:val="FF0000"/>
          <w:sz w:val="20"/>
        </w:rPr>
        <w:t xml:space="preserve">dice de reajustamento ______ </w:t>
      </w:r>
      <w:r>
        <w:rPr>
          <w:rFonts w:ascii="Arial" w:eastAsia="Arial" w:hAnsi="Arial" w:cs="Arial"/>
          <w:i/>
          <w:color w:val="FF0000"/>
          <w:sz w:val="20"/>
        </w:rPr>
        <w:t>(indicar o índice a ser adotado</w:t>
      </w:r>
      <w:r>
        <w:rPr>
          <w:rFonts w:ascii="Arial" w:eastAsia="Arial" w:hAnsi="Arial" w:cs="Arial"/>
          <w:color w:val="FF0000"/>
          <w:sz w:val="20"/>
        </w:rPr>
        <w:t xml:space="preserve">), mediante a aplicação da seguinte fórmula (art. 5º do Decreto n.º 1.054, de 1994):  </w:t>
      </w:r>
    </w:p>
    <w:p w:rsidR="006C145C" w:rsidRDefault="00C62E5A">
      <w:pPr>
        <w:spacing w:after="131" w:line="269" w:lineRule="auto"/>
        <w:ind w:left="1227" w:right="54" w:hanging="10"/>
        <w:jc w:val="both"/>
      </w:pPr>
      <w:r>
        <w:rPr>
          <w:rFonts w:ascii="Arial" w:eastAsia="Arial" w:hAnsi="Arial" w:cs="Arial"/>
          <w:color w:val="FF0000"/>
          <w:sz w:val="20"/>
        </w:rPr>
        <w:t xml:space="preserve">R = V (I – Iº) / Iº, onde: </w:t>
      </w:r>
    </w:p>
    <w:p w:rsidR="006C145C" w:rsidRDefault="00C62E5A">
      <w:pPr>
        <w:spacing w:after="131" w:line="269" w:lineRule="auto"/>
        <w:ind w:left="1227" w:right="54" w:hanging="10"/>
        <w:jc w:val="both"/>
      </w:pPr>
      <w:r>
        <w:rPr>
          <w:rFonts w:ascii="Arial" w:eastAsia="Arial" w:hAnsi="Arial" w:cs="Arial"/>
          <w:color w:val="FF0000"/>
          <w:sz w:val="20"/>
        </w:rPr>
        <w:t xml:space="preserve">R = Valor do reajuste procurado; </w:t>
      </w:r>
    </w:p>
    <w:p w:rsidR="006C145C" w:rsidRDefault="00C62E5A">
      <w:pPr>
        <w:spacing w:after="131" w:line="269" w:lineRule="auto"/>
        <w:ind w:left="1227" w:right="54" w:hanging="10"/>
        <w:jc w:val="both"/>
      </w:pPr>
      <w:r>
        <w:rPr>
          <w:rFonts w:ascii="Arial" w:eastAsia="Arial" w:hAnsi="Arial" w:cs="Arial"/>
          <w:color w:val="FF0000"/>
          <w:sz w:val="20"/>
        </w:rPr>
        <w:t>V = Valor contratual do serviço a ser reajustad</w:t>
      </w:r>
      <w:r>
        <w:rPr>
          <w:rFonts w:ascii="Arial" w:eastAsia="Arial" w:hAnsi="Arial" w:cs="Arial"/>
          <w:color w:val="FF0000"/>
          <w:sz w:val="20"/>
        </w:rPr>
        <w:t xml:space="preserve">o; </w:t>
      </w:r>
    </w:p>
    <w:p w:rsidR="006C145C" w:rsidRDefault="00C62E5A">
      <w:pPr>
        <w:spacing w:after="131" w:line="269" w:lineRule="auto"/>
        <w:ind w:left="1227" w:right="54" w:hanging="10"/>
        <w:jc w:val="both"/>
      </w:pPr>
      <w:r>
        <w:rPr>
          <w:rFonts w:ascii="Arial" w:eastAsia="Arial" w:hAnsi="Arial" w:cs="Arial"/>
          <w:color w:val="FF0000"/>
          <w:sz w:val="20"/>
        </w:rPr>
        <w:t xml:space="preserve">Iº = índice inicial - refere-se ao índice de custos ou de preços correspondente à data fixada para entrega da proposta da licitação; </w:t>
      </w:r>
    </w:p>
    <w:p w:rsidR="006C145C" w:rsidRDefault="00C62E5A">
      <w:pPr>
        <w:spacing w:after="0" w:line="269" w:lineRule="auto"/>
        <w:ind w:left="1227" w:right="54" w:hanging="10"/>
        <w:jc w:val="both"/>
      </w:pPr>
      <w:r>
        <w:rPr>
          <w:rFonts w:ascii="Arial" w:eastAsia="Arial" w:hAnsi="Arial" w:cs="Arial"/>
          <w:color w:val="FF0000"/>
          <w:sz w:val="20"/>
        </w:rPr>
        <w:t xml:space="preserve">I = Índice relativo ao mês do reajustamento; </w:t>
      </w:r>
    </w:p>
    <w:tbl>
      <w:tblPr>
        <w:tblStyle w:val="TableGrid"/>
        <w:tblW w:w="9219" w:type="dxa"/>
        <w:tblInd w:w="-29" w:type="dxa"/>
        <w:tblCellMar>
          <w:top w:w="27" w:type="dxa"/>
          <w:left w:w="29" w:type="dxa"/>
          <w:bottom w:w="0" w:type="dxa"/>
          <w:right w:w="0" w:type="dxa"/>
        </w:tblCellMar>
        <w:tblLook w:val="04A0" w:firstRow="1" w:lastRow="0" w:firstColumn="1" w:lastColumn="0" w:noHBand="0" w:noVBand="1"/>
      </w:tblPr>
      <w:tblGrid>
        <w:gridCol w:w="84"/>
        <w:gridCol w:w="9135"/>
      </w:tblGrid>
      <w:tr w:rsidR="006C145C">
        <w:trPr>
          <w:trHeight w:val="5009"/>
        </w:trPr>
        <w:tc>
          <w:tcPr>
            <w:tcW w:w="84" w:type="dxa"/>
            <w:tcBorders>
              <w:top w:val="single" w:sz="4" w:space="0" w:color="1F497D"/>
              <w:left w:val="single" w:sz="4" w:space="0" w:color="1F497D"/>
              <w:bottom w:val="single" w:sz="4" w:space="0" w:color="1F497D"/>
              <w:right w:val="nil"/>
            </w:tcBorders>
          </w:tcPr>
          <w:p w:rsidR="006C145C" w:rsidRDefault="006C145C"/>
        </w:tc>
        <w:tc>
          <w:tcPr>
            <w:tcW w:w="9135" w:type="dxa"/>
            <w:tcBorders>
              <w:top w:val="single" w:sz="4" w:space="0" w:color="1F497D"/>
              <w:left w:val="nil"/>
              <w:bottom w:val="single" w:sz="4" w:space="0" w:color="1F497D"/>
              <w:right w:val="single" w:sz="4" w:space="0" w:color="1F497D"/>
            </w:tcBorders>
            <w:shd w:val="clear" w:color="auto" w:fill="FFFFCC"/>
          </w:tcPr>
          <w:p w:rsidR="006C145C" w:rsidRDefault="00C62E5A">
            <w:pPr>
              <w:spacing w:after="120" w:line="242" w:lineRule="auto"/>
              <w:ind w:right="40"/>
              <w:jc w:val="both"/>
            </w:pPr>
            <w:r>
              <w:rPr>
                <w:rFonts w:ascii="Arial" w:eastAsia="Arial" w:hAnsi="Arial" w:cs="Arial"/>
                <w:b/>
                <w:i/>
                <w:sz w:val="20"/>
              </w:rPr>
              <w:t xml:space="preserve">Nota explicativa: </w:t>
            </w:r>
            <w:r>
              <w:rPr>
                <w:rFonts w:ascii="Arial" w:eastAsia="Arial" w:hAnsi="Arial" w:cs="Arial"/>
                <w:i/>
                <w:sz w:val="20"/>
              </w:rPr>
              <w:t>Os</w:t>
            </w:r>
            <w:r>
              <w:rPr>
                <w:rFonts w:ascii="Arial" w:eastAsia="Arial" w:hAnsi="Arial" w:cs="Arial"/>
                <w:b/>
                <w:i/>
                <w:sz w:val="20"/>
              </w:rPr>
              <w:t xml:space="preserve"> contratos </w:t>
            </w:r>
            <w:r>
              <w:rPr>
                <w:rFonts w:ascii="Arial" w:eastAsia="Arial" w:hAnsi="Arial" w:cs="Arial"/>
                <w:i/>
                <w:sz w:val="20"/>
              </w:rPr>
              <w:t xml:space="preserve">de serviços executados com dedicação exclusiva de mão de obra </w:t>
            </w:r>
            <w:r>
              <w:rPr>
                <w:rFonts w:ascii="Arial" w:eastAsia="Arial" w:hAnsi="Arial" w:cs="Arial"/>
                <w:b/>
                <w:i/>
                <w:sz w:val="20"/>
              </w:rPr>
              <w:t xml:space="preserve">possuem insumos de naturezas distintas, </w:t>
            </w:r>
            <w:r>
              <w:rPr>
                <w:rFonts w:ascii="Arial" w:eastAsia="Arial" w:hAnsi="Arial" w:cs="Arial"/>
                <w:i/>
                <w:sz w:val="20"/>
              </w:rPr>
              <w:t xml:space="preserve">decorrentes tanto dos custos da mão de obra e de seus reflexos como dos demais insumos necessários à execução do contrato.  </w:t>
            </w:r>
          </w:p>
          <w:p w:rsidR="006C145C" w:rsidRDefault="00C62E5A">
            <w:pPr>
              <w:spacing w:after="141" w:line="241" w:lineRule="auto"/>
              <w:ind w:right="36"/>
              <w:jc w:val="both"/>
            </w:pPr>
            <w:r>
              <w:rPr>
                <w:rFonts w:ascii="Arial" w:eastAsia="Arial" w:hAnsi="Arial" w:cs="Arial"/>
                <w:i/>
                <w:sz w:val="20"/>
              </w:rPr>
              <w:t>No Acórdão n.º 1214/2013 – Pl</w:t>
            </w:r>
            <w:r>
              <w:rPr>
                <w:rFonts w:ascii="Arial" w:eastAsia="Arial" w:hAnsi="Arial" w:cs="Arial"/>
                <w:i/>
                <w:sz w:val="20"/>
              </w:rPr>
              <w:t>enário, ao examinar a necessidade de realização de pesquisa de preços nas prorrogações dos contratos de serviços continuados com dedicação exclusiva de mão de obra, o TCU reconheceu expressamente essa diferenciação, demonstrando que os insumos não relacion</w:t>
            </w:r>
            <w:r>
              <w:rPr>
                <w:rFonts w:ascii="Arial" w:eastAsia="Arial" w:hAnsi="Arial" w:cs="Arial"/>
                <w:i/>
                <w:sz w:val="20"/>
              </w:rPr>
              <w:t>ados à mão de obra, passíveis de realização de pesquisa de preços, correspondem, em regra, “a no máximo 5% do orçamento total a ser licitado, como vem sendo demonstrado em licitações recentes”, de modo que não figuram entre os itens mais representativos da</w:t>
            </w:r>
            <w:r>
              <w:rPr>
                <w:rFonts w:ascii="Arial" w:eastAsia="Arial" w:hAnsi="Arial" w:cs="Arial"/>
                <w:i/>
                <w:sz w:val="20"/>
              </w:rPr>
              <w:t xml:space="preserve"> planilha de custos e formação de preços. Aliado a isso, registrou o TCU que:  </w:t>
            </w:r>
          </w:p>
          <w:p w:rsidR="006C145C" w:rsidRDefault="00C62E5A">
            <w:pPr>
              <w:spacing w:after="115" w:line="247" w:lineRule="auto"/>
              <w:ind w:right="35"/>
              <w:jc w:val="both"/>
            </w:pPr>
            <w:r>
              <w:rPr>
                <w:rFonts w:ascii="Arial" w:eastAsia="Arial" w:hAnsi="Arial" w:cs="Arial"/>
                <w:i/>
                <w:sz w:val="20"/>
              </w:rPr>
              <w:t xml:space="preserve">“[...] fazemos parte de uma economia estável, em que </w:t>
            </w:r>
            <w:r>
              <w:rPr>
                <w:rFonts w:ascii="Arial" w:eastAsia="Arial" w:hAnsi="Arial" w:cs="Arial"/>
                <w:b/>
                <w:i/>
                <w:sz w:val="20"/>
              </w:rPr>
              <w:t>a variação esperada é baixa e pode ser perfeitamente retratada mediante a utilização de índices nacionais, tal como o INPC</w:t>
            </w:r>
            <w:r>
              <w:rPr>
                <w:rFonts w:ascii="Arial" w:eastAsia="Arial" w:hAnsi="Arial" w:cs="Arial"/>
                <w:i/>
                <w:sz w:val="20"/>
              </w:rPr>
              <w:t>.</w:t>
            </w:r>
            <w:r>
              <w:rPr>
                <w:rFonts w:ascii="Arial" w:eastAsia="Arial" w:hAnsi="Arial" w:cs="Arial"/>
                <w:i/>
                <w:sz w:val="20"/>
              </w:rPr>
              <w:t xml:space="preserve"> Portanto, não há razão para efetuar pesquisa de mercado todas as vezes que é necessária a realização de prorrogação contratual, com todo o custo administrativo que representa. [...] É notório que o custo/prazo que será despendido para a realização de pesq</w:t>
            </w:r>
            <w:r>
              <w:rPr>
                <w:rFonts w:ascii="Arial" w:eastAsia="Arial" w:hAnsi="Arial" w:cs="Arial"/>
                <w:i/>
                <w:sz w:val="20"/>
              </w:rPr>
              <w:t xml:space="preserve">uisa de mercado para a prorrogação do contrato, além de impeditivo, não é aconselhável em vista da baixa representatividade desses itens no orçamento global”. </w:t>
            </w:r>
          </w:p>
          <w:p w:rsidR="006C145C" w:rsidRDefault="00C62E5A">
            <w:pPr>
              <w:spacing w:after="0"/>
              <w:ind w:right="36"/>
              <w:jc w:val="both"/>
            </w:pPr>
            <w:r>
              <w:rPr>
                <w:rFonts w:ascii="Arial" w:eastAsia="Arial" w:hAnsi="Arial" w:cs="Arial"/>
                <w:i/>
                <w:sz w:val="20"/>
              </w:rPr>
              <w:t>186. Ademais, a pesquisa de mercado normalmente leva a preços superiores àqueles alcançados dura</w:t>
            </w:r>
            <w:r>
              <w:rPr>
                <w:rFonts w:ascii="Arial" w:eastAsia="Arial" w:hAnsi="Arial" w:cs="Arial"/>
                <w:i/>
                <w:sz w:val="20"/>
              </w:rPr>
              <w:t xml:space="preserve">nte a licitação. Portanto, </w:t>
            </w:r>
            <w:r>
              <w:rPr>
                <w:rFonts w:ascii="Arial" w:eastAsia="Arial" w:hAnsi="Arial" w:cs="Arial"/>
                <w:b/>
                <w:i/>
                <w:sz w:val="20"/>
              </w:rPr>
              <w:t xml:space="preserve">a utilização de um índice adequado, além de retratar a realidade do mercado, evita prejuízo desnecessário à Administração, </w:t>
            </w:r>
            <w:r>
              <w:rPr>
                <w:rFonts w:ascii="Arial" w:eastAsia="Arial" w:hAnsi="Arial" w:cs="Arial"/>
                <w:i/>
                <w:sz w:val="20"/>
              </w:rPr>
              <w:t xml:space="preserve">assim como para a empresa contratada.  </w:t>
            </w:r>
          </w:p>
        </w:tc>
      </w:tr>
    </w:tbl>
    <w:p w:rsidR="006C145C" w:rsidRDefault="006C145C">
      <w:pPr>
        <w:spacing w:after="0"/>
        <w:ind w:left="-10764" w:right="22"/>
        <w:jc w:val="both"/>
      </w:pPr>
    </w:p>
    <w:tbl>
      <w:tblPr>
        <w:tblStyle w:val="TableGrid"/>
        <w:tblW w:w="9219" w:type="dxa"/>
        <w:tblInd w:w="-9174" w:type="dxa"/>
        <w:tblCellMar>
          <w:top w:w="27" w:type="dxa"/>
          <w:left w:w="29" w:type="dxa"/>
          <w:bottom w:w="0" w:type="dxa"/>
          <w:right w:w="0" w:type="dxa"/>
        </w:tblCellMar>
        <w:tblLook w:val="04A0" w:firstRow="1" w:lastRow="0" w:firstColumn="1" w:lastColumn="0" w:noHBand="0" w:noVBand="1"/>
      </w:tblPr>
      <w:tblGrid>
        <w:gridCol w:w="84"/>
        <w:gridCol w:w="9135"/>
      </w:tblGrid>
      <w:tr w:rsidR="006C145C">
        <w:trPr>
          <w:trHeight w:val="13525"/>
        </w:trPr>
        <w:tc>
          <w:tcPr>
            <w:tcW w:w="84" w:type="dxa"/>
            <w:tcBorders>
              <w:top w:val="single" w:sz="4" w:space="0" w:color="1F497D"/>
              <w:left w:val="single" w:sz="4" w:space="0" w:color="1F497D"/>
              <w:bottom w:val="nil"/>
              <w:right w:val="nil"/>
            </w:tcBorders>
          </w:tcPr>
          <w:p w:rsidR="006C145C" w:rsidRDefault="006C145C"/>
        </w:tc>
        <w:tc>
          <w:tcPr>
            <w:tcW w:w="9135" w:type="dxa"/>
            <w:tcBorders>
              <w:top w:val="single" w:sz="4" w:space="0" w:color="1F497D"/>
              <w:left w:val="nil"/>
              <w:bottom w:val="nil"/>
              <w:right w:val="single" w:sz="4" w:space="0" w:color="1F497D"/>
            </w:tcBorders>
            <w:shd w:val="clear" w:color="auto" w:fill="FFFFCC"/>
          </w:tcPr>
          <w:p w:rsidR="006C145C" w:rsidRDefault="00C62E5A">
            <w:pPr>
              <w:spacing w:after="106" w:line="256" w:lineRule="auto"/>
              <w:ind w:right="39"/>
              <w:jc w:val="both"/>
            </w:pPr>
            <w:r>
              <w:rPr>
                <w:rFonts w:ascii="Arial" w:eastAsia="Arial" w:hAnsi="Arial" w:cs="Arial"/>
                <w:i/>
                <w:sz w:val="20"/>
              </w:rPr>
              <w:t xml:space="preserve">192. É flagrante que </w:t>
            </w:r>
            <w:r>
              <w:rPr>
                <w:rFonts w:ascii="Arial" w:eastAsia="Arial" w:hAnsi="Arial" w:cs="Arial"/>
                <w:b/>
                <w:i/>
                <w:sz w:val="20"/>
              </w:rPr>
              <w:t>o uso de índice específico e adequado, além de trazer significativo benefício à Administração, será a forma mais apropriada para comprovar que o contrato continua vantajoso no momento da prorrogação”</w:t>
            </w:r>
            <w:r>
              <w:rPr>
                <w:rFonts w:ascii="Arial" w:eastAsia="Arial" w:hAnsi="Arial" w:cs="Arial"/>
                <w:i/>
                <w:sz w:val="20"/>
              </w:rPr>
              <w:t xml:space="preserve">. </w:t>
            </w:r>
            <w:r>
              <w:rPr>
                <w:rFonts w:ascii="Arial" w:eastAsia="Arial" w:hAnsi="Arial" w:cs="Arial"/>
                <w:sz w:val="20"/>
              </w:rPr>
              <w:t xml:space="preserve">(grifo nosso)  </w:t>
            </w:r>
          </w:p>
          <w:p w:rsidR="006C145C" w:rsidRDefault="00C62E5A">
            <w:pPr>
              <w:spacing w:after="118" w:line="241" w:lineRule="auto"/>
              <w:ind w:right="35"/>
              <w:jc w:val="both"/>
            </w:pPr>
            <w:r>
              <w:rPr>
                <w:rFonts w:ascii="Arial" w:eastAsia="Arial" w:hAnsi="Arial" w:cs="Arial"/>
                <w:i/>
                <w:sz w:val="20"/>
              </w:rPr>
              <w:t>Nessa linha, concluiu que a vantajosida</w:t>
            </w:r>
            <w:r>
              <w:rPr>
                <w:rFonts w:ascii="Arial" w:eastAsia="Arial" w:hAnsi="Arial" w:cs="Arial"/>
                <w:i/>
                <w:sz w:val="20"/>
              </w:rPr>
              <w:t>de econômica para prorrogação de contratos de serviços continuados restaria garantida sempre que, além da previsão contratual de que as repactuações de custos  envolvendo a folha de salários fossem efetuadas somente com base em instrumento coletivo de trab</w:t>
            </w:r>
            <w:r>
              <w:rPr>
                <w:rFonts w:ascii="Arial" w:eastAsia="Arial" w:hAnsi="Arial" w:cs="Arial"/>
                <w:i/>
                <w:sz w:val="20"/>
              </w:rPr>
              <w:t>alho, ou em decorrência de lei, houvesse no contrato previsão de que os reajustes dos itens envolvendo insumos (exceto quanto a obrigações decorrentes de acordo ou convenção coletiva de trabalho e de Lei) e materiais fossem efetuados com base em índices of</w:t>
            </w:r>
            <w:r>
              <w:rPr>
                <w:rFonts w:ascii="Arial" w:eastAsia="Arial" w:hAnsi="Arial" w:cs="Arial"/>
                <w:i/>
                <w:sz w:val="20"/>
              </w:rPr>
              <w:t xml:space="preserve">iciais, previamente estabelecidos no contrato.  </w:t>
            </w:r>
          </w:p>
          <w:p w:rsidR="006C145C" w:rsidRDefault="00C62E5A">
            <w:pPr>
              <w:spacing w:after="113" w:line="247" w:lineRule="auto"/>
              <w:ind w:right="35"/>
              <w:jc w:val="both"/>
            </w:pPr>
            <w:r>
              <w:rPr>
                <w:rFonts w:ascii="Arial" w:eastAsia="Arial" w:hAnsi="Arial" w:cs="Arial"/>
                <w:i/>
                <w:sz w:val="20"/>
              </w:rPr>
              <w:t>Tal regramento foi incorporado ao art. 30-A, § 2º, inciso II, da IN SLTI/MP n.º 02/2008, em vigor à época, que teve sua redação atualizada pela IN SLTI/MP n.º 06/2013, conferindo à Administração, com isso, a</w:t>
            </w:r>
            <w:r>
              <w:rPr>
                <w:rFonts w:ascii="Arial" w:eastAsia="Arial" w:hAnsi="Arial" w:cs="Arial"/>
                <w:i/>
                <w:sz w:val="20"/>
              </w:rPr>
              <w:t xml:space="preserve"> viabilidade de prever, num mesmo contrato para execução de serviços com regime de dedicação exclusiva de mão de obra, a repactuação para os itens decorrentes da mão de obra, com base nas disposições constantes em instrumentos coletivos de trabalho, e o re</w:t>
            </w:r>
            <w:r>
              <w:rPr>
                <w:rFonts w:ascii="Arial" w:eastAsia="Arial" w:hAnsi="Arial" w:cs="Arial"/>
                <w:i/>
                <w:sz w:val="20"/>
              </w:rPr>
              <w:t>ajuste dos preços dos demais insumos, com base em “</w:t>
            </w:r>
            <w:r>
              <w:rPr>
                <w:rFonts w:ascii="Arial" w:eastAsia="Arial" w:hAnsi="Arial" w:cs="Arial"/>
                <w:b/>
                <w:sz w:val="20"/>
              </w:rPr>
              <w:t>índices oficiais,</w:t>
            </w:r>
            <w:r>
              <w:rPr>
                <w:rFonts w:ascii="Arial" w:eastAsia="Arial" w:hAnsi="Arial" w:cs="Arial"/>
                <w:sz w:val="20"/>
              </w:rPr>
              <w:t xml:space="preserve"> previamente definidos no contrato, que guardem a maior correlação possível com o segmento econômico em que estejam inseridos tais insumos ou materiais ou, na falta de qualquer índice seto</w:t>
            </w:r>
            <w:r>
              <w:rPr>
                <w:rFonts w:ascii="Arial" w:eastAsia="Arial" w:hAnsi="Arial" w:cs="Arial"/>
                <w:sz w:val="20"/>
              </w:rPr>
              <w:t xml:space="preserve">rial, o Índice Nacional de Preços ao Consumidor Amplo (IPCA/IBGE)”.  </w:t>
            </w:r>
          </w:p>
          <w:p w:rsidR="006C145C" w:rsidRDefault="00C62E5A">
            <w:pPr>
              <w:spacing w:after="116" w:line="245" w:lineRule="auto"/>
              <w:ind w:right="39"/>
              <w:jc w:val="both"/>
            </w:pPr>
            <w:r>
              <w:rPr>
                <w:rFonts w:ascii="Arial" w:eastAsia="Arial" w:hAnsi="Arial" w:cs="Arial"/>
                <w:i/>
                <w:sz w:val="20"/>
              </w:rPr>
              <w:t>Ficou a Administração dispensada, pois, da realização de pesquisa individualizada, que considerasse “os preços praticados no mercado ou em outros contratos da Administração”, “as particu</w:t>
            </w:r>
            <w:r>
              <w:rPr>
                <w:rFonts w:ascii="Arial" w:eastAsia="Arial" w:hAnsi="Arial" w:cs="Arial"/>
                <w:i/>
                <w:sz w:val="20"/>
              </w:rPr>
              <w:t>laridades do contrato em vigência” ou “indicadores setoriais, tabelas de fabricantes, valores oficiais de referência, tarifas públicas ou outros equivalentes;” (art. 40, § 2º, da IN SLTI/MP n.º 02/2008) para comprovar, naquele tipo de contrato, a efetiva v</w:t>
            </w:r>
            <w:r>
              <w:rPr>
                <w:rFonts w:ascii="Arial" w:eastAsia="Arial" w:hAnsi="Arial" w:cs="Arial"/>
                <w:i/>
                <w:sz w:val="20"/>
              </w:rPr>
              <w:t xml:space="preserve">ariação dos preços de insumos e materiais não relacionados à mão de obra.  </w:t>
            </w:r>
          </w:p>
          <w:p w:rsidR="006C145C" w:rsidRDefault="00C62E5A">
            <w:pPr>
              <w:spacing w:after="121" w:line="240" w:lineRule="auto"/>
              <w:ind w:right="45"/>
              <w:jc w:val="both"/>
            </w:pPr>
            <w:r>
              <w:rPr>
                <w:rFonts w:ascii="Arial" w:eastAsia="Arial" w:hAnsi="Arial" w:cs="Arial"/>
                <w:i/>
                <w:sz w:val="20"/>
              </w:rPr>
              <w:t>Nos mesmos moldes da IN SLTI/MP n.º 02/2008, a novel IN SEGES/MP n.º 05/2017, em seu Anexo IX, item 7, alíneas “a” e "b", manteve disposição expressa possibilitando a adoção do rea</w:t>
            </w:r>
            <w:r>
              <w:rPr>
                <w:rFonts w:ascii="Arial" w:eastAsia="Arial" w:hAnsi="Arial" w:cs="Arial"/>
                <w:i/>
                <w:sz w:val="20"/>
              </w:rPr>
              <w:t xml:space="preserve">juste por índices oficiais dos insumos não relacionados à mão de obra.  </w:t>
            </w:r>
          </w:p>
          <w:p w:rsidR="006C145C" w:rsidRDefault="00C62E5A">
            <w:pPr>
              <w:spacing w:after="120" w:line="242" w:lineRule="auto"/>
              <w:ind w:right="35"/>
              <w:jc w:val="both"/>
            </w:pPr>
            <w:r>
              <w:rPr>
                <w:rFonts w:ascii="Arial" w:eastAsia="Arial" w:hAnsi="Arial" w:cs="Arial"/>
                <w:i/>
                <w:sz w:val="20"/>
              </w:rPr>
              <w:t>Nesse ínterim, foi publicado o Decreto n.º 9.507, de 2018, o qual estabeleceu, em seu art. 13, § 1º, a vedação ao reajuste por índices nos contratos com mão de obra em regime de dedic</w:t>
            </w:r>
            <w:r>
              <w:rPr>
                <w:rFonts w:ascii="Arial" w:eastAsia="Arial" w:hAnsi="Arial" w:cs="Arial"/>
                <w:i/>
                <w:sz w:val="20"/>
              </w:rPr>
              <w:t xml:space="preserve">ação exclusiva, </w:t>
            </w:r>
            <w:r>
              <w:rPr>
                <w:rFonts w:ascii="Arial" w:eastAsia="Arial" w:hAnsi="Arial" w:cs="Arial"/>
                <w:b/>
                <w:i/>
                <w:sz w:val="20"/>
              </w:rPr>
              <w:t>sem efetuar o recorte de aplicabilidade aos insumos decorrentes da mão de obra,</w:t>
            </w:r>
            <w:r>
              <w:rPr>
                <w:rFonts w:ascii="Arial" w:eastAsia="Arial" w:hAnsi="Arial" w:cs="Arial"/>
                <w:i/>
                <w:sz w:val="20"/>
              </w:rPr>
              <w:t xml:space="preserve"> como faziam, textualmente, as Instruções Normativas acima mencionadas.  </w:t>
            </w:r>
          </w:p>
          <w:p w:rsidR="006C145C" w:rsidRDefault="00C62E5A">
            <w:pPr>
              <w:spacing w:after="121" w:line="241" w:lineRule="auto"/>
              <w:ind w:right="36"/>
              <w:jc w:val="both"/>
            </w:pPr>
            <w:r>
              <w:rPr>
                <w:rFonts w:ascii="Arial" w:eastAsia="Arial" w:hAnsi="Arial" w:cs="Arial"/>
                <w:i/>
                <w:sz w:val="20"/>
              </w:rPr>
              <w:t>A despeito disso, entretanto, diante do arcabouço normativo acima citado, das Orientações Normativas AGU n.º 23 e n.º 25 e de todo o trabalho interpretativo e de consolidação de entendimentos realizados nessa seara, a Comissão Permanente de Modelos de Lici</w:t>
            </w:r>
            <w:r>
              <w:rPr>
                <w:rFonts w:ascii="Arial" w:eastAsia="Arial" w:hAnsi="Arial" w:cs="Arial"/>
                <w:i/>
                <w:sz w:val="20"/>
              </w:rPr>
              <w:t>tações e Contratos da CGU considera viável a adoção  da repactuação para os insumos relacionados à mão de obra, combinada com a adoção de índices específicos, setoriais ou gerais para reajustamento dos insumos e materiais a ela não relacionados, nos contra</w:t>
            </w:r>
            <w:r>
              <w:rPr>
                <w:rFonts w:ascii="Arial" w:eastAsia="Arial" w:hAnsi="Arial" w:cs="Arial"/>
                <w:i/>
                <w:sz w:val="20"/>
              </w:rPr>
              <w:t xml:space="preserve">tos de serviços continuados executados com regime de dedicação exclusiva de mão de obra dispensando-se a Administração de realizar pesquisa, levando em conta os aspectos do art. 57, § 2º, da IN 05/2017, para demonstrar o aumento desses custos. </w:t>
            </w:r>
          </w:p>
          <w:p w:rsidR="006C145C" w:rsidRDefault="00C62E5A">
            <w:pPr>
              <w:spacing w:after="120" w:line="241" w:lineRule="auto"/>
              <w:jc w:val="both"/>
            </w:pPr>
            <w:r>
              <w:rPr>
                <w:rFonts w:ascii="Arial" w:eastAsia="Arial" w:hAnsi="Arial" w:cs="Arial"/>
                <w:i/>
                <w:sz w:val="20"/>
              </w:rPr>
              <w:t xml:space="preserve">Acerca do assunto, destaca-se o teor do PARECER n. 00002/2018/CPMLC/CGU/AGU (NUP: 00688.000822/2017-65), elaborado pela Comissão (pendente de aprovação), nos seguintes termos:  </w:t>
            </w:r>
          </w:p>
          <w:p w:rsidR="006C145C" w:rsidRDefault="00C62E5A">
            <w:pPr>
              <w:spacing w:after="120" w:line="242" w:lineRule="auto"/>
              <w:ind w:right="40"/>
              <w:jc w:val="both"/>
            </w:pPr>
            <w:r>
              <w:rPr>
                <w:rFonts w:ascii="Arial" w:eastAsia="Arial" w:hAnsi="Arial" w:cs="Arial"/>
                <w:i/>
                <w:sz w:val="20"/>
              </w:rPr>
              <w:t>“</w:t>
            </w:r>
            <w:r>
              <w:rPr>
                <w:rFonts w:ascii="Arial" w:eastAsia="Arial" w:hAnsi="Arial" w:cs="Arial"/>
                <w:sz w:val="20"/>
              </w:rPr>
              <w:t>170. [...] permito-me adentrar na seara operacional/administrativa para regis</w:t>
            </w:r>
            <w:r>
              <w:rPr>
                <w:rFonts w:ascii="Arial" w:eastAsia="Arial" w:hAnsi="Arial" w:cs="Arial"/>
                <w:sz w:val="20"/>
              </w:rPr>
              <w:t xml:space="preserve">trar a impressão de que a combinação da repactuação para os insumos relacionados à mão de obra com a adoção de índices específicos, setoriais ou gerais para os insumos e materiais a ela não relacionados é o modo de agir que mais contribui para a eficiente </w:t>
            </w:r>
            <w:r>
              <w:rPr>
                <w:rFonts w:ascii="Arial" w:eastAsia="Arial" w:hAnsi="Arial" w:cs="Arial"/>
                <w:sz w:val="20"/>
              </w:rPr>
              <w:t xml:space="preserve">gestão do contrato, na medida em que restringe o trabalho mais intrincado de análise de documentação aos contratos com mão de obra, e mais precisamente aos insumos ligados à mão de obra, que representam o maior custo desses contratos.   </w:t>
            </w:r>
          </w:p>
          <w:p w:rsidR="006C145C" w:rsidRDefault="00C62E5A">
            <w:pPr>
              <w:spacing w:after="0"/>
              <w:ind w:right="38"/>
              <w:jc w:val="both"/>
            </w:pPr>
            <w:r>
              <w:rPr>
                <w:rFonts w:ascii="Arial" w:eastAsia="Arial" w:hAnsi="Arial" w:cs="Arial"/>
                <w:sz w:val="20"/>
              </w:rPr>
              <w:t>171. Observa-se, c</w:t>
            </w:r>
            <w:r>
              <w:rPr>
                <w:rFonts w:ascii="Arial" w:eastAsia="Arial" w:hAnsi="Arial" w:cs="Arial"/>
                <w:sz w:val="20"/>
              </w:rPr>
              <w:t>om isso, a finalidade legal e regulamentar de evitar o chamado gatilho salarial, ou seja, que o índice inflacionário seja incorporado ao valor da mão de obra, que então contribuiria para o aumento da inflação, e assim sucessivamente. O instituto da repactu</w:t>
            </w:r>
            <w:r>
              <w:rPr>
                <w:rFonts w:ascii="Arial" w:eastAsia="Arial" w:hAnsi="Arial" w:cs="Arial"/>
                <w:sz w:val="20"/>
              </w:rPr>
              <w:t>ação rompe com esse círculo, porque remete as partes da relação de emprego à mesa de negociação, por intermédio dos respectivos Sindicatos, evitando-se a mera incorporação de índices. Isso pode até vir a acontecer, mas somente depois da negociação. A admin</w:t>
            </w:r>
            <w:r>
              <w:rPr>
                <w:rFonts w:ascii="Arial" w:eastAsia="Arial" w:hAnsi="Arial" w:cs="Arial"/>
                <w:sz w:val="20"/>
              </w:rPr>
              <w:t>istração, então, apenas traduz o resultado dessa negociação na</w:t>
            </w:r>
          </w:p>
        </w:tc>
      </w:tr>
      <w:tr w:rsidR="006C145C">
        <w:tblPrEx>
          <w:tblCellMar>
            <w:top w:w="7" w:type="dxa"/>
          </w:tblCellMar>
        </w:tblPrEx>
        <w:trPr>
          <w:trHeight w:val="12126"/>
        </w:trPr>
        <w:tc>
          <w:tcPr>
            <w:tcW w:w="84" w:type="dxa"/>
            <w:tcBorders>
              <w:top w:val="nil"/>
              <w:left w:val="single" w:sz="4" w:space="0" w:color="1F497D"/>
              <w:bottom w:val="single" w:sz="4" w:space="0" w:color="1F497D"/>
              <w:right w:val="nil"/>
            </w:tcBorders>
          </w:tcPr>
          <w:p w:rsidR="006C145C" w:rsidRDefault="006C145C"/>
        </w:tc>
        <w:tc>
          <w:tcPr>
            <w:tcW w:w="9135" w:type="dxa"/>
            <w:tcBorders>
              <w:top w:val="nil"/>
              <w:left w:val="nil"/>
              <w:bottom w:val="single" w:sz="4" w:space="0" w:color="1F497D"/>
              <w:right w:val="single" w:sz="4" w:space="0" w:color="1F497D"/>
            </w:tcBorders>
            <w:shd w:val="clear" w:color="auto" w:fill="FFFFCC"/>
          </w:tcPr>
          <w:p w:rsidR="006C145C" w:rsidRDefault="00C62E5A">
            <w:pPr>
              <w:spacing w:after="122" w:line="239" w:lineRule="auto"/>
              <w:jc w:val="both"/>
            </w:pPr>
            <w:r>
              <w:rPr>
                <w:rFonts w:ascii="Arial" w:eastAsia="Arial" w:hAnsi="Arial" w:cs="Arial"/>
                <w:sz w:val="20"/>
              </w:rPr>
              <w:t xml:space="preserve">equação econômico-financeira do contrato. Essa a razão pela qual o instituto deve voltar-se com toda certeza aos insumos relacionados à relação de trabalho. </w:t>
            </w:r>
          </w:p>
          <w:p w:rsidR="006C145C" w:rsidRDefault="00C62E5A">
            <w:pPr>
              <w:numPr>
                <w:ilvl w:val="0"/>
                <w:numId w:val="68"/>
              </w:numPr>
              <w:spacing w:after="121" w:line="241" w:lineRule="auto"/>
              <w:ind w:right="35"/>
              <w:jc w:val="both"/>
            </w:pPr>
            <w:r>
              <w:rPr>
                <w:rFonts w:ascii="Arial" w:eastAsia="Arial" w:hAnsi="Arial" w:cs="Arial"/>
                <w:sz w:val="20"/>
              </w:rPr>
              <w:t>Já expandir esse instituto também para os insumos e materiais não relacionados à mão de obra, como consequência de não se admitir índices gerais, representa um ônus considerável para cada uma das unidades administrativas com competência para contratar, que</w:t>
            </w:r>
            <w:r>
              <w:rPr>
                <w:rFonts w:ascii="Arial" w:eastAsia="Arial" w:hAnsi="Arial" w:cs="Arial"/>
                <w:sz w:val="20"/>
              </w:rPr>
              <w:t xml:space="preserve"> chegam aos milhares, porque vai implicar em toda uma análise documental e probatória em cada um dos contratos administrativos de serviços, com resultados na maioria absoluta dos casos insignificantes, em comparação com a mera aplicação de índices pré-esta</w:t>
            </w:r>
            <w:r>
              <w:rPr>
                <w:rFonts w:ascii="Arial" w:eastAsia="Arial" w:hAnsi="Arial" w:cs="Arial"/>
                <w:sz w:val="20"/>
              </w:rPr>
              <w:t>belecidos. A bem da verdade, frequentemente essa instrução probatória para a repactuação de insumos não relacionadas à mão de obra acaba por reajustar o valor do contrato em patamar superior ao da mera aplicação do índice. E nesse caso a Administração disp</w:t>
            </w:r>
            <w:r>
              <w:rPr>
                <w:rFonts w:ascii="Arial" w:eastAsia="Arial" w:hAnsi="Arial" w:cs="Arial"/>
                <w:sz w:val="20"/>
              </w:rPr>
              <w:t>ensou todo um meticuloso trabalho realizado por instituições conceituadas para a obtenção de tais índices, um dos quais inclusive adotado pelo Banco Central do Brasil para medir a inflação, o Índice Nacional de Preços ao Consumidor Amplo Especial - IPCA, e</w:t>
            </w:r>
            <w:r>
              <w:rPr>
                <w:rFonts w:ascii="Arial" w:eastAsia="Arial" w:hAnsi="Arial" w:cs="Arial"/>
                <w:sz w:val="20"/>
              </w:rPr>
              <w:t xml:space="preserve"> ainda expressamente previsto no art. 101, caput e 107, §1º, II do ADCT (embora não seja de utilização obrigatória, como bem esclarece, mais uma vez, o Parecer n. 00149/2018/CJU-SP/CGU/AGU.  </w:t>
            </w:r>
          </w:p>
          <w:p w:rsidR="006C145C" w:rsidRDefault="00C62E5A">
            <w:pPr>
              <w:numPr>
                <w:ilvl w:val="0"/>
                <w:numId w:val="68"/>
              </w:numPr>
              <w:spacing w:after="121" w:line="241" w:lineRule="auto"/>
              <w:ind w:right="35"/>
              <w:jc w:val="both"/>
            </w:pPr>
            <w:r>
              <w:rPr>
                <w:rFonts w:ascii="Arial" w:eastAsia="Arial" w:hAnsi="Arial" w:cs="Arial"/>
                <w:sz w:val="20"/>
              </w:rPr>
              <w:t>De qualquer forma, não é à toa que houve todo um trabalho de for</w:t>
            </w:r>
            <w:r>
              <w:rPr>
                <w:rFonts w:ascii="Arial" w:eastAsia="Arial" w:hAnsi="Arial" w:cs="Arial"/>
                <w:sz w:val="20"/>
              </w:rPr>
              <w:t>mação de entendimentos e interpretações para consolidar o posicionamento de que se aplica a repactuação somente para os insumos relacionados à mão de obra nos contratos com mão de obra exclusiva e, para os demais insumos e demais contratos, aplica-se o rea</w:t>
            </w:r>
            <w:r>
              <w:rPr>
                <w:rFonts w:ascii="Arial" w:eastAsia="Arial" w:hAnsi="Arial" w:cs="Arial"/>
                <w:sz w:val="20"/>
              </w:rPr>
              <w:t xml:space="preserve">juste, com a adoção de índices gerais, em não havendo setoriais ou específicos. </w:t>
            </w:r>
          </w:p>
          <w:p w:rsidR="006C145C" w:rsidRDefault="00C62E5A">
            <w:pPr>
              <w:numPr>
                <w:ilvl w:val="0"/>
                <w:numId w:val="68"/>
              </w:numPr>
              <w:spacing w:after="120" w:line="241" w:lineRule="auto"/>
              <w:ind w:right="35"/>
              <w:jc w:val="both"/>
            </w:pPr>
            <w:r>
              <w:rPr>
                <w:rFonts w:ascii="Arial" w:eastAsia="Arial" w:hAnsi="Arial" w:cs="Arial"/>
                <w:sz w:val="20"/>
              </w:rPr>
              <w:t>E é importante acrescentar que isso não implicou em automática indexação de preços em todosos contratos, porque aliado a essa consolidação de entendimento houve também uma pol</w:t>
            </w:r>
            <w:r>
              <w:rPr>
                <w:rFonts w:ascii="Arial" w:eastAsia="Arial" w:hAnsi="Arial" w:cs="Arial"/>
                <w:sz w:val="20"/>
              </w:rPr>
              <w:t>ítica de forte contingenciamento orçamentário, e então a Administração passou a negociar a aplicação desses índices de reajuste ou mesmo do percentual de repactuação, com vistas a cumprir as metas de diminuição de gastos. Ou seja, criou-se verdadeiro proce</w:t>
            </w:r>
            <w:r>
              <w:rPr>
                <w:rFonts w:ascii="Arial" w:eastAsia="Arial" w:hAnsi="Arial" w:cs="Arial"/>
                <w:sz w:val="20"/>
              </w:rPr>
              <w:t xml:space="preserve">dimento de barganha, em vez de se dispender recursos materiais e humanos no campo probatório, procedimento de barganha esse que não raras vezes resultaram em manutenção ou até mesmo redução do preço praticado. </w:t>
            </w:r>
          </w:p>
          <w:p w:rsidR="006C145C" w:rsidRDefault="00C62E5A">
            <w:pPr>
              <w:numPr>
                <w:ilvl w:val="0"/>
                <w:numId w:val="68"/>
              </w:numPr>
              <w:spacing w:after="0" w:line="241" w:lineRule="auto"/>
              <w:ind w:right="35"/>
              <w:jc w:val="both"/>
            </w:pPr>
            <w:r>
              <w:rPr>
                <w:rFonts w:ascii="Arial" w:eastAsia="Arial" w:hAnsi="Arial" w:cs="Arial"/>
                <w:sz w:val="20"/>
              </w:rPr>
              <w:t>Desta forma, seria viável assentar que a apli</w:t>
            </w:r>
            <w:r>
              <w:rPr>
                <w:rFonts w:ascii="Arial" w:eastAsia="Arial" w:hAnsi="Arial" w:cs="Arial"/>
                <w:sz w:val="20"/>
              </w:rPr>
              <w:t>cação do índice indicaria o valor máximo a que a Administração poderia chegar em uma negociação de preços, para a partir daí se buscar estabelecer os novos patamares contratuais. E isso também vale para a repactuação: o percentual obtido após análise do im</w:t>
            </w:r>
            <w:r>
              <w:rPr>
                <w:rFonts w:ascii="Arial" w:eastAsia="Arial" w:hAnsi="Arial" w:cs="Arial"/>
                <w:sz w:val="20"/>
              </w:rPr>
              <w:t>pacto da nova CCT poderia ser encarado como o máximo que a Administração poderá chegar em uma negociação de preços, para definir o novo patamar contratual. É dizer, a simplificação do mecanismo para chegar ao quanto devido pode abrir caminho para um proced</w:t>
            </w:r>
            <w:r>
              <w:rPr>
                <w:rFonts w:ascii="Arial" w:eastAsia="Arial" w:hAnsi="Arial" w:cs="Arial"/>
                <w:sz w:val="20"/>
              </w:rPr>
              <w:t>imento de barganha mais enfático, e isso pode ser mais exitoso do que a aplicação automática de um percentual obtido após uma desgastante instrução probatória (para olhar a questão sob o ponto de vista</w:t>
            </w:r>
          </w:p>
          <w:p w:rsidR="006C145C" w:rsidRDefault="00C62E5A">
            <w:pPr>
              <w:spacing w:after="122" w:line="239" w:lineRule="auto"/>
              <w:jc w:val="both"/>
            </w:pPr>
            <w:r>
              <w:rPr>
                <w:rFonts w:ascii="Arial" w:eastAsia="Arial" w:hAnsi="Arial" w:cs="Arial"/>
                <w:sz w:val="20"/>
              </w:rPr>
              <w:t>operacional/administrativo, já que do ponto de vista j</w:t>
            </w:r>
            <w:r>
              <w:rPr>
                <w:rFonts w:ascii="Arial" w:eastAsia="Arial" w:hAnsi="Arial" w:cs="Arial"/>
                <w:sz w:val="20"/>
              </w:rPr>
              <w:t>urídico há orientação consolida e previsão legal expressa nesse sentido</w:t>
            </w:r>
            <w:r>
              <w:rPr>
                <w:rFonts w:ascii="Arial" w:eastAsia="Arial" w:hAnsi="Arial" w:cs="Arial"/>
                <w:i/>
                <w:sz w:val="20"/>
              </w:rPr>
              <w:t xml:space="preserve">)”. </w:t>
            </w:r>
          </w:p>
          <w:p w:rsidR="006C145C" w:rsidRDefault="00C62E5A">
            <w:pPr>
              <w:spacing w:after="0"/>
              <w:ind w:right="36"/>
              <w:jc w:val="both"/>
            </w:pPr>
            <w:r>
              <w:rPr>
                <w:rFonts w:ascii="Arial" w:eastAsia="Arial" w:hAnsi="Arial" w:cs="Arial"/>
                <w:i/>
                <w:sz w:val="20"/>
              </w:rPr>
              <w:t>Em hipóteses tais, a Administração deverá atentar para que o índice utilizado seja o indicador mais próximo da efetiva variação dos preços dos insumos e materiais a serem fornecido</w:t>
            </w:r>
            <w:r>
              <w:rPr>
                <w:rFonts w:ascii="Arial" w:eastAsia="Arial" w:hAnsi="Arial" w:cs="Arial"/>
                <w:i/>
                <w:sz w:val="20"/>
              </w:rPr>
              <w:t>s, valendo-se, pois, em regra, da adoção de índices setoriais ou específicos. “Caso inexistam índices setoriais ou específicos, deverá ser adotado o índice geral de preços que melhor esteja correlacionado com os custos do objeto contratual ou, ainda, em ca</w:t>
            </w:r>
            <w:r>
              <w:rPr>
                <w:rFonts w:ascii="Arial" w:eastAsia="Arial" w:hAnsi="Arial" w:cs="Arial"/>
                <w:i/>
                <w:sz w:val="20"/>
              </w:rPr>
              <w:t>ráter subsidiário, verificar se existe, no mercado, algum índice geral de adoção consagrada para o objeto contratado. Não havendo índices com uma dessas características, deve ser adotado o reajustamento pelo IPCA/IBGE, pois é o índice oficial de monitorame</w:t>
            </w:r>
            <w:r>
              <w:rPr>
                <w:rFonts w:ascii="Arial" w:eastAsia="Arial" w:hAnsi="Arial" w:cs="Arial"/>
                <w:i/>
                <w:sz w:val="20"/>
              </w:rPr>
              <w:t xml:space="preserve">nto da inflação no Brasil. Qualquer que seja o índice utilizado, a Administração deverá justificar sua escolha tecnicamente. A Administração poderá, ainda, se valer de índices diferenciados, de forma justificada, de acordo com as peculiaridades envolvidas </w:t>
            </w:r>
            <w:r>
              <w:rPr>
                <w:rFonts w:ascii="Arial" w:eastAsia="Arial" w:hAnsi="Arial" w:cs="Arial"/>
                <w:i/>
                <w:sz w:val="20"/>
              </w:rPr>
              <w:t xml:space="preserve">no objeto contratual”. (Parecer n.º 04/2013/CPLC/DEPCONSU/PGF/AGU, NUP: 00407.001847/2013-61). A Administração poderá, ainda, utilizar índices diferenciados, de forma justificada, de acordo com as peculiaridades envolvidas no objeto contratual. </w:t>
            </w:r>
          </w:p>
        </w:tc>
      </w:tr>
    </w:tbl>
    <w:p w:rsidR="006C145C" w:rsidRDefault="00C62E5A">
      <w:pPr>
        <w:spacing w:after="131" w:line="269" w:lineRule="auto"/>
        <w:ind w:left="705" w:right="54" w:hanging="720"/>
        <w:jc w:val="both"/>
      </w:pPr>
      <w:r>
        <w:rPr>
          <w:rFonts w:ascii="Arial" w:eastAsia="Arial" w:hAnsi="Arial" w:cs="Arial"/>
          <w:sz w:val="20"/>
        </w:rPr>
        <w:t xml:space="preserve">20.13.1 </w:t>
      </w:r>
      <w:r>
        <w:rPr>
          <w:rFonts w:ascii="Arial" w:eastAsia="Arial" w:hAnsi="Arial" w:cs="Arial"/>
          <w:color w:val="FF0000"/>
          <w:sz w:val="20"/>
        </w:rPr>
        <w:t>No caso de atraso ou não divulgação do índice de reajustamento, a CONTRATANTE pagará à CONTRATADA a importância calculada pela última variação conhecida, liquidando a diferença correspondente tão logo seja divulgado o índice definitivo; fica a CONTRATADA o</w:t>
      </w:r>
      <w:r>
        <w:rPr>
          <w:rFonts w:ascii="Arial" w:eastAsia="Arial" w:hAnsi="Arial" w:cs="Arial"/>
          <w:color w:val="FF0000"/>
          <w:sz w:val="20"/>
        </w:rPr>
        <w:t xml:space="preserve">brigada a apresentar memória de cálculo referente ao reajustamento de preços do valor remanescente, sempre que este ocorrer.   </w:t>
      </w:r>
    </w:p>
    <w:p w:rsidR="006C145C" w:rsidRDefault="00C62E5A">
      <w:pPr>
        <w:spacing w:after="131" w:line="269" w:lineRule="auto"/>
        <w:ind w:left="1217" w:right="54" w:hanging="720"/>
        <w:jc w:val="both"/>
      </w:pPr>
      <w:r>
        <w:rPr>
          <w:rFonts w:ascii="Arial" w:eastAsia="Arial" w:hAnsi="Arial" w:cs="Arial"/>
          <w:sz w:val="20"/>
        </w:rPr>
        <w:lastRenderedPageBreak/>
        <w:t xml:space="preserve">20.13.2 </w:t>
      </w:r>
      <w:r>
        <w:rPr>
          <w:rFonts w:ascii="Arial" w:eastAsia="Arial" w:hAnsi="Arial" w:cs="Arial"/>
          <w:color w:val="FF0000"/>
          <w:sz w:val="20"/>
        </w:rPr>
        <w:t xml:space="preserve">Nas aferições finais, o índice utilizado para a repactuação dos insumos será, obrigatoriamente, o definitivo.  </w:t>
      </w:r>
    </w:p>
    <w:p w:rsidR="006C145C" w:rsidRDefault="00C62E5A">
      <w:pPr>
        <w:spacing w:after="131" w:line="269" w:lineRule="auto"/>
        <w:ind w:left="1217" w:right="54" w:hanging="720"/>
        <w:jc w:val="both"/>
      </w:pPr>
      <w:r>
        <w:rPr>
          <w:rFonts w:ascii="Arial" w:eastAsia="Arial" w:hAnsi="Arial" w:cs="Arial"/>
          <w:sz w:val="20"/>
        </w:rPr>
        <w:t xml:space="preserve">20.13.3 </w:t>
      </w:r>
      <w:r>
        <w:rPr>
          <w:rFonts w:ascii="Arial" w:eastAsia="Arial" w:hAnsi="Arial" w:cs="Arial"/>
          <w:color w:val="FF0000"/>
          <w:sz w:val="20"/>
        </w:rPr>
        <w:t xml:space="preserve">Caso o índice estabelecido para a repactuação de insumos venha a ser extinto ou de qualquer forma não possa mais ser utilizado, será adotado, em substituição, o que vier a ser determinado pela legislação então em vigor.  </w:t>
      </w:r>
    </w:p>
    <w:p w:rsidR="006C145C" w:rsidRDefault="00C62E5A">
      <w:pPr>
        <w:spacing w:after="131" w:line="269" w:lineRule="auto"/>
        <w:ind w:left="1217" w:right="54" w:hanging="720"/>
        <w:jc w:val="both"/>
      </w:pPr>
      <w:r>
        <w:rPr>
          <w:rFonts w:ascii="Arial" w:eastAsia="Arial" w:hAnsi="Arial" w:cs="Arial"/>
          <w:sz w:val="20"/>
        </w:rPr>
        <w:t xml:space="preserve">20.13.4 </w:t>
      </w:r>
      <w:r>
        <w:rPr>
          <w:rFonts w:ascii="Arial" w:eastAsia="Arial" w:hAnsi="Arial" w:cs="Arial"/>
          <w:color w:val="FF0000"/>
          <w:sz w:val="20"/>
        </w:rPr>
        <w:t>Na ausência de previsão le</w:t>
      </w:r>
      <w:r>
        <w:rPr>
          <w:rFonts w:ascii="Arial" w:eastAsia="Arial" w:hAnsi="Arial" w:cs="Arial"/>
          <w:color w:val="FF0000"/>
          <w:sz w:val="20"/>
        </w:rPr>
        <w:t xml:space="preserve">gal quanto ao índice substituto, as partes elegerão novo índice oficial, para reajustamento do preço do valor remanescente dos insumos e materiais, por meio de termo aditivo.   </w:t>
      </w:r>
    </w:p>
    <w:p w:rsidR="006C145C" w:rsidRDefault="00C62E5A">
      <w:pPr>
        <w:spacing w:after="131" w:line="269" w:lineRule="auto"/>
        <w:ind w:left="494" w:right="54" w:hanging="509"/>
        <w:jc w:val="both"/>
      </w:pPr>
      <w:r>
        <w:rPr>
          <w:rFonts w:ascii="Arial" w:eastAsia="Arial" w:hAnsi="Arial" w:cs="Arial"/>
          <w:sz w:val="20"/>
        </w:rPr>
        <w:t xml:space="preserve">20.14 </w:t>
      </w:r>
      <w:r>
        <w:rPr>
          <w:rFonts w:ascii="Arial" w:eastAsia="Arial" w:hAnsi="Arial" w:cs="Arial"/>
          <w:color w:val="FF0000"/>
          <w:sz w:val="20"/>
        </w:rPr>
        <w:t>Os novos valores contratuais decorrentes das repactuações terão suas vig</w:t>
      </w:r>
      <w:r>
        <w:rPr>
          <w:rFonts w:ascii="Arial" w:eastAsia="Arial" w:hAnsi="Arial" w:cs="Arial"/>
          <w:color w:val="FF0000"/>
          <w:sz w:val="20"/>
        </w:rPr>
        <w:t xml:space="preserve">ências iniciadas observando-se o seguinte: </w:t>
      </w:r>
    </w:p>
    <w:p w:rsidR="006C145C" w:rsidRDefault="00C62E5A">
      <w:pPr>
        <w:spacing w:after="131" w:line="269" w:lineRule="auto"/>
        <w:ind w:left="507" w:right="54" w:hanging="10"/>
        <w:jc w:val="both"/>
      </w:pPr>
      <w:r>
        <w:rPr>
          <w:rFonts w:ascii="Arial" w:eastAsia="Arial" w:hAnsi="Arial" w:cs="Arial"/>
          <w:sz w:val="20"/>
        </w:rPr>
        <w:t xml:space="preserve">20.14.1 </w:t>
      </w:r>
      <w:r>
        <w:rPr>
          <w:rFonts w:ascii="Arial" w:eastAsia="Arial" w:hAnsi="Arial" w:cs="Arial"/>
          <w:color w:val="FF0000"/>
          <w:sz w:val="20"/>
        </w:rPr>
        <w:t xml:space="preserve">a partir da ocorrência do fato gerador que deu causa à repactuação; </w:t>
      </w:r>
    </w:p>
    <w:p w:rsidR="006C145C" w:rsidRDefault="00C62E5A">
      <w:pPr>
        <w:spacing w:after="131" w:line="269" w:lineRule="auto"/>
        <w:ind w:left="1217" w:right="54" w:hanging="720"/>
        <w:jc w:val="both"/>
      </w:pPr>
      <w:r>
        <w:rPr>
          <w:rFonts w:ascii="Arial" w:eastAsia="Arial" w:hAnsi="Arial" w:cs="Arial"/>
          <w:sz w:val="20"/>
        </w:rPr>
        <w:t xml:space="preserve">20.14.2 </w:t>
      </w:r>
      <w:r>
        <w:rPr>
          <w:rFonts w:ascii="Arial" w:eastAsia="Arial" w:hAnsi="Arial" w:cs="Arial"/>
          <w:color w:val="FF0000"/>
          <w:sz w:val="20"/>
        </w:rPr>
        <w:t>em data futura, desde que acordada entre as partes, sem prejuízo da contagem de periodicidade para concessão das próximas repac</w:t>
      </w:r>
      <w:r>
        <w:rPr>
          <w:rFonts w:ascii="Arial" w:eastAsia="Arial" w:hAnsi="Arial" w:cs="Arial"/>
          <w:color w:val="FF0000"/>
          <w:sz w:val="20"/>
        </w:rPr>
        <w:t xml:space="preserve">tuações futuras; ou </w:t>
      </w:r>
    </w:p>
    <w:p w:rsidR="006C145C" w:rsidRDefault="00C62E5A">
      <w:pPr>
        <w:spacing w:after="131" w:line="269" w:lineRule="auto"/>
        <w:ind w:left="1217" w:right="54" w:hanging="720"/>
        <w:jc w:val="both"/>
      </w:pPr>
      <w:r>
        <w:rPr>
          <w:rFonts w:ascii="Arial" w:eastAsia="Arial" w:hAnsi="Arial" w:cs="Arial"/>
          <w:sz w:val="20"/>
        </w:rPr>
        <w:t xml:space="preserve">20.14.3 </w:t>
      </w:r>
      <w:r>
        <w:rPr>
          <w:rFonts w:ascii="Arial" w:eastAsia="Arial" w:hAnsi="Arial" w:cs="Arial"/>
          <w:color w:val="FF0000"/>
          <w:sz w:val="20"/>
        </w:rPr>
        <w:t>em data anterior à ocorrência do fato gerador, exclusivamente quando a repactuação envolver revisão do custo de mão de obra em que o próprio fato gerador, na forma de acordo, dissídio ou convenção coletiva, ou sentença normativa, contemplar data de vigênci</w:t>
      </w:r>
      <w:r>
        <w:rPr>
          <w:rFonts w:ascii="Arial" w:eastAsia="Arial" w:hAnsi="Arial" w:cs="Arial"/>
          <w:color w:val="FF0000"/>
          <w:sz w:val="20"/>
        </w:rPr>
        <w:t xml:space="preserve">a retroativa, podendo esta ser considerada para efeito de compensação do pagamento devido, assim como para a contagem da anualidade em repactuações futuras. </w:t>
      </w:r>
    </w:p>
    <w:p w:rsidR="006C145C" w:rsidRDefault="00C62E5A">
      <w:pPr>
        <w:spacing w:after="131" w:line="269" w:lineRule="auto"/>
        <w:ind w:left="494" w:right="54" w:hanging="509"/>
        <w:jc w:val="both"/>
      </w:pPr>
      <w:r>
        <w:rPr>
          <w:rFonts w:ascii="Arial" w:eastAsia="Arial" w:hAnsi="Arial" w:cs="Arial"/>
          <w:sz w:val="20"/>
        </w:rPr>
        <w:t xml:space="preserve">20.15 </w:t>
      </w:r>
      <w:r>
        <w:rPr>
          <w:rFonts w:ascii="Arial" w:eastAsia="Arial" w:hAnsi="Arial" w:cs="Arial"/>
          <w:color w:val="FF0000"/>
          <w:sz w:val="20"/>
        </w:rPr>
        <w:t>Os efeitos financeiros da repactuação ficarão restritos exclusivamente aos itens que a motiv</w:t>
      </w:r>
      <w:r>
        <w:rPr>
          <w:rFonts w:ascii="Arial" w:eastAsia="Arial" w:hAnsi="Arial" w:cs="Arial"/>
          <w:color w:val="FF0000"/>
          <w:sz w:val="20"/>
        </w:rPr>
        <w:t xml:space="preserve">aram, e apenas em relação à diferença porventura existente. </w:t>
      </w:r>
    </w:p>
    <w:p w:rsidR="006C145C" w:rsidRDefault="00C62E5A">
      <w:pPr>
        <w:spacing w:after="131" w:line="269" w:lineRule="auto"/>
        <w:ind w:left="494" w:right="54" w:hanging="509"/>
        <w:jc w:val="both"/>
      </w:pPr>
      <w:r>
        <w:rPr>
          <w:rFonts w:ascii="Arial" w:eastAsia="Arial" w:hAnsi="Arial" w:cs="Arial"/>
          <w:sz w:val="20"/>
        </w:rPr>
        <w:t xml:space="preserve">20.16 </w:t>
      </w:r>
      <w:r>
        <w:rPr>
          <w:rFonts w:ascii="Arial" w:eastAsia="Arial" w:hAnsi="Arial" w:cs="Arial"/>
          <w:color w:val="FF0000"/>
          <w:sz w:val="20"/>
        </w:rPr>
        <w:t xml:space="preserve">A decisão sobre o pedido de repactuação deve ser feita no prazo máximo de sessenta dias, contados a partir da solicitação e da entrega dos comprovantes de variação dos custos. </w:t>
      </w:r>
    </w:p>
    <w:p w:rsidR="006C145C" w:rsidRDefault="00C62E5A">
      <w:pPr>
        <w:spacing w:after="131" w:line="269" w:lineRule="auto"/>
        <w:ind w:left="494" w:right="54" w:hanging="509"/>
        <w:jc w:val="both"/>
      </w:pPr>
      <w:r>
        <w:rPr>
          <w:rFonts w:ascii="Arial" w:eastAsia="Arial" w:hAnsi="Arial" w:cs="Arial"/>
          <w:sz w:val="20"/>
        </w:rPr>
        <w:t xml:space="preserve">20.17 </w:t>
      </w:r>
      <w:r>
        <w:rPr>
          <w:rFonts w:ascii="Arial" w:eastAsia="Arial" w:hAnsi="Arial" w:cs="Arial"/>
          <w:color w:val="FF0000"/>
          <w:sz w:val="20"/>
        </w:rPr>
        <w:t>O praz</w:t>
      </w:r>
      <w:r>
        <w:rPr>
          <w:rFonts w:ascii="Arial" w:eastAsia="Arial" w:hAnsi="Arial" w:cs="Arial"/>
          <w:color w:val="FF0000"/>
          <w:sz w:val="20"/>
        </w:rPr>
        <w:t xml:space="preserve">o referido no subitem anterior ficará suspenso enquanto a CONTRATADA não cumprir os atos ou apresentar a documentação solicitada pela CONTRATANTE para a comprovação da variação dos custos. </w:t>
      </w:r>
    </w:p>
    <w:p w:rsidR="006C145C" w:rsidRDefault="00C62E5A">
      <w:pPr>
        <w:spacing w:after="131" w:line="269" w:lineRule="auto"/>
        <w:ind w:left="494" w:right="54" w:hanging="509"/>
        <w:jc w:val="both"/>
      </w:pPr>
      <w:r>
        <w:rPr>
          <w:rFonts w:ascii="Arial" w:eastAsia="Arial" w:hAnsi="Arial" w:cs="Arial"/>
          <w:sz w:val="20"/>
        </w:rPr>
        <w:t xml:space="preserve">20.18 </w:t>
      </w:r>
      <w:r>
        <w:rPr>
          <w:rFonts w:ascii="Arial" w:eastAsia="Arial" w:hAnsi="Arial" w:cs="Arial"/>
          <w:color w:val="FF0000"/>
          <w:sz w:val="20"/>
        </w:rPr>
        <w:t>As repactuações serão formalizadas por meio de apostilamento</w:t>
      </w:r>
      <w:r>
        <w:rPr>
          <w:rFonts w:ascii="Arial" w:eastAsia="Arial" w:hAnsi="Arial" w:cs="Arial"/>
          <w:color w:val="FF0000"/>
          <w:sz w:val="20"/>
        </w:rPr>
        <w:t xml:space="preserve">, exceto quando coincidirem com a prorrogação contratual, caso em que deverão ser formalizadas por aditamento ao contrato. </w:t>
      </w:r>
    </w:p>
    <w:p w:rsidR="006C145C" w:rsidRDefault="00C62E5A">
      <w:pPr>
        <w:spacing w:after="131" w:line="269" w:lineRule="auto"/>
        <w:ind w:left="494" w:right="54" w:hanging="509"/>
        <w:jc w:val="both"/>
      </w:pPr>
      <w:r>
        <w:rPr>
          <w:rFonts w:ascii="Arial" w:eastAsia="Arial" w:hAnsi="Arial" w:cs="Arial"/>
          <w:sz w:val="20"/>
        </w:rPr>
        <w:t xml:space="preserve">20.19 </w:t>
      </w:r>
      <w:r>
        <w:rPr>
          <w:rFonts w:ascii="Arial" w:eastAsia="Arial" w:hAnsi="Arial" w:cs="Arial"/>
          <w:color w:val="FF0000"/>
          <w:sz w:val="20"/>
        </w:rPr>
        <w:t>O CONTRATADO deverá complementar a garantia contratual anteriormente prestada, de modo que se mantenha a proporção de 5% (cinc</w:t>
      </w:r>
      <w:r>
        <w:rPr>
          <w:rFonts w:ascii="Arial" w:eastAsia="Arial" w:hAnsi="Arial" w:cs="Arial"/>
          <w:color w:val="FF0000"/>
          <w:sz w:val="20"/>
        </w:rPr>
        <w:t xml:space="preserve">o por cento) em relação ao valor contratado, como condição para a repactuação, nos termos da alínea K do item 3.1 do Anexo VII-F da IN SEGES/MP n. 5/2017.   </w:t>
      </w:r>
    </w:p>
    <w:p w:rsidR="006C145C" w:rsidRDefault="00C62E5A">
      <w:pPr>
        <w:spacing w:after="17"/>
        <w:ind w:left="655"/>
      </w:pPr>
      <w:r>
        <w:rPr>
          <w:rFonts w:ascii="Arial" w:eastAsia="Arial" w:hAnsi="Arial" w:cs="Arial"/>
          <w:color w:val="FF0000"/>
          <w:sz w:val="20"/>
        </w:rPr>
        <w:t xml:space="preserve"> </w:t>
      </w:r>
    </w:p>
    <w:p w:rsidR="006C145C" w:rsidRDefault="00C62E5A">
      <w:pPr>
        <w:pStyle w:val="Ttulo2"/>
        <w:spacing w:after="132"/>
        <w:ind w:left="665"/>
        <w:jc w:val="left"/>
      </w:pPr>
      <w:r>
        <w:rPr>
          <w:i/>
          <w:color w:val="FF0000"/>
          <w:u w:val="single" w:color="FF0000"/>
        </w:rPr>
        <w:t>OU</w:t>
      </w:r>
      <w:r>
        <w:rPr>
          <w:i/>
          <w:color w:val="FF0000"/>
        </w:rPr>
        <w:t xml:space="preserve"> </w:t>
      </w:r>
    </w:p>
    <w:p w:rsidR="006C145C" w:rsidRDefault="00C62E5A">
      <w:pPr>
        <w:spacing w:after="9"/>
        <w:ind w:left="84"/>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4" w:line="250" w:lineRule="auto"/>
        <w:ind w:left="94" w:right="56" w:hanging="10"/>
        <w:jc w:val="both"/>
      </w:pPr>
      <w:r>
        <w:rPr>
          <w:rFonts w:ascii="Arial" w:eastAsia="Arial" w:hAnsi="Arial" w:cs="Arial"/>
          <w:b/>
          <w:sz w:val="20"/>
        </w:rPr>
        <w:t>Nota Explicativa</w:t>
      </w:r>
      <w:r>
        <w:rPr>
          <w:rFonts w:ascii="Arial" w:eastAsia="Arial" w:hAnsi="Arial" w:cs="Arial"/>
          <w:i/>
          <w:sz w:val="20"/>
        </w:rPr>
        <w:t xml:space="preserve">: Caso seja escolhida a opção do reajuste em sentido estrito (art. 13, § 2º, do Decreto n.º 9.507, de 2018, e no art. 61, § 4º, da IN SEGES/MP n.º 05/2017), deverão ser adotados os itens dispostos a seguir.  </w:t>
      </w:r>
    </w:p>
    <w:p w:rsidR="006C145C" w:rsidRDefault="00C62E5A">
      <w:pPr>
        <w:pStyle w:val="Ttulo3"/>
        <w:spacing w:after="254"/>
        <w:ind w:left="589"/>
        <w:jc w:val="left"/>
      </w:pPr>
      <w:r>
        <w:t xml:space="preserve">20. </w:t>
      </w:r>
      <w:r>
        <w:rPr>
          <w:color w:val="FF0000"/>
        </w:rPr>
        <w:t>DO REAJUSTAMENTO DE PREÇOS EM SENTIDO AMPLO</w:t>
      </w:r>
      <w:r>
        <w:rPr>
          <w:color w:val="FF0000"/>
        </w:rPr>
        <w:t xml:space="preserve"> (REAJUSTE) </w:t>
      </w:r>
    </w:p>
    <w:p w:rsidR="006C145C" w:rsidRDefault="00C62E5A">
      <w:pPr>
        <w:spacing w:after="217" w:line="269" w:lineRule="auto"/>
        <w:ind w:left="646" w:right="54" w:hanging="428"/>
        <w:jc w:val="both"/>
      </w:pPr>
      <w:r>
        <w:rPr>
          <w:rFonts w:ascii="Arial" w:eastAsia="Arial" w:hAnsi="Arial" w:cs="Arial"/>
          <w:sz w:val="20"/>
        </w:rPr>
        <w:t xml:space="preserve">20.1 </w:t>
      </w:r>
      <w:r>
        <w:rPr>
          <w:rFonts w:ascii="Arial" w:eastAsia="Arial" w:hAnsi="Arial" w:cs="Arial"/>
          <w:color w:val="FF0000"/>
          <w:sz w:val="20"/>
        </w:rPr>
        <w:t xml:space="preserve">Os preços são fixos e irreajustáveis no prazo de um ano contado da data limite para a apresentação das propostas. </w:t>
      </w:r>
    </w:p>
    <w:p w:rsidR="006C145C" w:rsidRDefault="00C62E5A">
      <w:pPr>
        <w:spacing w:after="0" w:line="269" w:lineRule="auto"/>
        <w:ind w:left="656" w:right="54" w:hanging="10"/>
        <w:jc w:val="both"/>
      </w:pPr>
      <w:r>
        <w:rPr>
          <w:rFonts w:ascii="Arial" w:eastAsia="Arial" w:hAnsi="Arial" w:cs="Arial"/>
          <w:sz w:val="20"/>
        </w:rPr>
        <w:t xml:space="preserve">20.1.1 </w:t>
      </w:r>
      <w:r>
        <w:rPr>
          <w:rFonts w:ascii="Arial" w:eastAsia="Arial" w:hAnsi="Arial" w:cs="Arial"/>
          <w:color w:val="FF0000"/>
          <w:sz w:val="20"/>
        </w:rPr>
        <w:t xml:space="preserve">Dentro do prazo </w:t>
      </w:r>
      <w:r>
        <w:rPr>
          <w:rFonts w:ascii="Arial" w:eastAsia="Arial" w:hAnsi="Arial" w:cs="Arial"/>
          <w:color w:val="FF0000"/>
          <w:sz w:val="20"/>
        </w:rPr>
        <w:t>de vigência do contrato e mediante solicitação da contratada, os preços contratados poderão sofrer reajuste após o interregno de um ano, aplicando-se o índice ............., exclusivamente para as obrigações iniciadas e concluídas após a ocorrência da anua</w:t>
      </w:r>
      <w:r>
        <w:rPr>
          <w:rFonts w:ascii="Arial" w:eastAsia="Arial" w:hAnsi="Arial" w:cs="Arial"/>
          <w:color w:val="FF0000"/>
          <w:sz w:val="20"/>
        </w:rPr>
        <w:t xml:space="preserve">lidade. </w:t>
      </w:r>
    </w:p>
    <w:tbl>
      <w:tblPr>
        <w:tblStyle w:val="TableGrid"/>
        <w:tblW w:w="9219" w:type="dxa"/>
        <w:tblInd w:w="106" w:type="dxa"/>
        <w:tblCellMar>
          <w:top w:w="27" w:type="dxa"/>
          <w:left w:w="29" w:type="dxa"/>
          <w:bottom w:w="0" w:type="dxa"/>
          <w:right w:w="0" w:type="dxa"/>
        </w:tblCellMar>
        <w:tblLook w:val="04A0" w:firstRow="1" w:lastRow="0" w:firstColumn="1" w:lastColumn="0" w:noHBand="0" w:noVBand="1"/>
      </w:tblPr>
      <w:tblGrid>
        <w:gridCol w:w="84"/>
        <w:gridCol w:w="9135"/>
      </w:tblGrid>
      <w:tr w:rsidR="006C145C">
        <w:trPr>
          <w:trHeight w:val="3039"/>
        </w:trPr>
        <w:tc>
          <w:tcPr>
            <w:tcW w:w="84" w:type="dxa"/>
            <w:tcBorders>
              <w:top w:val="single" w:sz="4" w:space="0" w:color="1F497D"/>
              <w:left w:val="single" w:sz="4" w:space="0" w:color="1F497D"/>
              <w:bottom w:val="single" w:sz="4" w:space="0" w:color="1F497D"/>
              <w:right w:val="nil"/>
            </w:tcBorders>
          </w:tcPr>
          <w:p w:rsidR="006C145C" w:rsidRDefault="006C145C"/>
        </w:tc>
        <w:tc>
          <w:tcPr>
            <w:tcW w:w="9135" w:type="dxa"/>
            <w:tcBorders>
              <w:top w:val="single" w:sz="4" w:space="0" w:color="1F497D"/>
              <w:left w:val="nil"/>
              <w:bottom w:val="single" w:sz="4" w:space="0" w:color="1F497D"/>
              <w:right w:val="single" w:sz="4" w:space="0" w:color="1F497D"/>
            </w:tcBorders>
            <w:shd w:val="clear" w:color="auto" w:fill="FFFFCC"/>
          </w:tcPr>
          <w:p w:rsidR="006C145C" w:rsidRDefault="00C62E5A">
            <w:pPr>
              <w:spacing w:after="0"/>
              <w:ind w:right="36"/>
              <w:jc w:val="both"/>
            </w:pPr>
            <w:r>
              <w:rPr>
                <w:rFonts w:ascii="Arial" w:eastAsia="Arial" w:hAnsi="Arial" w:cs="Arial"/>
                <w:b/>
                <w:i/>
                <w:sz w:val="20"/>
              </w:rPr>
              <w:t>Nota explicativa:</w:t>
            </w:r>
            <w:r>
              <w:rPr>
                <w:rFonts w:ascii="Arial" w:eastAsia="Arial" w:hAnsi="Arial" w:cs="Arial"/>
                <w:i/>
                <w:sz w:val="20"/>
              </w:rPr>
              <w:t xml:space="preserve"> A Administração deverá atentar para que o índice utilizado seja o indicador mais próximo da efetiva variação dos preços dos insumos e materiais a serem fornecidos, valendo-se, pois, em regra, da adoção de índices setoriais ou es</w:t>
            </w:r>
            <w:r>
              <w:rPr>
                <w:rFonts w:ascii="Arial" w:eastAsia="Arial" w:hAnsi="Arial" w:cs="Arial"/>
                <w:i/>
                <w:sz w:val="20"/>
              </w:rPr>
              <w:t>pecíficos. “Caso inexistam índices setoriais ou específicos, deverá ser adotado o índice geral de preços que melhor esteja correlacionado com os custos do objeto contratual ou, ainda, em caráter subsidiário, verificar se existe, no mercado, algum índice ge</w:t>
            </w:r>
            <w:r>
              <w:rPr>
                <w:rFonts w:ascii="Arial" w:eastAsia="Arial" w:hAnsi="Arial" w:cs="Arial"/>
                <w:i/>
                <w:sz w:val="20"/>
              </w:rPr>
              <w:t xml:space="preserve">ral de adoção consagrada para o objeto contratado. Não havendo índices com uma dessas características, deve ser adotado o reajustamento pelo IPCA/IBGE, pois é o índice oficial de monitoramento da inflação no Brasil. Qualquer que seja o índice utilizado, a </w:t>
            </w:r>
            <w:r>
              <w:rPr>
                <w:rFonts w:ascii="Arial" w:eastAsia="Arial" w:hAnsi="Arial" w:cs="Arial"/>
                <w:i/>
                <w:sz w:val="20"/>
              </w:rPr>
              <w:t xml:space="preserve">Administração deverá justificar sua escolha tecnicamente. A Administração poderá, ainda, se valer de índices diferenciados, de forma justificada, de acordo com as peculiaridades envolvidas no objeto contratual”. (Parecer n.º 04/2013/CPLC/DEPCONSU/PGF/AGU, </w:t>
            </w:r>
            <w:r>
              <w:rPr>
                <w:rFonts w:ascii="Arial" w:eastAsia="Arial" w:hAnsi="Arial" w:cs="Arial"/>
                <w:i/>
                <w:sz w:val="20"/>
              </w:rPr>
              <w:t xml:space="preserve">NUP: 00407.001847/2013-61). A Administração poderá, ainda, utilizar índices diferenciados, de forma justificada, de acordo com as peculiaridades envolvidas no objeto contratual. </w:t>
            </w:r>
          </w:p>
        </w:tc>
      </w:tr>
    </w:tbl>
    <w:p w:rsidR="006C145C" w:rsidRDefault="00C62E5A">
      <w:pPr>
        <w:spacing w:after="12" w:line="269" w:lineRule="auto"/>
        <w:ind w:left="646" w:right="54" w:hanging="360"/>
        <w:jc w:val="both"/>
      </w:pPr>
      <w:r>
        <w:rPr>
          <w:rFonts w:ascii="Arial" w:eastAsia="Arial" w:hAnsi="Arial" w:cs="Arial"/>
          <w:sz w:val="20"/>
        </w:rPr>
        <w:t xml:space="preserve">20.2 </w:t>
      </w:r>
      <w:r>
        <w:rPr>
          <w:rFonts w:ascii="Arial" w:eastAsia="Arial" w:hAnsi="Arial" w:cs="Arial"/>
          <w:sz w:val="20"/>
        </w:rPr>
        <w:tab/>
      </w:r>
      <w:r>
        <w:rPr>
          <w:rFonts w:ascii="Arial" w:eastAsia="Arial" w:hAnsi="Arial" w:cs="Arial"/>
          <w:color w:val="FF0000"/>
          <w:sz w:val="20"/>
        </w:rPr>
        <w:t xml:space="preserve">Nos reajustes subsequentes ao primeiro, o interregno mínimo de um ano </w:t>
      </w:r>
      <w:r>
        <w:rPr>
          <w:rFonts w:ascii="Arial" w:eastAsia="Arial" w:hAnsi="Arial" w:cs="Arial"/>
          <w:color w:val="FF0000"/>
          <w:sz w:val="20"/>
        </w:rPr>
        <w:t xml:space="preserve">será contado a partir dos efeitos financeiros do último reajuste. </w:t>
      </w:r>
    </w:p>
    <w:p w:rsidR="006C145C" w:rsidRDefault="00C62E5A">
      <w:pPr>
        <w:spacing w:after="131" w:line="269" w:lineRule="auto"/>
        <w:ind w:left="646" w:right="54" w:hanging="360"/>
        <w:jc w:val="both"/>
      </w:pPr>
      <w:r>
        <w:rPr>
          <w:rFonts w:ascii="Arial" w:eastAsia="Arial" w:hAnsi="Arial" w:cs="Arial"/>
          <w:sz w:val="20"/>
        </w:rPr>
        <w:t xml:space="preserve">20.3 </w:t>
      </w:r>
      <w:r>
        <w:rPr>
          <w:rFonts w:ascii="Arial" w:eastAsia="Arial" w:hAnsi="Arial" w:cs="Arial"/>
          <w:color w:val="FF0000"/>
          <w:sz w:val="20"/>
        </w:rPr>
        <w:t>No caso de atraso ou não divulgação do índice de reajustamento, o CONTRATANTE pagará à CONTRATADA a importância calculada pela última variação conhecida, liquidando a diferença correspondente tão logo seja divulgado o índice definitivo. Fica a CONTRATADA o</w:t>
      </w:r>
      <w:r>
        <w:rPr>
          <w:rFonts w:ascii="Arial" w:eastAsia="Arial" w:hAnsi="Arial" w:cs="Arial"/>
          <w:color w:val="FF0000"/>
          <w:sz w:val="20"/>
        </w:rPr>
        <w:t xml:space="preserve">brigada a apresentar memória de cálculo referente ao reajustamento de preços do valor remanescente, sempre que este ocorrer.  </w:t>
      </w:r>
    </w:p>
    <w:p w:rsidR="006C145C" w:rsidRDefault="00C62E5A">
      <w:pPr>
        <w:tabs>
          <w:tab w:val="center" w:pos="4128"/>
        </w:tabs>
        <w:spacing w:after="131" w:line="269" w:lineRule="auto"/>
      </w:pPr>
      <w:r>
        <w:rPr>
          <w:rFonts w:ascii="Arial" w:eastAsia="Arial" w:hAnsi="Arial" w:cs="Arial"/>
          <w:sz w:val="20"/>
        </w:rPr>
        <w:t xml:space="preserve">20.4 </w:t>
      </w:r>
      <w:r>
        <w:rPr>
          <w:rFonts w:ascii="Arial" w:eastAsia="Arial" w:hAnsi="Arial" w:cs="Arial"/>
          <w:sz w:val="20"/>
        </w:rPr>
        <w:tab/>
      </w:r>
      <w:r>
        <w:rPr>
          <w:rFonts w:ascii="Arial" w:eastAsia="Arial" w:hAnsi="Arial" w:cs="Arial"/>
          <w:color w:val="FF0000"/>
          <w:sz w:val="20"/>
        </w:rPr>
        <w:t xml:space="preserve">Nas aferições finais, o índice utilizado para reajuste será, obrigatoriamente, o definitivo. </w:t>
      </w:r>
    </w:p>
    <w:p w:rsidR="006C145C" w:rsidRDefault="00C62E5A">
      <w:pPr>
        <w:spacing w:after="131" w:line="269" w:lineRule="auto"/>
        <w:ind w:left="644" w:right="54" w:hanging="360"/>
        <w:jc w:val="both"/>
      </w:pPr>
      <w:r>
        <w:rPr>
          <w:rFonts w:ascii="Arial" w:eastAsia="Arial" w:hAnsi="Arial" w:cs="Arial"/>
          <w:sz w:val="20"/>
        </w:rPr>
        <w:t xml:space="preserve">20.5 </w:t>
      </w:r>
      <w:r>
        <w:rPr>
          <w:rFonts w:ascii="Arial" w:eastAsia="Arial" w:hAnsi="Arial" w:cs="Arial"/>
          <w:color w:val="FF0000"/>
          <w:sz w:val="20"/>
        </w:rPr>
        <w:t>Caso o índice estabeleci</w:t>
      </w:r>
      <w:r>
        <w:rPr>
          <w:rFonts w:ascii="Arial" w:eastAsia="Arial" w:hAnsi="Arial" w:cs="Arial"/>
          <w:color w:val="FF0000"/>
          <w:sz w:val="20"/>
        </w:rPr>
        <w:t xml:space="preserve">do para reajustamento venha a ser extinto ou de qualquer forma não possa mais ser utilizado, será adotado, em substituição, o que vier a ser determinado pela legislação então em vigor. </w:t>
      </w:r>
    </w:p>
    <w:p w:rsidR="006C145C" w:rsidRDefault="00C62E5A">
      <w:pPr>
        <w:spacing w:after="131" w:line="269" w:lineRule="auto"/>
        <w:ind w:left="644" w:right="54" w:hanging="360"/>
        <w:jc w:val="both"/>
      </w:pPr>
      <w:r>
        <w:rPr>
          <w:rFonts w:ascii="Arial" w:eastAsia="Arial" w:hAnsi="Arial" w:cs="Arial"/>
          <w:sz w:val="20"/>
        </w:rPr>
        <w:t xml:space="preserve">20.6 </w:t>
      </w:r>
      <w:r>
        <w:rPr>
          <w:rFonts w:ascii="Arial" w:eastAsia="Arial" w:hAnsi="Arial" w:cs="Arial"/>
          <w:color w:val="FF0000"/>
          <w:sz w:val="20"/>
        </w:rPr>
        <w:t>Na ausência de previsão legal quanto ao índice substituto, as par</w:t>
      </w:r>
      <w:r>
        <w:rPr>
          <w:rFonts w:ascii="Arial" w:eastAsia="Arial" w:hAnsi="Arial" w:cs="Arial"/>
          <w:color w:val="FF0000"/>
          <w:sz w:val="20"/>
        </w:rPr>
        <w:t xml:space="preserve">tes elegerão novo índice oficial, para reajustamento do preço do valor remanescente, por meio de termo aditivo.  </w:t>
      </w:r>
    </w:p>
    <w:p w:rsidR="006C145C" w:rsidRDefault="00C62E5A">
      <w:pPr>
        <w:tabs>
          <w:tab w:val="center" w:pos="2221"/>
        </w:tabs>
        <w:spacing w:after="493" w:line="269" w:lineRule="auto"/>
      </w:pPr>
      <w:r>
        <w:rPr>
          <w:rFonts w:ascii="Arial" w:eastAsia="Arial" w:hAnsi="Arial" w:cs="Arial"/>
          <w:sz w:val="20"/>
        </w:rPr>
        <w:t xml:space="preserve">20.7 </w:t>
      </w:r>
      <w:r>
        <w:rPr>
          <w:rFonts w:ascii="Arial" w:eastAsia="Arial" w:hAnsi="Arial" w:cs="Arial"/>
          <w:sz w:val="20"/>
        </w:rPr>
        <w:tab/>
      </w:r>
      <w:r>
        <w:rPr>
          <w:rFonts w:ascii="Arial" w:eastAsia="Arial" w:hAnsi="Arial" w:cs="Arial"/>
          <w:color w:val="FF0000"/>
          <w:sz w:val="20"/>
        </w:rPr>
        <w:t xml:space="preserve">O reajuste será realizado por apostilamento. </w:t>
      </w:r>
    </w:p>
    <w:p w:rsidR="006C145C" w:rsidRDefault="00C62E5A">
      <w:pPr>
        <w:pStyle w:val="Ttulo4"/>
        <w:spacing w:after="27"/>
        <w:ind w:left="589" w:right="37"/>
      </w:pPr>
      <w:r>
        <w:t xml:space="preserve">21. GARANTIA DA EXECUÇÃO </w:t>
      </w:r>
    </w:p>
    <w:p w:rsidR="006C145C" w:rsidRDefault="00C62E5A">
      <w:pPr>
        <w:spacing w:after="168"/>
        <w:ind w:left="218"/>
      </w:pPr>
      <w:r>
        <w:rPr>
          <w:rFonts w:ascii="Arial" w:eastAsia="Arial" w:hAnsi="Arial" w:cs="Arial"/>
          <w:i/>
          <w:color w:val="FF0000"/>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71" w:line="249" w:lineRule="auto"/>
        <w:ind w:left="228" w:right="57" w:hanging="10"/>
        <w:jc w:val="both"/>
      </w:pPr>
      <w:r>
        <w:rPr>
          <w:rFonts w:ascii="Arial" w:eastAsia="Arial" w:hAnsi="Arial" w:cs="Arial"/>
          <w:b/>
          <w:i/>
          <w:sz w:val="20"/>
        </w:rPr>
        <w:t>Nota explicativa</w:t>
      </w:r>
      <w:r>
        <w:rPr>
          <w:rFonts w:ascii="Arial" w:eastAsia="Arial" w:hAnsi="Arial" w:cs="Arial"/>
          <w:i/>
          <w:sz w:val="20"/>
        </w:rPr>
        <w:t>: A garantia é obrigatória para os contratos q</w:t>
      </w:r>
      <w:r>
        <w:rPr>
          <w:rFonts w:ascii="Arial" w:eastAsia="Arial" w:hAnsi="Arial" w:cs="Arial"/>
          <w:i/>
          <w:sz w:val="20"/>
        </w:rPr>
        <w:t xml:space="preserve">ue envolvam a execução de serviços continuados com dedicação exclusiva de mão de obra, nos termos do art. 8º, VI do Decreto nº 9.507, de 2018, e do item 3 do Anexo VII-F da Instrução Normativa SEGES/MP n.º 05/2017. </w:t>
      </w:r>
    </w:p>
    <w:p w:rsidR="006C145C" w:rsidRDefault="00C62E5A">
      <w:pPr>
        <w:spacing w:after="6" w:line="270" w:lineRule="auto"/>
        <w:ind w:left="74" w:right="54" w:hanging="77"/>
        <w:jc w:val="both"/>
      </w:pPr>
      <w:r>
        <w:rPr>
          <w:rFonts w:ascii="Arial" w:eastAsia="Arial" w:hAnsi="Arial" w:cs="Arial"/>
          <w:sz w:val="20"/>
        </w:rPr>
        <w:t xml:space="preserve">21.1  O adjudicatário prestará garantia </w:t>
      </w:r>
      <w:r>
        <w:rPr>
          <w:rFonts w:ascii="Arial" w:eastAsia="Arial" w:hAnsi="Arial" w:cs="Arial"/>
          <w:sz w:val="20"/>
        </w:rPr>
        <w:t xml:space="preserve">de execução do contrato, nos moldes do art. 56 da Lei nº 8.666, de 1993, com validade durante a execução do contrato e por 90 (noventa) dias após o término da vigência contratual, em valor correspondente a 5% (cinco por cento) do valor total do contrato. </w:t>
      </w:r>
    </w:p>
    <w:p w:rsidR="006C145C" w:rsidRDefault="00C62E5A">
      <w:pPr>
        <w:spacing w:after="129" w:line="270" w:lineRule="auto"/>
        <w:ind w:left="74" w:right="54" w:hanging="77"/>
        <w:jc w:val="both"/>
      </w:pPr>
      <w:r>
        <w:rPr>
          <w:rFonts w:ascii="Arial" w:eastAsia="Arial" w:hAnsi="Arial" w:cs="Arial"/>
          <w:sz w:val="20"/>
        </w:rPr>
        <w:t>21.2 No prazo máximo de 10 (dez) dias úteis, prorrogáveis por igual período, a critério do contratante, contados da assinatura do contrato, a contratada deverá apresentar comprovante de prestação de garantia, podendo optar por caução em dinheiro ou títulos</w:t>
      </w:r>
      <w:r>
        <w:rPr>
          <w:rFonts w:ascii="Arial" w:eastAsia="Arial" w:hAnsi="Arial" w:cs="Arial"/>
          <w:sz w:val="20"/>
        </w:rPr>
        <w:t xml:space="preserve"> da dívida pública, segurogarantia ou fiança bancária.  </w:t>
      </w:r>
    </w:p>
    <w:p w:rsidR="006C145C" w:rsidRDefault="00C62E5A">
      <w:pPr>
        <w:spacing w:after="5" w:line="270" w:lineRule="auto"/>
        <w:ind w:left="717" w:right="54" w:hanging="720"/>
        <w:jc w:val="both"/>
      </w:pPr>
      <w:r>
        <w:rPr>
          <w:rFonts w:ascii="Arial" w:eastAsia="Arial" w:hAnsi="Arial" w:cs="Arial"/>
          <w:sz w:val="20"/>
        </w:rPr>
        <w:t>21.2.1 A inobservância do prazo fixado para apresentação da garantia acarretará a aplicação de multa de 0,07% (sete centésimos por cento) do valor total do contrato por dia de atraso, até o máximo de</w:t>
      </w:r>
      <w:r>
        <w:rPr>
          <w:rFonts w:ascii="Arial" w:eastAsia="Arial" w:hAnsi="Arial" w:cs="Arial"/>
          <w:sz w:val="20"/>
        </w:rPr>
        <w:t xml:space="preserve"> 2% (dois por cento).  </w:t>
      </w:r>
    </w:p>
    <w:p w:rsidR="006C145C" w:rsidRDefault="00C62E5A">
      <w:pPr>
        <w:spacing w:after="6" w:line="270" w:lineRule="auto"/>
        <w:ind w:left="717" w:right="54" w:hanging="720"/>
        <w:jc w:val="both"/>
      </w:pPr>
      <w:r>
        <w:rPr>
          <w:rFonts w:ascii="Arial" w:eastAsia="Arial" w:hAnsi="Arial" w:cs="Arial"/>
          <w:sz w:val="20"/>
        </w:rPr>
        <w:t>21.2.2 O atraso superior a 25 (vinte e cinco) dias autoriza a Administração a promover a rescisão do contrato por descumprimento ou cumprimento irregular de suas cláusulas, conforme dispõem os incisos I e II do art. 78 da Lei n. 8.6</w:t>
      </w:r>
      <w:r>
        <w:rPr>
          <w:rFonts w:ascii="Arial" w:eastAsia="Arial" w:hAnsi="Arial" w:cs="Arial"/>
          <w:sz w:val="20"/>
        </w:rPr>
        <w:t xml:space="preserve">66 de 1993.  </w:t>
      </w:r>
    </w:p>
    <w:p w:rsidR="006C145C" w:rsidRDefault="00C62E5A">
      <w:pPr>
        <w:spacing w:after="156" w:line="270" w:lineRule="auto"/>
        <w:ind w:left="357" w:right="54" w:hanging="360"/>
        <w:jc w:val="both"/>
      </w:pPr>
      <w:r>
        <w:rPr>
          <w:rFonts w:ascii="Arial" w:eastAsia="Arial" w:hAnsi="Arial" w:cs="Arial"/>
          <w:sz w:val="20"/>
        </w:rPr>
        <w:t xml:space="preserve">21.3 A validade da garantia, qualquer que seja a modalidade escolhida, deverá abranger um período de 90 dias após o término da vigência contratual, conforme item 3.1 do Anexo VII-F da IN SEGES/MP nº 5/2017.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3" w:line="250" w:lineRule="auto"/>
        <w:ind w:left="2" w:right="26" w:hanging="10"/>
        <w:jc w:val="both"/>
      </w:pPr>
      <w:r>
        <w:rPr>
          <w:rFonts w:ascii="Arial" w:eastAsia="Arial" w:hAnsi="Arial" w:cs="Arial"/>
          <w:b/>
          <w:sz w:val="20"/>
        </w:rPr>
        <w:lastRenderedPageBreak/>
        <w:t>Nota Explicativa</w:t>
      </w:r>
      <w:r>
        <w:rPr>
          <w:rFonts w:ascii="Arial" w:eastAsia="Arial" w:hAnsi="Arial" w:cs="Arial"/>
          <w:sz w:val="20"/>
        </w:rPr>
        <w:t>: O art. 8º, VI do</w:t>
      </w:r>
      <w:r>
        <w:rPr>
          <w:rFonts w:ascii="Arial" w:eastAsia="Arial" w:hAnsi="Arial" w:cs="Arial"/>
          <w:sz w:val="20"/>
        </w:rPr>
        <w:t xml:space="preserve"> Decreto nº 9.507, de 2018 exige a prestação de garantia, inclusive para pagamento de obrigações de natureza trabalhista, previdenciária e para com o FGTS, em valor correspondente a cinco por cento do valor do contrato, limitada ao equivalente a dois meses</w:t>
      </w:r>
      <w:r>
        <w:rPr>
          <w:rFonts w:ascii="Arial" w:eastAsia="Arial" w:hAnsi="Arial" w:cs="Arial"/>
          <w:sz w:val="20"/>
        </w:rPr>
        <w:t xml:space="preserve"> do custo da folha de pagamento dos empregados da contratada que venham a participar da execução dos serviços contratados, com prazo de validade de até noventa dias após o encerramento do contrato.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6"/>
        <w:ind w:left="-8" w:right="26"/>
      </w:pPr>
      <w:r>
        <w:rPr>
          <w:rFonts w:ascii="Arial" w:eastAsia="Arial" w:hAnsi="Arial" w:cs="Arial"/>
          <w:sz w:val="20"/>
        </w:rPr>
        <w:t xml:space="preserve"> </w:t>
      </w:r>
    </w:p>
    <w:p w:rsidR="006C145C" w:rsidRDefault="00C62E5A">
      <w:pPr>
        <w:tabs>
          <w:tab w:val="center" w:pos="4542"/>
        </w:tabs>
        <w:spacing w:after="129" w:line="270" w:lineRule="auto"/>
        <w:ind w:left="-3"/>
      </w:pPr>
      <w:r>
        <w:rPr>
          <w:rFonts w:ascii="Arial" w:eastAsia="Arial" w:hAnsi="Arial" w:cs="Arial"/>
          <w:sz w:val="20"/>
        </w:rPr>
        <w:t xml:space="preserve">21.4 </w:t>
      </w:r>
      <w:r>
        <w:rPr>
          <w:rFonts w:ascii="Arial" w:eastAsia="Arial" w:hAnsi="Arial" w:cs="Arial"/>
          <w:sz w:val="20"/>
        </w:rPr>
        <w:tab/>
      </w:r>
      <w:r>
        <w:rPr>
          <w:rFonts w:ascii="Arial" w:eastAsia="Arial" w:hAnsi="Arial" w:cs="Arial"/>
          <w:sz w:val="20"/>
        </w:rPr>
        <w:t xml:space="preserve">A garantia assegurará, qualquer que seja a modalidade escolhida, o pagamento de:  </w:t>
      </w:r>
    </w:p>
    <w:p w:rsidR="006C145C" w:rsidRDefault="00C62E5A">
      <w:pPr>
        <w:spacing w:after="129" w:line="270" w:lineRule="auto"/>
        <w:ind w:left="1141" w:right="54" w:hanging="8"/>
        <w:jc w:val="both"/>
      </w:pPr>
      <w:r>
        <w:rPr>
          <w:rFonts w:ascii="Arial" w:eastAsia="Arial" w:hAnsi="Arial" w:cs="Arial"/>
          <w:sz w:val="20"/>
        </w:rPr>
        <w:t xml:space="preserve">21.4.1 prejuízos advindos do não cumprimento do objeto do contrato e do não adimplemento das demais obrigações nele previstas;  </w:t>
      </w:r>
    </w:p>
    <w:p w:rsidR="006C145C" w:rsidRDefault="00C62E5A">
      <w:pPr>
        <w:spacing w:after="129" w:line="270" w:lineRule="auto"/>
        <w:ind w:left="1141" w:right="54" w:hanging="8"/>
        <w:jc w:val="both"/>
      </w:pPr>
      <w:r>
        <w:rPr>
          <w:rFonts w:ascii="Arial" w:eastAsia="Arial" w:hAnsi="Arial" w:cs="Arial"/>
          <w:sz w:val="20"/>
        </w:rPr>
        <w:t>21.4.2 prejuízos diretos causados à Administ</w:t>
      </w:r>
      <w:r>
        <w:rPr>
          <w:rFonts w:ascii="Arial" w:eastAsia="Arial" w:hAnsi="Arial" w:cs="Arial"/>
          <w:sz w:val="20"/>
        </w:rPr>
        <w:t xml:space="preserve">ração decorrentes de culpa ou dolo durante a execução do contrato; </w:t>
      </w:r>
    </w:p>
    <w:p w:rsidR="006C145C" w:rsidRDefault="00C62E5A">
      <w:pPr>
        <w:tabs>
          <w:tab w:val="center" w:pos="1525"/>
          <w:tab w:val="center" w:pos="5560"/>
        </w:tabs>
        <w:spacing w:after="146"/>
      </w:pPr>
      <w:r>
        <w:tab/>
      </w:r>
      <w:r>
        <w:rPr>
          <w:rFonts w:ascii="Arial" w:eastAsia="Arial" w:hAnsi="Arial" w:cs="Arial"/>
          <w:sz w:val="20"/>
        </w:rPr>
        <w:t xml:space="preserve">21.4.3 </w:t>
      </w:r>
      <w:r>
        <w:rPr>
          <w:rFonts w:ascii="Arial" w:eastAsia="Arial" w:hAnsi="Arial" w:cs="Arial"/>
          <w:sz w:val="20"/>
        </w:rPr>
        <w:tab/>
        <w:t xml:space="preserve">multas moratórias e punitivas aplicadas pela Administração à contratada; e   </w:t>
      </w:r>
    </w:p>
    <w:p w:rsidR="006C145C" w:rsidRDefault="00C62E5A">
      <w:pPr>
        <w:spacing w:after="129" w:line="270" w:lineRule="auto"/>
        <w:ind w:left="1141" w:right="54" w:hanging="8"/>
        <w:jc w:val="both"/>
      </w:pPr>
      <w:r>
        <w:rPr>
          <w:rFonts w:ascii="Arial" w:eastAsia="Arial" w:hAnsi="Arial" w:cs="Arial"/>
          <w:sz w:val="20"/>
        </w:rPr>
        <w:t>21.4.4 obrigações trabalhistas e previdenciárias de qualquer natureza e para com o FGTS, não adimplid</w:t>
      </w:r>
      <w:r>
        <w:rPr>
          <w:rFonts w:ascii="Arial" w:eastAsia="Arial" w:hAnsi="Arial" w:cs="Arial"/>
          <w:sz w:val="20"/>
        </w:rPr>
        <w:t xml:space="preserve">as pela contratada, quando couber. </w:t>
      </w:r>
    </w:p>
    <w:p w:rsidR="006C145C" w:rsidRDefault="00C62E5A">
      <w:pPr>
        <w:spacing w:after="129" w:line="270" w:lineRule="auto"/>
        <w:ind w:left="5" w:right="54" w:hanging="8"/>
        <w:jc w:val="both"/>
      </w:pPr>
      <w:r>
        <w:rPr>
          <w:rFonts w:ascii="Arial" w:eastAsia="Arial" w:hAnsi="Arial" w:cs="Arial"/>
          <w:sz w:val="20"/>
        </w:rPr>
        <w:t xml:space="preserve">21.5 A modalidade seguro-garantia somente será aceita se contemplar todos os eventos indicados no item anterior, observada a legislação que rege a matéria. </w:t>
      </w:r>
    </w:p>
    <w:p w:rsidR="006C145C" w:rsidRDefault="00C62E5A">
      <w:pPr>
        <w:spacing w:after="129" w:line="270" w:lineRule="auto"/>
        <w:ind w:left="5" w:right="54" w:hanging="8"/>
        <w:jc w:val="both"/>
      </w:pPr>
      <w:r>
        <w:rPr>
          <w:rFonts w:ascii="Arial" w:eastAsia="Arial" w:hAnsi="Arial" w:cs="Arial"/>
          <w:sz w:val="20"/>
        </w:rPr>
        <w:t xml:space="preserve">21.6 </w:t>
      </w:r>
      <w:r>
        <w:rPr>
          <w:rFonts w:ascii="Arial" w:eastAsia="Arial" w:hAnsi="Arial" w:cs="Arial"/>
          <w:sz w:val="20"/>
        </w:rPr>
        <w:t xml:space="preserve">A garantia em dinheiro deverá ser efetuada em favor da Contratante, em conta específica na Caixa Econômica Federal, com correção monetária. </w:t>
      </w:r>
    </w:p>
    <w:p w:rsidR="006C145C" w:rsidRDefault="00C62E5A">
      <w:pPr>
        <w:spacing w:after="129" w:line="270" w:lineRule="auto"/>
        <w:ind w:left="5" w:right="54" w:hanging="8"/>
        <w:jc w:val="both"/>
      </w:pPr>
      <w:r>
        <w:rPr>
          <w:rFonts w:ascii="Arial" w:eastAsia="Arial" w:hAnsi="Arial" w:cs="Arial"/>
          <w:sz w:val="20"/>
        </w:rPr>
        <w:t>21.7 Caso a opção seja por utilizar títulos da dívida pública, estes devem ter sido emitidos sob a forma escritural</w:t>
      </w:r>
      <w:r>
        <w:rPr>
          <w:rFonts w:ascii="Arial" w:eastAsia="Arial" w:hAnsi="Arial" w:cs="Arial"/>
          <w:sz w:val="20"/>
        </w:rPr>
        <w:t xml:space="preserve">, mediante registro em sistema centralizado de liquidação e de custódia autorizado pelo Banco Central do Brasil, e avaliados pelos seus valores econômicos, conforme definido pelo Ministério da Fazenda. </w:t>
      </w:r>
    </w:p>
    <w:p w:rsidR="006C145C" w:rsidRDefault="00C62E5A">
      <w:pPr>
        <w:spacing w:after="129" w:line="270" w:lineRule="auto"/>
        <w:ind w:left="5" w:right="54" w:hanging="8"/>
        <w:jc w:val="both"/>
      </w:pPr>
      <w:r>
        <w:rPr>
          <w:rFonts w:ascii="Arial" w:eastAsia="Arial" w:hAnsi="Arial" w:cs="Arial"/>
          <w:sz w:val="20"/>
        </w:rPr>
        <w:t>21.8 No caso de garantia na modalidade de fiança banc</w:t>
      </w:r>
      <w:r>
        <w:rPr>
          <w:rFonts w:ascii="Arial" w:eastAsia="Arial" w:hAnsi="Arial" w:cs="Arial"/>
          <w:sz w:val="20"/>
        </w:rPr>
        <w:t xml:space="preserve">ária, deverá constar expressa renúncia do fiador aos benefícios do artigo 827 do Código Civil. </w:t>
      </w:r>
    </w:p>
    <w:p w:rsidR="006C145C" w:rsidRDefault="00C62E5A">
      <w:pPr>
        <w:spacing w:after="129" w:line="270" w:lineRule="auto"/>
        <w:ind w:left="5" w:right="54" w:hanging="8"/>
        <w:jc w:val="both"/>
      </w:pPr>
      <w:r>
        <w:rPr>
          <w:rFonts w:ascii="Arial" w:eastAsia="Arial" w:hAnsi="Arial" w:cs="Arial"/>
          <w:sz w:val="20"/>
        </w:rPr>
        <w:t>21.9 No caso de alteração do valor do contrato, ou prorrogação de sua vigência, a garantia deverá ser ajustada à nova situação ou renovada, seguindo os mesmos p</w:t>
      </w:r>
      <w:r>
        <w:rPr>
          <w:rFonts w:ascii="Arial" w:eastAsia="Arial" w:hAnsi="Arial" w:cs="Arial"/>
          <w:sz w:val="20"/>
        </w:rPr>
        <w:t xml:space="preserve">arâmetros utilizados quando da contratação.  </w:t>
      </w:r>
    </w:p>
    <w:p w:rsidR="006C145C" w:rsidRDefault="00C62E5A">
      <w:pPr>
        <w:spacing w:after="129" w:line="270" w:lineRule="auto"/>
        <w:ind w:left="5" w:right="54" w:hanging="8"/>
        <w:jc w:val="both"/>
      </w:pPr>
      <w:r>
        <w:rPr>
          <w:rFonts w:ascii="Arial" w:eastAsia="Arial" w:hAnsi="Arial" w:cs="Arial"/>
          <w:sz w:val="20"/>
        </w:rPr>
        <w:t>21.10 Se o valor da garantia for utilizado total ou parcialmente em pagamento de qualquer obrigação, a Contratada obriga-se a fazer a respectiva reposição no prazo máximo de .......... (......) dias úteis, cont</w:t>
      </w:r>
      <w:r>
        <w:rPr>
          <w:rFonts w:ascii="Arial" w:eastAsia="Arial" w:hAnsi="Arial" w:cs="Arial"/>
          <w:sz w:val="20"/>
        </w:rPr>
        <w:t xml:space="preserve">ados da data em que for notificada. </w:t>
      </w:r>
    </w:p>
    <w:p w:rsidR="006C145C" w:rsidRDefault="00C62E5A">
      <w:pPr>
        <w:spacing w:after="156" w:line="270" w:lineRule="auto"/>
        <w:ind w:left="5" w:right="54" w:hanging="8"/>
        <w:jc w:val="both"/>
      </w:pPr>
      <w:r>
        <w:rPr>
          <w:rFonts w:ascii="Arial" w:eastAsia="Arial" w:hAnsi="Arial" w:cs="Arial"/>
          <w:sz w:val="20"/>
        </w:rPr>
        <w:t xml:space="preserve">21.11 A Contratante executará a garantia na forma prevista na legislação que rege a matéria.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54" w:line="250" w:lineRule="auto"/>
        <w:ind w:left="-5" w:right="52" w:hanging="10"/>
        <w:jc w:val="both"/>
      </w:pPr>
      <w:r>
        <w:rPr>
          <w:rFonts w:ascii="Arial" w:eastAsia="Arial" w:hAnsi="Arial" w:cs="Arial"/>
          <w:b/>
          <w:sz w:val="20"/>
        </w:rPr>
        <w:t>Nota explicativa:</w:t>
      </w:r>
      <w:r>
        <w:rPr>
          <w:rFonts w:ascii="Arial" w:eastAsia="Arial" w:hAnsi="Arial" w:cs="Arial"/>
          <w:sz w:val="20"/>
        </w:rPr>
        <w:t xml:space="preserve"> Caso haja necessidade de acionamento da garantia, recomenda-</w:t>
      </w:r>
      <w:r>
        <w:rPr>
          <w:rFonts w:ascii="Arial" w:eastAsia="Arial" w:hAnsi="Arial" w:cs="Arial"/>
          <w:sz w:val="20"/>
        </w:rPr>
        <w:t xml:space="preserve">se promover a notificação da contratada e da seguradora ou da entidade bancária dentro do prazo de vigência da garantia, sem prejuízo da cobrança dentro do prazo prescricional. </w:t>
      </w:r>
    </w:p>
    <w:p w:rsidR="006C145C" w:rsidRDefault="00C62E5A">
      <w:pPr>
        <w:spacing w:after="129" w:line="270" w:lineRule="auto"/>
        <w:ind w:left="150" w:right="54" w:hanging="8"/>
        <w:jc w:val="both"/>
      </w:pPr>
      <w:r>
        <w:rPr>
          <w:rFonts w:ascii="Arial" w:eastAsia="Arial" w:hAnsi="Arial" w:cs="Arial"/>
          <w:sz w:val="20"/>
        </w:rPr>
        <w:t xml:space="preserve">21.12 Será considerada extinta a garantia:  </w:t>
      </w:r>
    </w:p>
    <w:p w:rsidR="006C145C" w:rsidRDefault="00C62E5A">
      <w:pPr>
        <w:spacing w:after="129" w:line="270" w:lineRule="auto"/>
        <w:ind w:left="1141" w:right="54" w:hanging="8"/>
        <w:jc w:val="both"/>
      </w:pPr>
      <w:r>
        <w:rPr>
          <w:rFonts w:ascii="Arial" w:eastAsia="Arial" w:hAnsi="Arial" w:cs="Arial"/>
          <w:sz w:val="20"/>
        </w:rPr>
        <w:t>21.12.1  com a devolução da apóli</w:t>
      </w:r>
      <w:r>
        <w:rPr>
          <w:rFonts w:ascii="Arial" w:eastAsia="Arial" w:hAnsi="Arial" w:cs="Arial"/>
          <w:sz w:val="20"/>
        </w:rPr>
        <w:t xml:space="preserve">ce, carta fiança ou autorização para o levantamento de importâncias depositadas em dinheiro a título de garantia, acompanhada de declaração da Contratante, mediante termo circunstanciado, de que a Contratada cumpriu todas as cláusulas do contrato;  </w:t>
      </w:r>
    </w:p>
    <w:p w:rsidR="006C145C" w:rsidRDefault="00C62E5A">
      <w:pPr>
        <w:spacing w:after="129" w:line="270" w:lineRule="auto"/>
        <w:ind w:left="1141" w:right="54" w:hanging="8"/>
        <w:jc w:val="both"/>
      </w:pPr>
      <w:r>
        <w:rPr>
          <w:rFonts w:ascii="Arial" w:eastAsia="Arial" w:hAnsi="Arial" w:cs="Arial"/>
          <w:sz w:val="20"/>
        </w:rPr>
        <w:t>21.12.</w:t>
      </w:r>
      <w:r>
        <w:rPr>
          <w:rFonts w:ascii="Arial" w:eastAsia="Arial" w:hAnsi="Arial" w:cs="Arial"/>
          <w:sz w:val="20"/>
        </w:rPr>
        <w:t xml:space="preserve">2  no prazo de 90 (noventa) dias após o término da vigência do contrato, caso a Administração não comunique a ocorrência de sinistros, quando o prazo será ampliado, nos termos da comunicação, conforme estabelecido na alínea "h2"do item 3.1 do Anexo  VII-F </w:t>
      </w:r>
      <w:r>
        <w:rPr>
          <w:rFonts w:ascii="Arial" w:eastAsia="Arial" w:hAnsi="Arial" w:cs="Arial"/>
          <w:sz w:val="20"/>
        </w:rPr>
        <w:t xml:space="preserve">da IN SEGES/MP n. 05/2017.  </w:t>
      </w:r>
    </w:p>
    <w:p w:rsidR="006C145C" w:rsidRDefault="00C62E5A">
      <w:pPr>
        <w:spacing w:after="129" w:line="270" w:lineRule="auto"/>
        <w:ind w:left="150" w:right="54" w:hanging="8"/>
        <w:jc w:val="both"/>
      </w:pPr>
      <w:r>
        <w:rPr>
          <w:rFonts w:ascii="Arial" w:eastAsia="Arial" w:hAnsi="Arial" w:cs="Arial"/>
          <w:sz w:val="20"/>
        </w:rPr>
        <w:t xml:space="preserve">21.13 O garantidor não é parte para figurar em processo administrativo instaurado pela contratante com o objetivo de apurar prejuízos e/ou aplicar sanções à contratada.  </w:t>
      </w:r>
    </w:p>
    <w:p w:rsidR="006C145C" w:rsidRDefault="00C62E5A">
      <w:pPr>
        <w:spacing w:after="129" w:line="270" w:lineRule="auto"/>
        <w:ind w:left="150" w:right="54" w:hanging="8"/>
        <w:jc w:val="both"/>
      </w:pPr>
      <w:r>
        <w:rPr>
          <w:rFonts w:ascii="Arial" w:eastAsia="Arial" w:hAnsi="Arial" w:cs="Arial"/>
          <w:sz w:val="20"/>
        </w:rPr>
        <w:lastRenderedPageBreak/>
        <w:t>21.14 A contratada autoriza a contratante a reter, a qua</w:t>
      </w:r>
      <w:r>
        <w:rPr>
          <w:rFonts w:ascii="Arial" w:eastAsia="Arial" w:hAnsi="Arial" w:cs="Arial"/>
          <w:sz w:val="20"/>
        </w:rPr>
        <w:t xml:space="preserve">lquer tempo, a garantia, na forma prevista neste TR. </w:t>
      </w:r>
    </w:p>
    <w:p w:rsidR="006C145C" w:rsidRDefault="00C62E5A">
      <w:pPr>
        <w:spacing w:after="129" w:line="270" w:lineRule="auto"/>
        <w:ind w:left="150" w:right="54" w:hanging="8"/>
        <w:jc w:val="both"/>
      </w:pPr>
      <w:r>
        <w:rPr>
          <w:rFonts w:ascii="Arial" w:eastAsia="Arial" w:hAnsi="Arial" w:cs="Arial"/>
          <w:sz w:val="20"/>
        </w:rPr>
        <w:t>21.15 A garantia da contratação somente será liberada ante a comprovação de que a empresa pagou todas as verbas rescisórias decorrentes da contratação, e que, caso esse pagamento não ocorra até o fim do</w:t>
      </w:r>
      <w:r>
        <w:rPr>
          <w:rFonts w:ascii="Arial" w:eastAsia="Arial" w:hAnsi="Arial" w:cs="Arial"/>
          <w:sz w:val="20"/>
        </w:rPr>
        <w:t xml:space="preserve"> segundo mês após o encerramento da vigência contratual, a garantia será utilizada para o pagamento dessas verbas trabalhistas, incluindo suas repercussões previdenciárias e relativas ao FGTS, conforme estabelecido no art. 8º, VI do Decreto nº 9.507, de 20</w:t>
      </w:r>
      <w:r>
        <w:rPr>
          <w:rFonts w:ascii="Arial" w:eastAsia="Arial" w:hAnsi="Arial" w:cs="Arial"/>
          <w:sz w:val="20"/>
        </w:rPr>
        <w:t xml:space="preserve">18, observada a legislação que rege a matéria. </w:t>
      </w:r>
    </w:p>
    <w:p w:rsidR="006C145C" w:rsidRDefault="00C62E5A">
      <w:pPr>
        <w:spacing w:after="129" w:line="270" w:lineRule="auto"/>
        <w:ind w:left="717" w:right="117" w:hanging="720"/>
        <w:jc w:val="both"/>
      </w:pPr>
      <w:r>
        <w:rPr>
          <w:rFonts w:ascii="Arial" w:eastAsia="Arial" w:hAnsi="Arial" w:cs="Arial"/>
          <w:sz w:val="20"/>
        </w:rPr>
        <w:t xml:space="preserve">21.15.1 Também poderá haver liberação da garantia se a empresa comprovar que os empregados serão realocados em outra atividade de prestação de serviços, sem que ocorra a interrupção do contrato de trabalho </w:t>
      </w:r>
    </w:p>
    <w:p w:rsidR="006C145C" w:rsidRDefault="00C62E5A">
      <w:pPr>
        <w:spacing w:after="483" w:line="270" w:lineRule="auto"/>
        <w:ind w:left="150" w:right="54" w:hanging="8"/>
        <w:jc w:val="both"/>
      </w:pPr>
      <w:r>
        <w:rPr>
          <w:rFonts w:ascii="Arial" w:eastAsia="Arial" w:hAnsi="Arial" w:cs="Arial"/>
          <w:sz w:val="20"/>
        </w:rPr>
        <w:t xml:space="preserve">21.16 Por ocasião do encerramento da prestação dos serviços contratados, a Administração Contratante poderá utilizar o valor da garantia prestada para o pagamento direto aos trabalhadores vinculados ao contrato no caso da não comprovação: (1) do pagamento </w:t>
      </w:r>
      <w:r>
        <w:rPr>
          <w:rFonts w:ascii="Arial" w:eastAsia="Arial" w:hAnsi="Arial" w:cs="Arial"/>
          <w:sz w:val="20"/>
        </w:rPr>
        <w:t xml:space="preserve">das respectivas verbas rescisórias ou (2) da realocação dos trabalhadores em outra atividade de prestação de serviços, nos termos da alínea "j do item 3.1 do Anexo VII-F da IN SEGES/MP n. 5/2017.  </w:t>
      </w:r>
    </w:p>
    <w:p w:rsidR="006C145C" w:rsidRDefault="00C62E5A">
      <w:pPr>
        <w:pStyle w:val="Ttulo4"/>
        <w:ind w:left="7" w:right="37"/>
      </w:pPr>
      <w:r>
        <w:t xml:space="preserve">22 DAS SANÇÕES ADMINISTRATIVAS </w:t>
      </w:r>
    </w:p>
    <w:p w:rsidR="006C145C" w:rsidRDefault="00C62E5A">
      <w:pPr>
        <w:tabs>
          <w:tab w:val="center" w:pos="4374"/>
        </w:tabs>
        <w:spacing w:after="129" w:line="270" w:lineRule="auto"/>
        <w:ind w:left="-3"/>
      </w:pPr>
      <w:r>
        <w:rPr>
          <w:rFonts w:ascii="Arial" w:eastAsia="Arial" w:hAnsi="Arial" w:cs="Arial"/>
          <w:sz w:val="20"/>
        </w:rPr>
        <w:t xml:space="preserve">22.1 </w:t>
      </w:r>
      <w:r>
        <w:rPr>
          <w:rFonts w:ascii="Arial" w:eastAsia="Arial" w:hAnsi="Arial" w:cs="Arial"/>
          <w:sz w:val="20"/>
        </w:rPr>
        <w:tab/>
        <w:t>Comete infração admi</w:t>
      </w:r>
      <w:r>
        <w:rPr>
          <w:rFonts w:ascii="Arial" w:eastAsia="Arial" w:hAnsi="Arial" w:cs="Arial"/>
          <w:sz w:val="20"/>
        </w:rPr>
        <w:t xml:space="preserve">nistrativa nos termos da Lei nº 10.520, de 2002, a CONTRATADA que: </w:t>
      </w:r>
    </w:p>
    <w:p w:rsidR="006C145C" w:rsidRDefault="00C62E5A">
      <w:pPr>
        <w:spacing w:after="129" w:line="270" w:lineRule="auto"/>
        <w:ind w:left="717" w:right="54" w:hanging="720"/>
        <w:jc w:val="both"/>
      </w:pPr>
      <w:r>
        <w:rPr>
          <w:rFonts w:ascii="Arial" w:eastAsia="Arial" w:hAnsi="Arial" w:cs="Arial"/>
          <w:sz w:val="20"/>
        </w:rPr>
        <w:t xml:space="preserve">22.1.1 inexecutar total ou parcialmente qualquer das obrigações assumidas em decorrência da contratação; </w:t>
      </w:r>
    </w:p>
    <w:p w:rsidR="006C145C" w:rsidRDefault="00C62E5A">
      <w:pPr>
        <w:spacing w:after="129" w:line="270" w:lineRule="auto"/>
        <w:ind w:left="5" w:right="54" w:hanging="8"/>
        <w:jc w:val="both"/>
      </w:pPr>
      <w:r>
        <w:rPr>
          <w:rFonts w:ascii="Arial" w:eastAsia="Arial" w:hAnsi="Arial" w:cs="Arial"/>
          <w:sz w:val="20"/>
        </w:rPr>
        <w:t xml:space="preserve">22.1.2 ensejar o retardamento da execução do objeto; </w:t>
      </w:r>
    </w:p>
    <w:p w:rsidR="006C145C" w:rsidRDefault="00C62E5A">
      <w:pPr>
        <w:spacing w:after="129" w:line="270" w:lineRule="auto"/>
        <w:ind w:left="5" w:right="54" w:hanging="8"/>
        <w:jc w:val="both"/>
      </w:pPr>
      <w:r>
        <w:rPr>
          <w:rFonts w:ascii="Arial" w:eastAsia="Arial" w:hAnsi="Arial" w:cs="Arial"/>
          <w:sz w:val="20"/>
        </w:rPr>
        <w:t xml:space="preserve">22.1.3 falhar ou fraudar na </w:t>
      </w:r>
      <w:r>
        <w:rPr>
          <w:rFonts w:ascii="Arial" w:eastAsia="Arial" w:hAnsi="Arial" w:cs="Arial"/>
          <w:sz w:val="20"/>
        </w:rPr>
        <w:t xml:space="preserve">execução do contrato; </w:t>
      </w:r>
    </w:p>
    <w:p w:rsidR="006C145C" w:rsidRDefault="00C62E5A">
      <w:pPr>
        <w:spacing w:after="129" w:line="270" w:lineRule="auto"/>
        <w:ind w:left="5" w:right="54" w:hanging="8"/>
        <w:jc w:val="both"/>
      </w:pPr>
      <w:r>
        <w:rPr>
          <w:rFonts w:ascii="Arial" w:eastAsia="Arial" w:hAnsi="Arial" w:cs="Arial"/>
          <w:sz w:val="20"/>
        </w:rPr>
        <w:t xml:space="preserve">22.1.4 comportar-se de modo inidôneo; ou </w:t>
      </w:r>
    </w:p>
    <w:p w:rsidR="006C145C" w:rsidRDefault="00C62E5A">
      <w:pPr>
        <w:spacing w:after="129" w:line="270" w:lineRule="auto"/>
        <w:ind w:left="5" w:right="54" w:hanging="8"/>
        <w:jc w:val="both"/>
      </w:pPr>
      <w:r>
        <w:rPr>
          <w:rFonts w:ascii="Arial" w:eastAsia="Arial" w:hAnsi="Arial" w:cs="Arial"/>
          <w:sz w:val="20"/>
        </w:rPr>
        <w:t xml:space="preserve">22.1.5 cometer fraude fiscal. </w:t>
      </w:r>
    </w:p>
    <w:p w:rsidR="006C145C" w:rsidRDefault="00C62E5A">
      <w:pPr>
        <w:spacing w:after="126" w:line="269" w:lineRule="auto"/>
        <w:ind w:left="730" w:right="51" w:hanging="730"/>
        <w:jc w:val="both"/>
      </w:pPr>
      <w:r>
        <w:rPr>
          <w:rFonts w:ascii="Arial" w:eastAsia="Arial" w:hAnsi="Arial" w:cs="Arial"/>
          <w:i/>
          <w:sz w:val="20"/>
          <w:shd w:val="clear" w:color="auto" w:fill="FFFF00"/>
        </w:rPr>
        <w:t xml:space="preserve">22.1.6 </w:t>
      </w:r>
      <w:r>
        <w:rPr>
          <w:rFonts w:ascii="Arial" w:eastAsia="Arial" w:hAnsi="Arial" w:cs="Arial"/>
          <w:i/>
          <w:color w:val="FF0000"/>
          <w:sz w:val="20"/>
          <w:shd w:val="clear" w:color="auto" w:fill="FFFF00"/>
        </w:rPr>
        <w:t>Subcontratar parte ou o todo do objeto sem a autorização da CONTRATANTE; (aplicar a</w:t>
      </w:r>
      <w:r>
        <w:rPr>
          <w:rFonts w:ascii="Arial" w:eastAsia="Arial" w:hAnsi="Arial" w:cs="Arial"/>
          <w:i/>
          <w:color w:val="FF0000"/>
          <w:sz w:val="20"/>
        </w:rPr>
        <w:t xml:space="preserve"> </w:t>
      </w:r>
      <w:r>
        <w:rPr>
          <w:rFonts w:ascii="Arial" w:eastAsia="Arial" w:hAnsi="Arial" w:cs="Arial"/>
          <w:i/>
          <w:color w:val="FF0000"/>
          <w:sz w:val="20"/>
          <w:shd w:val="clear" w:color="auto" w:fill="FFFF00"/>
        </w:rPr>
        <w:t>redação nos casos em que o edital não prevê a subcontratação)</w:t>
      </w:r>
      <w:r>
        <w:rPr>
          <w:rFonts w:ascii="Arial" w:eastAsia="Arial" w:hAnsi="Arial" w:cs="Arial"/>
          <w:i/>
          <w:sz w:val="20"/>
        </w:rPr>
        <w:t xml:space="preserve"> </w:t>
      </w:r>
    </w:p>
    <w:p w:rsidR="006C145C" w:rsidRDefault="00C62E5A">
      <w:pPr>
        <w:spacing w:after="128" w:line="269" w:lineRule="auto"/>
        <w:ind w:left="730" w:right="51" w:hanging="730"/>
        <w:jc w:val="both"/>
      </w:pPr>
      <w:r>
        <w:rPr>
          <w:rFonts w:ascii="Arial" w:eastAsia="Arial" w:hAnsi="Arial" w:cs="Arial"/>
          <w:i/>
          <w:color w:val="FF0000"/>
          <w:sz w:val="20"/>
          <w:shd w:val="clear" w:color="auto" w:fill="FFFF00"/>
        </w:rPr>
        <w:t>22.1.6</w:t>
      </w:r>
      <w:r>
        <w:rPr>
          <w:rFonts w:ascii="Arial" w:eastAsia="Arial" w:hAnsi="Arial" w:cs="Arial"/>
          <w:i/>
          <w:color w:val="FF0000"/>
          <w:sz w:val="20"/>
          <w:shd w:val="clear" w:color="auto" w:fill="FFFF00"/>
        </w:rPr>
        <w:t xml:space="preserve"> Subcontratar parcela do objeto fora das condições previstas no edital ou sem autorização da</w:t>
      </w:r>
      <w:r>
        <w:rPr>
          <w:rFonts w:ascii="Arial" w:eastAsia="Arial" w:hAnsi="Arial" w:cs="Arial"/>
          <w:i/>
          <w:color w:val="FF0000"/>
          <w:sz w:val="20"/>
        </w:rPr>
        <w:t xml:space="preserve"> </w:t>
      </w:r>
      <w:r>
        <w:rPr>
          <w:rFonts w:ascii="Arial" w:eastAsia="Arial" w:hAnsi="Arial" w:cs="Arial"/>
          <w:i/>
          <w:color w:val="FF0000"/>
          <w:sz w:val="20"/>
          <w:shd w:val="clear" w:color="auto" w:fill="FFFF00"/>
        </w:rPr>
        <w:t>CONTRATANTE. (aplicar a redação nos casos em que o edital prevê a subcontratação)</w:t>
      </w:r>
      <w:r>
        <w:rPr>
          <w:rFonts w:ascii="Arial" w:eastAsia="Arial" w:hAnsi="Arial" w:cs="Arial"/>
          <w:i/>
          <w:color w:val="FF0000"/>
          <w:sz w:val="20"/>
        </w:rPr>
        <w:t xml:space="preserve"> </w:t>
      </w:r>
      <w:r>
        <w:rPr>
          <w:rFonts w:ascii="Arial" w:eastAsia="Arial" w:hAnsi="Arial" w:cs="Arial"/>
          <w:i/>
          <w:sz w:val="20"/>
        </w:rPr>
        <w:t xml:space="preserve"> </w:t>
      </w:r>
    </w:p>
    <w:p w:rsidR="006C145C" w:rsidRDefault="00C62E5A">
      <w:pPr>
        <w:spacing w:after="129" w:line="270" w:lineRule="auto"/>
        <w:ind w:left="537" w:right="54" w:hanging="540"/>
        <w:jc w:val="both"/>
      </w:pPr>
      <w:r>
        <w:rPr>
          <w:rFonts w:ascii="Arial" w:eastAsia="Arial" w:hAnsi="Arial" w:cs="Arial"/>
          <w:sz w:val="20"/>
        </w:rPr>
        <w:t xml:space="preserve">22.2 Pela inexecução </w:t>
      </w:r>
      <w:r>
        <w:rPr>
          <w:rFonts w:ascii="Arial" w:eastAsia="Arial" w:hAnsi="Arial" w:cs="Arial"/>
          <w:sz w:val="20"/>
          <w:u w:val="single" w:color="000000"/>
        </w:rPr>
        <w:t>total ou parcial</w:t>
      </w:r>
      <w:r>
        <w:rPr>
          <w:rFonts w:ascii="Arial" w:eastAsia="Arial" w:hAnsi="Arial" w:cs="Arial"/>
          <w:sz w:val="20"/>
        </w:rPr>
        <w:t xml:space="preserve"> </w:t>
      </w:r>
      <w:r>
        <w:rPr>
          <w:rFonts w:ascii="Arial" w:eastAsia="Arial" w:hAnsi="Arial" w:cs="Arial"/>
          <w:sz w:val="20"/>
        </w:rPr>
        <w:t xml:space="preserve">do objeto deste contrato, a Administração pode aplicar à CONTRATADA as seguintes sanções: </w:t>
      </w:r>
    </w:p>
    <w:p w:rsidR="006C145C" w:rsidRDefault="00C62E5A">
      <w:pPr>
        <w:spacing w:after="129" w:line="270" w:lineRule="auto"/>
        <w:ind w:left="717" w:right="54" w:hanging="720"/>
        <w:jc w:val="both"/>
      </w:pPr>
      <w:r>
        <w:rPr>
          <w:rFonts w:ascii="Arial" w:eastAsia="Arial" w:hAnsi="Arial" w:cs="Arial"/>
          <w:color w:val="FF0000"/>
          <w:sz w:val="20"/>
        </w:rPr>
        <w:t xml:space="preserve">22.2.6 </w:t>
      </w:r>
      <w:r>
        <w:rPr>
          <w:rFonts w:ascii="Arial" w:eastAsia="Arial" w:hAnsi="Arial" w:cs="Arial"/>
          <w:b/>
          <w:sz w:val="20"/>
        </w:rPr>
        <w:t>Advertência por escrito</w:t>
      </w:r>
      <w:r>
        <w:rPr>
          <w:rFonts w:ascii="Arial" w:eastAsia="Arial" w:hAnsi="Arial" w:cs="Arial"/>
          <w:sz w:val="20"/>
        </w:rPr>
        <w:t xml:space="preserve">, quando do não cumprimento de quaisquer das obrigações contratuais consideradas faltas leves, assim entendidas aquelas que não acarretam prejuízos significativos para o serviço contratado; </w:t>
      </w:r>
    </w:p>
    <w:p w:rsidR="006C145C" w:rsidRDefault="00C62E5A">
      <w:pPr>
        <w:spacing w:after="130" w:line="269" w:lineRule="auto"/>
        <w:ind w:left="715" w:right="51" w:hanging="730"/>
        <w:jc w:val="both"/>
      </w:pPr>
      <w:r>
        <w:rPr>
          <w:rFonts w:ascii="Arial" w:eastAsia="Arial" w:hAnsi="Arial" w:cs="Arial"/>
          <w:color w:val="FF0000"/>
          <w:sz w:val="20"/>
          <w:shd w:val="clear" w:color="auto" w:fill="FFFF00"/>
        </w:rPr>
        <w:t xml:space="preserve">22.2.7 </w:t>
      </w:r>
      <w:r>
        <w:rPr>
          <w:rFonts w:ascii="Arial" w:eastAsia="Arial" w:hAnsi="Arial" w:cs="Arial"/>
          <w:sz w:val="20"/>
          <w:shd w:val="clear" w:color="auto" w:fill="FFFF00"/>
        </w:rPr>
        <w:t xml:space="preserve">Multa de acordo com a Instrução Normativa vigente do DNIT </w:t>
      </w:r>
      <w:r>
        <w:rPr>
          <w:rFonts w:ascii="Arial" w:eastAsia="Arial" w:hAnsi="Arial" w:cs="Arial"/>
          <w:sz w:val="20"/>
          <w:shd w:val="clear" w:color="auto" w:fill="FFFF00"/>
        </w:rPr>
        <w:t>sobre Processo Administrativo de</w:t>
      </w:r>
      <w:r>
        <w:rPr>
          <w:rFonts w:ascii="Arial" w:eastAsia="Arial" w:hAnsi="Arial" w:cs="Arial"/>
          <w:sz w:val="20"/>
        </w:rPr>
        <w:t xml:space="preserve"> </w:t>
      </w:r>
      <w:r>
        <w:rPr>
          <w:rFonts w:ascii="Arial" w:eastAsia="Arial" w:hAnsi="Arial" w:cs="Arial"/>
          <w:sz w:val="20"/>
          <w:shd w:val="clear" w:color="auto" w:fill="FFFF00"/>
        </w:rPr>
        <w:t>Apuração de Responsabilidade – PAAR.</w:t>
      </w:r>
      <w:r>
        <w:rPr>
          <w:rFonts w:ascii="Arial" w:eastAsia="Arial" w:hAnsi="Arial" w:cs="Arial"/>
          <w:sz w:val="20"/>
        </w:rPr>
        <w:t xml:space="preserve"> </w:t>
      </w:r>
    </w:p>
    <w:p w:rsidR="006C145C" w:rsidRDefault="00C62E5A">
      <w:pPr>
        <w:spacing w:after="129" w:line="270" w:lineRule="auto"/>
        <w:ind w:left="717" w:right="54" w:hanging="720"/>
        <w:jc w:val="both"/>
      </w:pPr>
      <w:r>
        <w:rPr>
          <w:rFonts w:ascii="Arial" w:eastAsia="Arial" w:hAnsi="Arial" w:cs="Arial"/>
          <w:color w:val="FF0000"/>
          <w:sz w:val="20"/>
        </w:rPr>
        <w:t xml:space="preserve">22.2.8 </w:t>
      </w:r>
      <w:r>
        <w:rPr>
          <w:rFonts w:ascii="Arial" w:eastAsia="Arial" w:hAnsi="Arial" w:cs="Arial"/>
          <w:sz w:val="20"/>
        </w:rPr>
        <w:t xml:space="preserve">As penalidades de multa decorrentes de fatos diversos serão consideradas independentes entre si. </w:t>
      </w:r>
    </w:p>
    <w:p w:rsidR="006C145C" w:rsidRDefault="00C62E5A">
      <w:pPr>
        <w:spacing w:after="129" w:line="270" w:lineRule="auto"/>
        <w:ind w:left="717" w:right="54" w:hanging="720"/>
        <w:jc w:val="both"/>
      </w:pPr>
      <w:r>
        <w:rPr>
          <w:rFonts w:ascii="Arial" w:eastAsia="Arial" w:hAnsi="Arial" w:cs="Arial"/>
          <w:color w:val="FF0000"/>
          <w:sz w:val="20"/>
        </w:rPr>
        <w:t xml:space="preserve">22.2.9 </w:t>
      </w:r>
      <w:r>
        <w:rPr>
          <w:rFonts w:ascii="Arial" w:eastAsia="Arial" w:hAnsi="Arial" w:cs="Arial"/>
          <w:sz w:val="20"/>
        </w:rPr>
        <w:t>Sanção de impedimento de licitar e contratar com órgãos e entidades da Un</w:t>
      </w:r>
      <w:r>
        <w:rPr>
          <w:rFonts w:ascii="Arial" w:eastAsia="Arial" w:hAnsi="Arial" w:cs="Arial"/>
          <w:sz w:val="20"/>
        </w:rPr>
        <w:t xml:space="preserve">ião, com o consequente descredenciamento no SICAF pelo prazo de até cinco anos. </w:t>
      </w:r>
    </w:p>
    <w:p w:rsidR="006C145C" w:rsidRDefault="00C62E5A">
      <w:pPr>
        <w:spacing w:after="129" w:line="270" w:lineRule="auto"/>
        <w:ind w:left="717" w:right="54" w:hanging="720"/>
        <w:jc w:val="both"/>
      </w:pPr>
      <w:r>
        <w:rPr>
          <w:rFonts w:ascii="Arial" w:eastAsia="Arial" w:hAnsi="Arial" w:cs="Arial"/>
          <w:color w:val="FF0000"/>
          <w:sz w:val="20"/>
        </w:rPr>
        <w:t xml:space="preserve">22.2.9.1 </w:t>
      </w:r>
      <w:r>
        <w:rPr>
          <w:rFonts w:ascii="Arial" w:eastAsia="Arial" w:hAnsi="Arial" w:cs="Arial"/>
          <w:sz w:val="20"/>
        </w:rPr>
        <w:t>A Sanção de impedimento de licitar e contratar prevista neste subitem também  é  aplicável  em  quaisquer  das  hipóteses  previstas  como  infração administrativa no</w:t>
      </w:r>
      <w:r>
        <w:rPr>
          <w:rFonts w:ascii="Arial" w:eastAsia="Arial" w:hAnsi="Arial" w:cs="Arial"/>
          <w:sz w:val="20"/>
        </w:rPr>
        <w:t xml:space="preserve"> subitem 22.1 deste Termo de Referência </w:t>
      </w:r>
    </w:p>
    <w:p w:rsidR="006C145C" w:rsidRDefault="00C62E5A">
      <w:pPr>
        <w:spacing w:after="129" w:line="270" w:lineRule="auto"/>
        <w:ind w:left="717" w:right="54" w:hanging="720"/>
        <w:jc w:val="both"/>
      </w:pPr>
      <w:r>
        <w:rPr>
          <w:rFonts w:ascii="Arial" w:eastAsia="Arial" w:hAnsi="Arial" w:cs="Arial"/>
          <w:color w:val="FF0000"/>
          <w:sz w:val="20"/>
        </w:rPr>
        <w:lastRenderedPageBreak/>
        <w:t xml:space="preserve">22.2.10 </w:t>
      </w:r>
      <w:r>
        <w:rPr>
          <w:rFonts w:ascii="Arial" w:eastAsia="Arial" w:hAnsi="Arial" w:cs="Arial"/>
          <w:sz w:val="20"/>
        </w:rPr>
        <w:t>Declaração de inidoneidade para licitar ou contratar com a Administração Pública, enquanto perdurarem os motivos determinantes da punição ou até que seja promovida a reabilitação perante a própria autoridade</w:t>
      </w:r>
      <w:r>
        <w:rPr>
          <w:rFonts w:ascii="Arial" w:eastAsia="Arial" w:hAnsi="Arial" w:cs="Arial"/>
          <w:sz w:val="20"/>
        </w:rPr>
        <w:t xml:space="preserve"> que aplicou a penalidade, que será concedida sempre que a Contratada ressarcir a Contratante pelos prejuízos causados;  </w:t>
      </w:r>
    </w:p>
    <w:p w:rsidR="006C145C" w:rsidRDefault="00C62E5A">
      <w:pPr>
        <w:spacing w:after="129" w:line="270" w:lineRule="auto"/>
        <w:ind w:left="537" w:right="54" w:hanging="540"/>
        <w:jc w:val="both"/>
      </w:pPr>
      <w:r>
        <w:rPr>
          <w:rFonts w:ascii="Arial" w:eastAsia="Arial" w:hAnsi="Arial" w:cs="Arial"/>
          <w:sz w:val="20"/>
        </w:rPr>
        <w:t xml:space="preserve">22.3 As sanções previstas nos subitens 19.2.1, 19.2.3, 19.2.4 e 19.2.5 poderão ser aplicadas à CONTRATADA juntamente com as de multa, </w:t>
      </w:r>
      <w:r>
        <w:rPr>
          <w:rFonts w:ascii="Arial" w:eastAsia="Arial" w:hAnsi="Arial" w:cs="Arial"/>
          <w:sz w:val="20"/>
        </w:rPr>
        <w:t xml:space="preserve">descontando-a dos pagamentos a serem efetuados. </w:t>
      </w:r>
    </w:p>
    <w:p w:rsidR="006C145C" w:rsidRDefault="00C62E5A">
      <w:pPr>
        <w:spacing w:after="129" w:line="270" w:lineRule="auto"/>
        <w:ind w:left="537" w:right="54" w:hanging="540"/>
        <w:jc w:val="both"/>
      </w:pPr>
      <w:r>
        <w:rPr>
          <w:rFonts w:ascii="Arial" w:eastAsia="Arial" w:hAnsi="Arial" w:cs="Arial"/>
          <w:sz w:val="20"/>
        </w:rPr>
        <w:t xml:space="preserve">22.4 Para efeito de aplicação de multas, às infrações são atribuídos graus, de acordo com as tabelas 1 e 2: </w:t>
      </w:r>
    </w:p>
    <w:p w:rsidR="006C145C" w:rsidRDefault="00C62E5A">
      <w:pPr>
        <w:pStyle w:val="Ttulo2"/>
        <w:ind w:left="10" w:right="104"/>
      </w:pPr>
      <w:r>
        <w:t xml:space="preserve">Tabela 1 </w:t>
      </w:r>
    </w:p>
    <w:tbl>
      <w:tblPr>
        <w:tblStyle w:val="TableGrid"/>
        <w:tblW w:w="9182" w:type="dxa"/>
        <w:tblInd w:w="98" w:type="dxa"/>
        <w:tblCellMar>
          <w:top w:w="0" w:type="dxa"/>
          <w:left w:w="115" w:type="dxa"/>
          <w:bottom w:w="0" w:type="dxa"/>
          <w:right w:w="115" w:type="dxa"/>
        </w:tblCellMar>
        <w:tblLook w:val="04A0" w:firstRow="1" w:lastRow="0" w:firstColumn="1" w:lastColumn="0" w:noHBand="0" w:noVBand="1"/>
      </w:tblPr>
      <w:tblGrid>
        <w:gridCol w:w="3575"/>
        <w:gridCol w:w="5607"/>
      </w:tblGrid>
      <w:tr w:rsidR="006C145C">
        <w:trPr>
          <w:trHeight w:val="685"/>
        </w:trPr>
        <w:tc>
          <w:tcPr>
            <w:tcW w:w="3575" w:type="dxa"/>
            <w:tcBorders>
              <w:top w:val="double" w:sz="6" w:space="0" w:color="000000"/>
              <w:left w:val="single" w:sz="6" w:space="0" w:color="000000"/>
              <w:bottom w:val="double" w:sz="6" w:space="0" w:color="000000"/>
              <w:right w:val="double" w:sz="6" w:space="0" w:color="000000"/>
            </w:tcBorders>
            <w:vAlign w:val="center"/>
          </w:tcPr>
          <w:p w:rsidR="006C145C" w:rsidRDefault="00C62E5A">
            <w:pPr>
              <w:spacing w:after="0"/>
              <w:ind w:left="10"/>
              <w:jc w:val="center"/>
            </w:pPr>
            <w:r>
              <w:rPr>
                <w:rFonts w:ascii="Arial" w:eastAsia="Arial" w:hAnsi="Arial" w:cs="Arial"/>
                <w:b/>
                <w:sz w:val="20"/>
              </w:rPr>
              <w:t>GRAU</w:t>
            </w:r>
            <w:r>
              <w:rPr>
                <w:rFonts w:ascii="Arial" w:eastAsia="Arial" w:hAnsi="Arial" w:cs="Arial"/>
                <w:sz w:val="20"/>
              </w:rPr>
              <w:t xml:space="preserve"> </w:t>
            </w:r>
          </w:p>
        </w:tc>
        <w:tc>
          <w:tcPr>
            <w:tcW w:w="5606" w:type="dxa"/>
            <w:tcBorders>
              <w:top w:val="double" w:sz="6" w:space="0" w:color="000000"/>
              <w:left w:val="double" w:sz="6" w:space="0" w:color="000000"/>
              <w:bottom w:val="double" w:sz="6" w:space="0" w:color="000000"/>
              <w:right w:val="single" w:sz="6" w:space="0" w:color="000000"/>
            </w:tcBorders>
            <w:vAlign w:val="center"/>
          </w:tcPr>
          <w:p w:rsidR="006C145C" w:rsidRDefault="00C62E5A">
            <w:pPr>
              <w:spacing w:after="0"/>
              <w:ind w:left="10"/>
              <w:jc w:val="center"/>
            </w:pPr>
            <w:r>
              <w:rPr>
                <w:rFonts w:ascii="Arial" w:eastAsia="Arial" w:hAnsi="Arial" w:cs="Arial"/>
                <w:b/>
                <w:sz w:val="20"/>
              </w:rPr>
              <w:t>CORRESPONDÊNCIA</w:t>
            </w:r>
            <w:r>
              <w:rPr>
                <w:rFonts w:ascii="Arial" w:eastAsia="Arial" w:hAnsi="Arial" w:cs="Arial"/>
                <w:sz w:val="20"/>
              </w:rPr>
              <w:t xml:space="preserve"> </w:t>
            </w:r>
          </w:p>
        </w:tc>
      </w:tr>
      <w:tr w:rsidR="006C145C">
        <w:trPr>
          <w:trHeight w:val="684"/>
        </w:trPr>
        <w:tc>
          <w:tcPr>
            <w:tcW w:w="3575" w:type="dxa"/>
            <w:tcBorders>
              <w:top w:val="double" w:sz="6" w:space="0" w:color="000000"/>
              <w:left w:val="single" w:sz="6" w:space="0" w:color="000000"/>
              <w:bottom w:val="double" w:sz="6" w:space="0" w:color="000000"/>
              <w:right w:val="double" w:sz="6" w:space="0" w:color="000000"/>
            </w:tcBorders>
            <w:vAlign w:val="center"/>
          </w:tcPr>
          <w:p w:rsidR="006C145C" w:rsidRDefault="00C62E5A">
            <w:pPr>
              <w:spacing w:after="0"/>
              <w:ind w:left="15"/>
              <w:jc w:val="center"/>
            </w:pPr>
            <w:r>
              <w:rPr>
                <w:rFonts w:ascii="Arial" w:eastAsia="Arial" w:hAnsi="Arial" w:cs="Arial"/>
                <w:sz w:val="20"/>
              </w:rPr>
              <w:t xml:space="preserve">1 </w:t>
            </w:r>
          </w:p>
        </w:tc>
        <w:tc>
          <w:tcPr>
            <w:tcW w:w="5606" w:type="dxa"/>
            <w:tcBorders>
              <w:top w:val="double" w:sz="6" w:space="0" w:color="000000"/>
              <w:left w:val="double" w:sz="6" w:space="0" w:color="000000"/>
              <w:bottom w:val="double" w:sz="6" w:space="0" w:color="000000"/>
              <w:right w:val="single" w:sz="6" w:space="0" w:color="000000"/>
            </w:tcBorders>
            <w:vAlign w:val="center"/>
          </w:tcPr>
          <w:p w:rsidR="006C145C" w:rsidRDefault="00C62E5A">
            <w:pPr>
              <w:spacing w:after="0"/>
              <w:ind w:left="5"/>
              <w:jc w:val="center"/>
            </w:pPr>
            <w:r>
              <w:rPr>
                <w:rFonts w:ascii="Arial" w:eastAsia="Arial" w:hAnsi="Arial" w:cs="Arial"/>
                <w:sz w:val="20"/>
              </w:rPr>
              <w:t xml:space="preserve">0,2% ao dia sobre o valor mensal do contrato </w:t>
            </w:r>
          </w:p>
        </w:tc>
      </w:tr>
      <w:tr w:rsidR="006C145C">
        <w:trPr>
          <w:trHeight w:val="684"/>
        </w:trPr>
        <w:tc>
          <w:tcPr>
            <w:tcW w:w="3575" w:type="dxa"/>
            <w:tcBorders>
              <w:top w:val="double" w:sz="6" w:space="0" w:color="000000"/>
              <w:left w:val="single" w:sz="6" w:space="0" w:color="000000"/>
              <w:bottom w:val="double" w:sz="6" w:space="0" w:color="000000"/>
              <w:right w:val="double" w:sz="6" w:space="0" w:color="000000"/>
            </w:tcBorders>
            <w:vAlign w:val="center"/>
          </w:tcPr>
          <w:p w:rsidR="006C145C" w:rsidRDefault="00C62E5A">
            <w:pPr>
              <w:spacing w:after="0"/>
              <w:ind w:left="15"/>
              <w:jc w:val="center"/>
            </w:pPr>
            <w:r>
              <w:rPr>
                <w:rFonts w:ascii="Arial" w:eastAsia="Arial" w:hAnsi="Arial" w:cs="Arial"/>
                <w:sz w:val="20"/>
              </w:rPr>
              <w:t xml:space="preserve">2 </w:t>
            </w:r>
          </w:p>
        </w:tc>
        <w:tc>
          <w:tcPr>
            <w:tcW w:w="5606" w:type="dxa"/>
            <w:tcBorders>
              <w:top w:val="double" w:sz="6" w:space="0" w:color="000000"/>
              <w:left w:val="double" w:sz="6" w:space="0" w:color="000000"/>
              <w:bottom w:val="double" w:sz="6" w:space="0" w:color="000000"/>
              <w:right w:val="single" w:sz="6" w:space="0" w:color="000000"/>
            </w:tcBorders>
            <w:vAlign w:val="center"/>
          </w:tcPr>
          <w:p w:rsidR="006C145C" w:rsidRDefault="00C62E5A">
            <w:pPr>
              <w:spacing w:after="0"/>
              <w:ind w:left="5"/>
              <w:jc w:val="center"/>
            </w:pPr>
            <w:r>
              <w:rPr>
                <w:rFonts w:ascii="Arial" w:eastAsia="Arial" w:hAnsi="Arial" w:cs="Arial"/>
                <w:sz w:val="20"/>
              </w:rPr>
              <w:t xml:space="preserve">0,4% ao dia sobre o valor mensal do contrato </w:t>
            </w:r>
          </w:p>
        </w:tc>
      </w:tr>
      <w:tr w:rsidR="006C145C">
        <w:trPr>
          <w:trHeight w:val="684"/>
        </w:trPr>
        <w:tc>
          <w:tcPr>
            <w:tcW w:w="3575" w:type="dxa"/>
            <w:tcBorders>
              <w:top w:val="double" w:sz="6" w:space="0" w:color="000000"/>
              <w:left w:val="single" w:sz="6" w:space="0" w:color="000000"/>
              <w:bottom w:val="double" w:sz="6" w:space="0" w:color="000000"/>
              <w:right w:val="double" w:sz="6" w:space="0" w:color="000000"/>
            </w:tcBorders>
            <w:vAlign w:val="center"/>
          </w:tcPr>
          <w:p w:rsidR="006C145C" w:rsidRDefault="00C62E5A">
            <w:pPr>
              <w:spacing w:after="0"/>
              <w:ind w:left="15"/>
              <w:jc w:val="center"/>
            </w:pPr>
            <w:r>
              <w:rPr>
                <w:rFonts w:ascii="Arial" w:eastAsia="Arial" w:hAnsi="Arial" w:cs="Arial"/>
                <w:sz w:val="20"/>
              </w:rPr>
              <w:t xml:space="preserve">3 </w:t>
            </w:r>
          </w:p>
        </w:tc>
        <w:tc>
          <w:tcPr>
            <w:tcW w:w="5606" w:type="dxa"/>
            <w:tcBorders>
              <w:top w:val="double" w:sz="6" w:space="0" w:color="000000"/>
              <w:left w:val="double" w:sz="6" w:space="0" w:color="000000"/>
              <w:bottom w:val="double" w:sz="6" w:space="0" w:color="000000"/>
              <w:right w:val="single" w:sz="6" w:space="0" w:color="000000"/>
            </w:tcBorders>
            <w:vAlign w:val="center"/>
          </w:tcPr>
          <w:p w:rsidR="006C145C" w:rsidRDefault="00C62E5A">
            <w:pPr>
              <w:spacing w:after="0"/>
              <w:ind w:left="6"/>
              <w:jc w:val="center"/>
            </w:pPr>
            <w:r>
              <w:rPr>
                <w:rFonts w:ascii="Arial" w:eastAsia="Arial" w:hAnsi="Arial" w:cs="Arial"/>
                <w:sz w:val="20"/>
              </w:rPr>
              <w:t xml:space="preserve">0,8% ao dia sobre o valor mensal do contrato </w:t>
            </w:r>
          </w:p>
        </w:tc>
      </w:tr>
      <w:tr w:rsidR="006C145C">
        <w:trPr>
          <w:trHeight w:val="686"/>
        </w:trPr>
        <w:tc>
          <w:tcPr>
            <w:tcW w:w="3575" w:type="dxa"/>
            <w:tcBorders>
              <w:top w:val="double" w:sz="6" w:space="0" w:color="000000"/>
              <w:left w:val="single" w:sz="6" w:space="0" w:color="000000"/>
              <w:bottom w:val="double" w:sz="6" w:space="0" w:color="000000"/>
              <w:right w:val="double" w:sz="6" w:space="0" w:color="000000"/>
            </w:tcBorders>
            <w:vAlign w:val="center"/>
          </w:tcPr>
          <w:p w:rsidR="006C145C" w:rsidRDefault="00C62E5A">
            <w:pPr>
              <w:spacing w:after="0"/>
              <w:ind w:left="15"/>
              <w:jc w:val="center"/>
            </w:pPr>
            <w:r>
              <w:rPr>
                <w:rFonts w:ascii="Arial" w:eastAsia="Arial" w:hAnsi="Arial" w:cs="Arial"/>
                <w:sz w:val="20"/>
              </w:rPr>
              <w:t xml:space="preserve">4 </w:t>
            </w:r>
          </w:p>
        </w:tc>
        <w:tc>
          <w:tcPr>
            <w:tcW w:w="5606" w:type="dxa"/>
            <w:tcBorders>
              <w:top w:val="double" w:sz="6" w:space="0" w:color="000000"/>
              <w:left w:val="double" w:sz="6" w:space="0" w:color="000000"/>
              <w:bottom w:val="double" w:sz="6" w:space="0" w:color="000000"/>
              <w:right w:val="single" w:sz="6" w:space="0" w:color="000000"/>
            </w:tcBorders>
            <w:vAlign w:val="center"/>
          </w:tcPr>
          <w:p w:rsidR="006C145C" w:rsidRDefault="00C62E5A">
            <w:pPr>
              <w:spacing w:after="0"/>
              <w:ind w:left="5"/>
              <w:jc w:val="center"/>
            </w:pPr>
            <w:r>
              <w:rPr>
                <w:rFonts w:ascii="Arial" w:eastAsia="Arial" w:hAnsi="Arial" w:cs="Arial"/>
                <w:sz w:val="20"/>
              </w:rPr>
              <w:t xml:space="preserve">1,6% ao dia sobre o valor mensal do contrato </w:t>
            </w:r>
          </w:p>
        </w:tc>
      </w:tr>
      <w:tr w:rsidR="006C145C">
        <w:trPr>
          <w:trHeight w:val="683"/>
        </w:trPr>
        <w:tc>
          <w:tcPr>
            <w:tcW w:w="3575" w:type="dxa"/>
            <w:tcBorders>
              <w:top w:val="double" w:sz="6" w:space="0" w:color="000000"/>
              <w:left w:val="single" w:sz="6" w:space="0" w:color="000000"/>
              <w:bottom w:val="double" w:sz="6" w:space="0" w:color="000000"/>
              <w:right w:val="double" w:sz="6" w:space="0" w:color="000000"/>
            </w:tcBorders>
            <w:vAlign w:val="center"/>
          </w:tcPr>
          <w:p w:rsidR="006C145C" w:rsidRDefault="00C62E5A">
            <w:pPr>
              <w:spacing w:after="0"/>
              <w:ind w:left="15"/>
              <w:jc w:val="center"/>
            </w:pPr>
            <w:r>
              <w:rPr>
                <w:rFonts w:ascii="Arial" w:eastAsia="Arial" w:hAnsi="Arial" w:cs="Arial"/>
                <w:sz w:val="20"/>
              </w:rPr>
              <w:t xml:space="preserve">5 </w:t>
            </w:r>
          </w:p>
        </w:tc>
        <w:tc>
          <w:tcPr>
            <w:tcW w:w="5606" w:type="dxa"/>
            <w:tcBorders>
              <w:top w:val="double" w:sz="6" w:space="0" w:color="000000"/>
              <w:left w:val="double" w:sz="6" w:space="0" w:color="000000"/>
              <w:bottom w:val="double" w:sz="6" w:space="0" w:color="000000"/>
              <w:right w:val="single" w:sz="6" w:space="0" w:color="000000"/>
            </w:tcBorders>
            <w:vAlign w:val="center"/>
          </w:tcPr>
          <w:p w:rsidR="006C145C" w:rsidRDefault="00C62E5A">
            <w:pPr>
              <w:spacing w:after="0"/>
              <w:ind w:left="5"/>
              <w:jc w:val="center"/>
            </w:pPr>
            <w:r>
              <w:rPr>
                <w:rFonts w:ascii="Arial" w:eastAsia="Arial" w:hAnsi="Arial" w:cs="Arial"/>
                <w:sz w:val="20"/>
              </w:rPr>
              <w:t xml:space="preserve">3,2% ao dia sobre o valor mensal do contrato </w:t>
            </w:r>
          </w:p>
        </w:tc>
      </w:tr>
    </w:tbl>
    <w:p w:rsidR="006C145C" w:rsidRDefault="00C62E5A">
      <w:pPr>
        <w:pStyle w:val="Ttulo2"/>
        <w:ind w:left="10" w:right="104"/>
      </w:pPr>
      <w:r>
        <w:t>Tabela 2</w:t>
      </w:r>
      <w:r>
        <w:rPr>
          <w:b w:val="0"/>
        </w:rPr>
        <w:t xml:space="preserve"> </w:t>
      </w:r>
    </w:p>
    <w:tbl>
      <w:tblPr>
        <w:tblStyle w:val="TableGrid"/>
        <w:tblW w:w="9182" w:type="dxa"/>
        <w:tblInd w:w="98" w:type="dxa"/>
        <w:tblCellMar>
          <w:top w:w="0" w:type="dxa"/>
          <w:left w:w="115" w:type="dxa"/>
          <w:bottom w:w="0" w:type="dxa"/>
          <w:right w:w="115" w:type="dxa"/>
        </w:tblCellMar>
        <w:tblLook w:val="04A0" w:firstRow="1" w:lastRow="0" w:firstColumn="1" w:lastColumn="0" w:noHBand="0" w:noVBand="1"/>
      </w:tblPr>
      <w:tblGrid>
        <w:gridCol w:w="2239"/>
        <w:gridCol w:w="4985"/>
        <w:gridCol w:w="1958"/>
      </w:tblGrid>
      <w:tr w:rsidR="006C145C">
        <w:trPr>
          <w:trHeight w:val="686"/>
        </w:trPr>
        <w:tc>
          <w:tcPr>
            <w:tcW w:w="2239" w:type="dxa"/>
            <w:tcBorders>
              <w:top w:val="double" w:sz="6" w:space="0" w:color="000000"/>
              <w:left w:val="single" w:sz="6" w:space="0" w:color="000000"/>
              <w:bottom w:val="double" w:sz="6" w:space="0" w:color="000000"/>
              <w:right w:val="nil"/>
            </w:tcBorders>
          </w:tcPr>
          <w:p w:rsidR="006C145C" w:rsidRDefault="006C145C"/>
        </w:tc>
        <w:tc>
          <w:tcPr>
            <w:tcW w:w="4986" w:type="dxa"/>
            <w:tcBorders>
              <w:top w:val="double" w:sz="6" w:space="0" w:color="000000"/>
              <w:left w:val="nil"/>
              <w:bottom w:val="double" w:sz="6" w:space="0" w:color="000000"/>
              <w:right w:val="nil"/>
            </w:tcBorders>
            <w:vAlign w:val="center"/>
          </w:tcPr>
          <w:p w:rsidR="006C145C" w:rsidRDefault="00C62E5A">
            <w:pPr>
              <w:spacing w:after="0"/>
              <w:ind w:right="274"/>
              <w:jc w:val="center"/>
            </w:pPr>
            <w:r>
              <w:rPr>
                <w:rFonts w:ascii="Arial" w:eastAsia="Arial" w:hAnsi="Arial" w:cs="Arial"/>
                <w:b/>
                <w:sz w:val="20"/>
              </w:rPr>
              <w:t>INFRAÇÃO</w:t>
            </w:r>
            <w:r>
              <w:rPr>
                <w:rFonts w:ascii="Arial" w:eastAsia="Arial" w:hAnsi="Arial" w:cs="Arial"/>
                <w:sz w:val="20"/>
              </w:rPr>
              <w:t xml:space="preserve"> </w:t>
            </w:r>
          </w:p>
        </w:tc>
        <w:tc>
          <w:tcPr>
            <w:tcW w:w="1957" w:type="dxa"/>
            <w:tcBorders>
              <w:top w:val="double" w:sz="6" w:space="0" w:color="000000"/>
              <w:left w:val="nil"/>
              <w:bottom w:val="double" w:sz="6" w:space="0" w:color="000000"/>
              <w:right w:val="single" w:sz="6" w:space="0" w:color="000000"/>
            </w:tcBorders>
          </w:tcPr>
          <w:p w:rsidR="006C145C" w:rsidRDefault="006C145C"/>
        </w:tc>
      </w:tr>
      <w:tr w:rsidR="006C145C">
        <w:trPr>
          <w:trHeight w:val="684"/>
        </w:trPr>
        <w:tc>
          <w:tcPr>
            <w:tcW w:w="2239" w:type="dxa"/>
            <w:tcBorders>
              <w:top w:val="double" w:sz="6" w:space="0" w:color="000000"/>
              <w:left w:val="single" w:sz="6" w:space="0" w:color="000000"/>
              <w:bottom w:val="double" w:sz="6" w:space="0" w:color="000000"/>
              <w:right w:val="double" w:sz="6" w:space="0" w:color="000000"/>
            </w:tcBorders>
            <w:vAlign w:val="center"/>
          </w:tcPr>
          <w:p w:rsidR="006C145C" w:rsidRDefault="00C62E5A">
            <w:pPr>
              <w:spacing w:after="0"/>
              <w:ind w:left="8"/>
              <w:jc w:val="center"/>
            </w:pPr>
            <w:r>
              <w:rPr>
                <w:rFonts w:ascii="Arial" w:eastAsia="Arial" w:hAnsi="Arial" w:cs="Arial"/>
                <w:b/>
                <w:sz w:val="20"/>
              </w:rPr>
              <w:t>ITEM</w:t>
            </w:r>
            <w:r>
              <w:rPr>
                <w:rFonts w:ascii="Arial" w:eastAsia="Arial" w:hAnsi="Arial" w:cs="Arial"/>
                <w:sz w:val="20"/>
              </w:rPr>
              <w:t xml:space="preserve"> </w:t>
            </w:r>
          </w:p>
        </w:tc>
        <w:tc>
          <w:tcPr>
            <w:tcW w:w="4986" w:type="dxa"/>
            <w:tcBorders>
              <w:top w:val="double" w:sz="6" w:space="0" w:color="000000"/>
              <w:left w:val="double" w:sz="6" w:space="0" w:color="000000"/>
              <w:bottom w:val="double" w:sz="6" w:space="0" w:color="000000"/>
              <w:right w:val="double" w:sz="6" w:space="0" w:color="000000"/>
            </w:tcBorders>
            <w:vAlign w:val="center"/>
          </w:tcPr>
          <w:p w:rsidR="006C145C" w:rsidRDefault="00C62E5A">
            <w:pPr>
              <w:spacing w:after="0"/>
              <w:ind w:left="10"/>
              <w:jc w:val="center"/>
            </w:pPr>
            <w:r>
              <w:rPr>
                <w:rFonts w:ascii="Arial" w:eastAsia="Arial" w:hAnsi="Arial" w:cs="Arial"/>
                <w:b/>
                <w:sz w:val="20"/>
              </w:rPr>
              <w:t>DESCRIÇÃO</w:t>
            </w:r>
            <w:r>
              <w:rPr>
                <w:rFonts w:ascii="Arial" w:eastAsia="Arial" w:hAnsi="Arial" w:cs="Arial"/>
                <w:sz w:val="20"/>
              </w:rPr>
              <w:t xml:space="preserve"> </w:t>
            </w:r>
          </w:p>
        </w:tc>
        <w:tc>
          <w:tcPr>
            <w:tcW w:w="1957" w:type="dxa"/>
            <w:tcBorders>
              <w:top w:val="double" w:sz="6" w:space="0" w:color="000000"/>
              <w:left w:val="double" w:sz="6" w:space="0" w:color="000000"/>
              <w:bottom w:val="double" w:sz="6" w:space="0" w:color="000000"/>
              <w:right w:val="single" w:sz="6" w:space="0" w:color="000000"/>
            </w:tcBorders>
            <w:vAlign w:val="center"/>
          </w:tcPr>
          <w:p w:rsidR="006C145C" w:rsidRDefault="00C62E5A">
            <w:pPr>
              <w:spacing w:after="0"/>
              <w:ind w:left="8"/>
              <w:jc w:val="center"/>
            </w:pPr>
            <w:r>
              <w:rPr>
                <w:rFonts w:ascii="Arial" w:eastAsia="Arial" w:hAnsi="Arial" w:cs="Arial"/>
                <w:b/>
                <w:sz w:val="20"/>
              </w:rPr>
              <w:t>GRAU</w:t>
            </w:r>
            <w:r>
              <w:rPr>
                <w:rFonts w:ascii="Arial" w:eastAsia="Arial" w:hAnsi="Arial" w:cs="Arial"/>
                <w:sz w:val="20"/>
              </w:rPr>
              <w:t xml:space="preserve"> </w:t>
            </w:r>
          </w:p>
        </w:tc>
      </w:tr>
      <w:tr w:rsidR="006C145C">
        <w:trPr>
          <w:trHeight w:val="1213"/>
        </w:trPr>
        <w:tc>
          <w:tcPr>
            <w:tcW w:w="2239" w:type="dxa"/>
            <w:tcBorders>
              <w:top w:val="double" w:sz="6" w:space="0" w:color="000000"/>
              <w:left w:val="single" w:sz="6" w:space="0" w:color="000000"/>
              <w:bottom w:val="double" w:sz="6" w:space="0" w:color="000000"/>
              <w:right w:val="double" w:sz="6" w:space="0" w:color="000000"/>
            </w:tcBorders>
            <w:vAlign w:val="center"/>
          </w:tcPr>
          <w:p w:rsidR="006C145C" w:rsidRDefault="00C62E5A">
            <w:pPr>
              <w:spacing w:after="0"/>
              <w:ind w:left="13"/>
              <w:jc w:val="center"/>
            </w:pPr>
            <w:r>
              <w:rPr>
                <w:rFonts w:ascii="Arial" w:eastAsia="Arial" w:hAnsi="Arial" w:cs="Arial"/>
                <w:sz w:val="20"/>
              </w:rPr>
              <w:t xml:space="preserve">1 </w:t>
            </w:r>
          </w:p>
        </w:tc>
        <w:tc>
          <w:tcPr>
            <w:tcW w:w="4986" w:type="dxa"/>
            <w:tcBorders>
              <w:top w:val="double" w:sz="6" w:space="0" w:color="000000"/>
              <w:left w:val="double" w:sz="6" w:space="0" w:color="000000"/>
              <w:bottom w:val="double" w:sz="6" w:space="0" w:color="000000"/>
              <w:right w:val="double" w:sz="6" w:space="0" w:color="000000"/>
            </w:tcBorders>
            <w:vAlign w:val="center"/>
          </w:tcPr>
          <w:p w:rsidR="006C145C" w:rsidRDefault="00C62E5A">
            <w:pPr>
              <w:spacing w:after="0" w:line="279" w:lineRule="auto"/>
              <w:jc w:val="center"/>
            </w:pPr>
            <w:r>
              <w:rPr>
                <w:rFonts w:ascii="Arial" w:eastAsia="Arial" w:hAnsi="Arial" w:cs="Arial"/>
                <w:sz w:val="20"/>
              </w:rPr>
              <w:t xml:space="preserve">Permitir situação que crie a possibilidade de causar dano físico, lesão corporal ou conseqüências letais, </w:t>
            </w:r>
          </w:p>
          <w:p w:rsidR="006C145C" w:rsidRDefault="00C62E5A">
            <w:pPr>
              <w:spacing w:after="0"/>
              <w:ind w:left="10"/>
              <w:jc w:val="center"/>
            </w:pPr>
            <w:r>
              <w:rPr>
                <w:rFonts w:ascii="Arial" w:eastAsia="Arial" w:hAnsi="Arial" w:cs="Arial"/>
                <w:sz w:val="20"/>
              </w:rPr>
              <w:t xml:space="preserve">por ocorrência; </w:t>
            </w:r>
          </w:p>
        </w:tc>
        <w:tc>
          <w:tcPr>
            <w:tcW w:w="1957" w:type="dxa"/>
            <w:tcBorders>
              <w:top w:val="double" w:sz="6" w:space="0" w:color="000000"/>
              <w:left w:val="double" w:sz="6" w:space="0" w:color="000000"/>
              <w:bottom w:val="double" w:sz="6" w:space="0" w:color="000000"/>
              <w:right w:val="single" w:sz="6" w:space="0" w:color="000000"/>
            </w:tcBorders>
            <w:vAlign w:val="center"/>
          </w:tcPr>
          <w:p w:rsidR="006C145C" w:rsidRDefault="00C62E5A">
            <w:pPr>
              <w:spacing w:after="0"/>
              <w:ind w:left="9"/>
              <w:jc w:val="center"/>
            </w:pPr>
            <w:r>
              <w:rPr>
                <w:rFonts w:ascii="Arial" w:eastAsia="Arial" w:hAnsi="Arial" w:cs="Arial"/>
                <w:sz w:val="20"/>
              </w:rPr>
              <w:t xml:space="preserve">05 </w:t>
            </w:r>
          </w:p>
        </w:tc>
      </w:tr>
      <w:tr w:rsidR="006C145C">
        <w:tblPrEx>
          <w:tblCellMar>
            <w:right w:w="59" w:type="dxa"/>
          </w:tblCellMar>
        </w:tblPrEx>
        <w:trPr>
          <w:trHeight w:val="1214"/>
        </w:trPr>
        <w:tc>
          <w:tcPr>
            <w:tcW w:w="2238" w:type="dxa"/>
            <w:tcBorders>
              <w:top w:val="double" w:sz="6" w:space="0" w:color="000000"/>
              <w:left w:val="single" w:sz="6" w:space="0" w:color="000000"/>
              <w:bottom w:val="double" w:sz="6" w:space="0" w:color="000000"/>
              <w:right w:val="double" w:sz="6" w:space="0" w:color="000000"/>
            </w:tcBorders>
            <w:vAlign w:val="center"/>
          </w:tcPr>
          <w:p w:rsidR="006C145C" w:rsidRDefault="00C62E5A">
            <w:pPr>
              <w:spacing w:after="0"/>
              <w:ind w:right="38"/>
              <w:jc w:val="center"/>
            </w:pPr>
            <w:r>
              <w:rPr>
                <w:rFonts w:ascii="Arial" w:eastAsia="Arial" w:hAnsi="Arial" w:cs="Arial"/>
                <w:sz w:val="20"/>
              </w:rPr>
              <w:t xml:space="preserve">2 </w:t>
            </w:r>
          </w:p>
        </w:tc>
        <w:tc>
          <w:tcPr>
            <w:tcW w:w="4986" w:type="dxa"/>
            <w:tcBorders>
              <w:top w:val="double" w:sz="6" w:space="0" w:color="000000"/>
              <w:left w:val="double" w:sz="6" w:space="0" w:color="000000"/>
              <w:bottom w:val="double" w:sz="6" w:space="0" w:color="000000"/>
              <w:right w:val="double" w:sz="6" w:space="0" w:color="000000"/>
            </w:tcBorders>
            <w:vAlign w:val="center"/>
          </w:tcPr>
          <w:p w:rsidR="006C145C" w:rsidRDefault="00C62E5A">
            <w:pPr>
              <w:spacing w:after="0" w:line="277" w:lineRule="auto"/>
              <w:jc w:val="center"/>
            </w:pPr>
            <w:r>
              <w:rPr>
                <w:rFonts w:ascii="Arial" w:eastAsia="Arial" w:hAnsi="Arial" w:cs="Arial"/>
                <w:sz w:val="20"/>
              </w:rPr>
              <w:t xml:space="preserve">Suspender ou interromper, salvo motivo de força maior ou caso fortuito, os serviços contratuais por dia </w:t>
            </w:r>
          </w:p>
          <w:p w:rsidR="006C145C" w:rsidRDefault="00C62E5A">
            <w:pPr>
              <w:spacing w:after="0"/>
              <w:ind w:right="43"/>
              <w:jc w:val="center"/>
            </w:pPr>
            <w:r>
              <w:rPr>
                <w:rFonts w:ascii="Arial" w:eastAsia="Arial" w:hAnsi="Arial" w:cs="Arial"/>
                <w:sz w:val="20"/>
              </w:rPr>
              <w:t xml:space="preserve">e por unidade de atendimento; </w:t>
            </w:r>
          </w:p>
        </w:tc>
        <w:tc>
          <w:tcPr>
            <w:tcW w:w="1958" w:type="dxa"/>
            <w:tcBorders>
              <w:top w:val="double" w:sz="6" w:space="0" w:color="000000"/>
              <w:left w:val="double" w:sz="6" w:space="0" w:color="000000"/>
              <w:bottom w:val="double" w:sz="6" w:space="0" w:color="000000"/>
              <w:right w:val="single" w:sz="6" w:space="0" w:color="000000"/>
            </w:tcBorders>
            <w:vAlign w:val="center"/>
          </w:tcPr>
          <w:p w:rsidR="006C145C" w:rsidRDefault="00C62E5A">
            <w:pPr>
              <w:spacing w:after="0"/>
              <w:ind w:right="42"/>
              <w:jc w:val="center"/>
            </w:pPr>
            <w:r>
              <w:rPr>
                <w:rFonts w:ascii="Arial" w:eastAsia="Arial" w:hAnsi="Arial" w:cs="Arial"/>
                <w:sz w:val="20"/>
              </w:rPr>
              <w:t xml:space="preserve">04 </w:t>
            </w:r>
          </w:p>
        </w:tc>
      </w:tr>
      <w:tr w:rsidR="006C145C">
        <w:tblPrEx>
          <w:tblCellMar>
            <w:right w:w="59" w:type="dxa"/>
          </w:tblCellMar>
        </w:tblPrEx>
        <w:trPr>
          <w:trHeight w:val="948"/>
        </w:trPr>
        <w:tc>
          <w:tcPr>
            <w:tcW w:w="2238" w:type="dxa"/>
            <w:tcBorders>
              <w:top w:val="double" w:sz="6" w:space="0" w:color="000000"/>
              <w:left w:val="single" w:sz="6" w:space="0" w:color="000000"/>
              <w:bottom w:val="double" w:sz="6" w:space="0" w:color="000000"/>
              <w:right w:val="double" w:sz="6" w:space="0" w:color="000000"/>
            </w:tcBorders>
            <w:vAlign w:val="center"/>
          </w:tcPr>
          <w:p w:rsidR="006C145C" w:rsidRDefault="00C62E5A">
            <w:pPr>
              <w:spacing w:after="0"/>
              <w:ind w:right="38"/>
              <w:jc w:val="center"/>
            </w:pPr>
            <w:r>
              <w:rPr>
                <w:rFonts w:ascii="Arial" w:eastAsia="Arial" w:hAnsi="Arial" w:cs="Arial"/>
                <w:sz w:val="20"/>
              </w:rPr>
              <w:t xml:space="preserve">3 </w:t>
            </w:r>
          </w:p>
        </w:tc>
        <w:tc>
          <w:tcPr>
            <w:tcW w:w="4986" w:type="dxa"/>
            <w:tcBorders>
              <w:top w:val="double" w:sz="6" w:space="0" w:color="000000"/>
              <w:left w:val="double" w:sz="6" w:space="0" w:color="000000"/>
              <w:bottom w:val="double" w:sz="6" w:space="0" w:color="000000"/>
              <w:right w:val="double" w:sz="6" w:space="0" w:color="000000"/>
            </w:tcBorders>
            <w:vAlign w:val="center"/>
          </w:tcPr>
          <w:p w:rsidR="006C145C" w:rsidRDefault="00C62E5A">
            <w:pPr>
              <w:spacing w:after="0"/>
              <w:jc w:val="center"/>
            </w:pPr>
            <w:r>
              <w:rPr>
                <w:rFonts w:ascii="Arial" w:eastAsia="Arial" w:hAnsi="Arial" w:cs="Arial"/>
                <w:sz w:val="20"/>
              </w:rPr>
              <w:t xml:space="preserve">Manter funcionário sem qualificação para executar os serviços contratados, por empregado e por dia; </w:t>
            </w:r>
          </w:p>
        </w:tc>
        <w:tc>
          <w:tcPr>
            <w:tcW w:w="1958" w:type="dxa"/>
            <w:tcBorders>
              <w:top w:val="double" w:sz="6" w:space="0" w:color="000000"/>
              <w:left w:val="double" w:sz="6" w:space="0" w:color="000000"/>
              <w:bottom w:val="double" w:sz="6" w:space="0" w:color="000000"/>
              <w:right w:val="single" w:sz="6" w:space="0" w:color="000000"/>
            </w:tcBorders>
            <w:vAlign w:val="center"/>
          </w:tcPr>
          <w:p w:rsidR="006C145C" w:rsidRDefault="00C62E5A">
            <w:pPr>
              <w:spacing w:after="0"/>
              <w:ind w:right="42"/>
              <w:jc w:val="center"/>
            </w:pPr>
            <w:r>
              <w:rPr>
                <w:rFonts w:ascii="Arial" w:eastAsia="Arial" w:hAnsi="Arial" w:cs="Arial"/>
                <w:sz w:val="20"/>
              </w:rPr>
              <w:t xml:space="preserve">03 </w:t>
            </w:r>
          </w:p>
        </w:tc>
      </w:tr>
      <w:tr w:rsidR="006C145C">
        <w:tblPrEx>
          <w:tblCellMar>
            <w:right w:w="59" w:type="dxa"/>
          </w:tblCellMar>
        </w:tblPrEx>
        <w:trPr>
          <w:trHeight w:val="948"/>
        </w:trPr>
        <w:tc>
          <w:tcPr>
            <w:tcW w:w="2238" w:type="dxa"/>
            <w:tcBorders>
              <w:top w:val="double" w:sz="6" w:space="0" w:color="000000"/>
              <w:left w:val="single" w:sz="6" w:space="0" w:color="000000"/>
              <w:bottom w:val="double" w:sz="6" w:space="0" w:color="000000"/>
              <w:right w:val="double" w:sz="6" w:space="0" w:color="000000"/>
            </w:tcBorders>
            <w:vAlign w:val="center"/>
          </w:tcPr>
          <w:p w:rsidR="006C145C" w:rsidRDefault="00C62E5A">
            <w:pPr>
              <w:spacing w:after="0"/>
              <w:ind w:right="38"/>
              <w:jc w:val="center"/>
            </w:pPr>
            <w:r>
              <w:rPr>
                <w:rFonts w:ascii="Arial" w:eastAsia="Arial" w:hAnsi="Arial" w:cs="Arial"/>
                <w:sz w:val="20"/>
              </w:rPr>
              <w:t xml:space="preserve">4 </w:t>
            </w:r>
          </w:p>
        </w:tc>
        <w:tc>
          <w:tcPr>
            <w:tcW w:w="4986" w:type="dxa"/>
            <w:tcBorders>
              <w:top w:val="double" w:sz="6" w:space="0" w:color="000000"/>
              <w:left w:val="double" w:sz="6" w:space="0" w:color="000000"/>
              <w:bottom w:val="double" w:sz="6" w:space="0" w:color="000000"/>
              <w:right w:val="double" w:sz="6" w:space="0" w:color="000000"/>
            </w:tcBorders>
            <w:vAlign w:val="center"/>
          </w:tcPr>
          <w:p w:rsidR="006C145C" w:rsidRDefault="00C62E5A">
            <w:pPr>
              <w:spacing w:after="0"/>
              <w:jc w:val="center"/>
            </w:pPr>
            <w:r>
              <w:rPr>
                <w:rFonts w:ascii="Arial" w:eastAsia="Arial" w:hAnsi="Arial" w:cs="Arial"/>
                <w:sz w:val="20"/>
              </w:rPr>
              <w:t xml:space="preserve">Recusar-se a executar serviço determinado pela fiscalização, por serviço e por dia; </w:t>
            </w:r>
          </w:p>
        </w:tc>
        <w:tc>
          <w:tcPr>
            <w:tcW w:w="1958" w:type="dxa"/>
            <w:tcBorders>
              <w:top w:val="double" w:sz="6" w:space="0" w:color="000000"/>
              <w:left w:val="double" w:sz="6" w:space="0" w:color="000000"/>
              <w:bottom w:val="double" w:sz="6" w:space="0" w:color="000000"/>
              <w:right w:val="single" w:sz="6" w:space="0" w:color="000000"/>
            </w:tcBorders>
            <w:vAlign w:val="center"/>
          </w:tcPr>
          <w:p w:rsidR="006C145C" w:rsidRDefault="00C62E5A">
            <w:pPr>
              <w:spacing w:after="0"/>
              <w:ind w:right="42"/>
              <w:jc w:val="center"/>
            </w:pPr>
            <w:r>
              <w:rPr>
                <w:rFonts w:ascii="Arial" w:eastAsia="Arial" w:hAnsi="Arial" w:cs="Arial"/>
                <w:sz w:val="20"/>
              </w:rPr>
              <w:t xml:space="preserve">02 </w:t>
            </w:r>
          </w:p>
        </w:tc>
      </w:tr>
      <w:tr w:rsidR="006C145C">
        <w:tblPrEx>
          <w:tblCellMar>
            <w:right w:w="59" w:type="dxa"/>
          </w:tblCellMar>
        </w:tblPrEx>
        <w:trPr>
          <w:trHeight w:val="1215"/>
        </w:trPr>
        <w:tc>
          <w:tcPr>
            <w:tcW w:w="2238" w:type="dxa"/>
            <w:tcBorders>
              <w:top w:val="double" w:sz="6" w:space="0" w:color="000000"/>
              <w:left w:val="single" w:sz="6" w:space="0" w:color="000000"/>
              <w:bottom w:val="double" w:sz="6" w:space="0" w:color="000000"/>
              <w:right w:val="double" w:sz="6" w:space="0" w:color="000000"/>
            </w:tcBorders>
            <w:vAlign w:val="center"/>
          </w:tcPr>
          <w:p w:rsidR="006C145C" w:rsidRDefault="00C62E5A">
            <w:pPr>
              <w:spacing w:after="0"/>
              <w:ind w:right="38"/>
              <w:jc w:val="center"/>
            </w:pPr>
            <w:r>
              <w:rPr>
                <w:rFonts w:ascii="Arial" w:eastAsia="Arial" w:hAnsi="Arial" w:cs="Arial"/>
                <w:sz w:val="20"/>
              </w:rPr>
              <w:lastRenderedPageBreak/>
              <w:t xml:space="preserve">5 </w:t>
            </w:r>
          </w:p>
        </w:tc>
        <w:tc>
          <w:tcPr>
            <w:tcW w:w="4986" w:type="dxa"/>
            <w:tcBorders>
              <w:top w:val="double" w:sz="6" w:space="0" w:color="000000"/>
              <w:left w:val="double" w:sz="6" w:space="0" w:color="000000"/>
              <w:bottom w:val="double" w:sz="6" w:space="0" w:color="000000"/>
              <w:right w:val="double" w:sz="6" w:space="0" w:color="000000"/>
            </w:tcBorders>
            <w:vAlign w:val="center"/>
          </w:tcPr>
          <w:p w:rsidR="006C145C" w:rsidRDefault="00C62E5A">
            <w:pPr>
              <w:spacing w:after="1" w:line="277" w:lineRule="auto"/>
              <w:jc w:val="center"/>
            </w:pPr>
            <w:r>
              <w:rPr>
                <w:rFonts w:ascii="Arial" w:eastAsia="Arial" w:hAnsi="Arial" w:cs="Arial"/>
                <w:sz w:val="20"/>
              </w:rPr>
              <w:t xml:space="preserve">Retirar funcionários ou encarregados do serviço durante o expediente, sem a anuência prévia do </w:t>
            </w:r>
          </w:p>
          <w:p w:rsidR="006C145C" w:rsidRDefault="00C62E5A">
            <w:pPr>
              <w:spacing w:after="0"/>
              <w:ind w:right="43"/>
              <w:jc w:val="center"/>
            </w:pPr>
            <w:r>
              <w:rPr>
                <w:rFonts w:ascii="Arial" w:eastAsia="Arial" w:hAnsi="Arial" w:cs="Arial"/>
                <w:sz w:val="20"/>
              </w:rPr>
              <w:t xml:space="preserve">CONTRATANTE, por empregado e por dia; </w:t>
            </w:r>
          </w:p>
        </w:tc>
        <w:tc>
          <w:tcPr>
            <w:tcW w:w="1958" w:type="dxa"/>
            <w:tcBorders>
              <w:top w:val="double" w:sz="6" w:space="0" w:color="000000"/>
              <w:left w:val="double" w:sz="6" w:space="0" w:color="000000"/>
              <w:bottom w:val="double" w:sz="6" w:space="0" w:color="000000"/>
              <w:right w:val="single" w:sz="6" w:space="0" w:color="000000"/>
            </w:tcBorders>
            <w:vAlign w:val="center"/>
          </w:tcPr>
          <w:p w:rsidR="006C145C" w:rsidRDefault="00C62E5A">
            <w:pPr>
              <w:spacing w:after="0"/>
              <w:ind w:right="42"/>
              <w:jc w:val="center"/>
            </w:pPr>
            <w:r>
              <w:rPr>
                <w:rFonts w:ascii="Arial" w:eastAsia="Arial" w:hAnsi="Arial" w:cs="Arial"/>
                <w:sz w:val="20"/>
              </w:rPr>
              <w:t xml:space="preserve">03 </w:t>
            </w:r>
          </w:p>
        </w:tc>
      </w:tr>
      <w:tr w:rsidR="006C145C">
        <w:tblPrEx>
          <w:tblCellMar>
            <w:right w:w="59" w:type="dxa"/>
          </w:tblCellMar>
        </w:tblPrEx>
        <w:trPr>
          <w:trHeight w:val="684"/>
        </w:trPr>
        <w:tc>
          <w:tcPr>
            <w:tcW w:w="9182" w:type="dxa"/>
            <w:gridSpan w:val="3"/>
            <w:tcBorders>
              <w:top w:val="double" w:sz="6" w:space="0" w:color="000000"/>
              <w:left w:val="single" w:sz="6" w:space="0" w:color="000000"/>
              <w:bottom w:val="double" w:sz="6" w:space="0" w:color="000000"/>
              <w:right w:val="single" w:sz="6" w:space="0" w:color="000000"/>
            </w:tcBorders>
            <w:vAlign w:val="center"/>
          </w:tcPr>
          <w:p w:rsidR="006C145C" w:rsidRDefault="00C62E5A">
            <w:pPr>
              <w:spacing w:after="0"/>
              <w:ind w:right="40"/>
              <w:jc w:val="center"/>
            </w:pPr>
            <w:r>
              <w:rPr>
                <w:rFonts w:ascii="Arial" w:eastAsia="Arial" w:hAnsi="Arial" w:cs="Arial"/>
                <w:b/>
                <w:sz w:val="20"/>
              </w:rPr>
              <w:t>Para os itens a seguir, deixar de:</w:t>
            </w:r>
            <w:r>
              <w:rPr>
                <w:rFonts w:ascii="Arial" w:eastAsia="Arial" w:hAnsi="Arial" w:cs="Arial"/>
                <w:sz w:val="20"/>
              </w:rPr>
              <w:t xml:space="preserve"> </w:t>
            </w:r>
          </w:p>
        </w:tc>
      </w:tr>
      <w:tr w:rsidR="006C145C">
        <w:tblPrEx>
          <w:tblCellMar>
            <w:right w:w="59" w:type="dxa"/>
          </w:tblCellMar>
        </w:tblPrEx>
        <w:trPr>
          <w:trHeight w:val="1214"/>
        </w:trPr>
        <w:tc>
          <w:tcPr>
            <w:tcW w:w="2238" w:type="dxa"/>
            <w:tcBorders>
              <w:top w:val="double" w:sz="6" w:space="0" w:color="000000"/>
              <w:left w:val="single" w:sz="6" w:space="0" w:color="000000"/>
              <w:bottom w:val="double" w:sz="6" w:space="0" w:color="000000"/>
              <w:right w:val="double" w:sz="6" w:space="0" w:color="000000"/>
            </w:tcBorders>
            <w:vAlign w:val="center"/>
          </w:tcPr>
          <w:p w:rsidR="006C145C" w:rsidRDefault="00C62E5A">
            <w:pPr>
              <w:spacing w:after="0"/>
              <w:ind w:right="38"/>
              <w:jc w:val="center"/>
            </w:pPr>
            <w:r>
              <w:rPr>
                <w:rFonts w:ascii="Arial" w:eastAsia="Arial" w:hAnsi="Arial" w:cs="Arial"/>
                <w:sz w:val="20"/>
              </w:rPr>
              <w:t xml:space="preserve">6 </w:t>
            </w:r>
          </w:p>
        </w:tc>
        <w:tc>
          <w:tcPr>
            <w:tcW w:w="4986" w:type="dxa"/>
            <w:tcBorders>
              <w:top w:val="double" w:sz="6" w:space="0" w:color="000000"/>
              <w:left w:val="double" w:sz="6" w:space="0" w:color="000000"/>
              <w:bottom w:val="double" w:sz="6" w:space="0" w:color="000000"/>
              <w:right w:val="double" w:sz="6" w:space="0" w:color="000000"/>
            </w:tcBorders>
            <w:vAlign w:val="center"/>
          </w:tcPr>
          <w:p w:rsidR="006C145C" w:rsidRDefault="00C62E5A">
            <w:pPr>
              <w:spacing w:after="0" w:line="277" w:lineRule="auto"/>
              <w:jc w:val="center"/>
            </w:pPr>
            <w:r>
              <w:rPr>
                <w:rFonts w:ascii="Arial" w:eastAsia="Arial" w:hAnsi="Arial" w:cs="Arial"/>
                <w:sz w:val="20"/>
              </w:rPr>
              <w:t xml:space="preserve">Registrar e controlar, diariamente, a assiduidade e a pontualidade de seu pessoal, por funcionário e por </w:t>
            </w:r>
          </w:p>
          <w:p w:rsidR="006C145C" w:rsidRDefault="00C62E5A">
            <w:pPr>
              <w:spacing w:after="0"/>
              <w:ind w:right="39"/>
              <w:jc w:val="center"/>
            </w:pPr>
            <w:r>
              <w:rPr>
                <w:rFonts w:ascii="Arial" w:eastAsia="Arial" w:hAnsi="Arial" w:cs="Arial"/>
                <w:sz w:val="20"/>
              </w:rPr>
              <w:t xml:space="preserve">dia; </w:t>
            </w:r>
          </w:p>
        </w:tc>
        <w:tc>
          <w:tcPr>
            <w:tcW w:w="1958" w:type="dxa"/>
            <w:tcBorders>
              <w:top w:val="double" w:sz="6" w:space="0" w:color="000000"/>
              <w:left w:val="double" w:sz="6" w:space="0" w:color="000000"/>
              <w:bottom w:val="double" w:sz="6" w:space="0" w:color="000000"/>
              <w:right w:val="single" w:sz="6" w:space="0" w:color="000000"/>
            </w:tcBorders>
            <w:vAlign w:val="center"/>
          </w:tcPr>
          <w:p w:rsidR="006C145C" w:rsidRDefault="00C62E5A">
            <w:pPr>
              <w:spacing w:after="0"/>
              <w:ind w:right="42"/>
              <w:jc w:val="center"/>
            </w:pPr>
            <w:r>
              <w:rPr>
                <w:rFonts w:ascii="Arial" w:eastAsia="Arial" w:hAnsi="Arial" w:cs="Arial"/>
                <w:sz w:val="20"/>
              </w:rPr>
              <w:t xml:space="preserve">01 </w:t>
            </w:r>
          </w:p>
        </w:tc>
      </w:tr>
      <w:tr w:rsidR="006C145C">
        <w:tblPrEx>
          <w:tblCellMar>
            <w:right w:w="59" w:type="dxa"/>
          </w:tblCellMar>
        </w:tblPrEx>
        <w:trPr>
          <w:trHeight w:val="948"/>
        </w:trPr>
        <w:tc>
          <w:tcPr>
            <w:tcW w:w="2238" w:type="dxa"/>
            <w:tcBorders>
              <w:top w:val="double" w:sz="6" w:space="0" w:color="000000"/>
              <w:left w:val="single" w:sz="6" w:space="0" w:color="000000"/>
              <w:bottom w:val="double" w:sz="6" w:space="0" w:color="000000"/>
              <w:right w:val="double" w:sz="6" w:space="0" w:color="000000"/>
            </w:tcBorders>
            <w:vAlign w:val="center"/>
          </w:tcPr>
          <w:p w:rsidR="006C145C" w:rsidRDefault="00C62E5A">
            <w:pPr>
              <w:spacing w:after="0"/>
              <w:ind w:right="38"/>
              <w:jc w:val="center"/>
            </w:pPr>
            <w:r>
              <w:rPr>
                <w:rFonts w:ascii="Arial" w:eastAsia="Arial" w:hAnsi="Arial" w:cs="Arial"/>
                <w:sz w:val="20"/>
              </w:rPr>
              <w:t xml:space="preserve">7 </w:t>
            </w:r>
          </w:p>
        </w:tc>
        <w:tc>
          <w:tcPr>
            <w:tcW w:w="4986" w:type="dxa"/>
            <w:tcBorders>
              <w:top w:val="double" w:sz="6" w:space="0" w:color="000000"/>
              <w:left w:val="double" w:sz="6" w:space="0" w:color="000000"/>
              <w:bottom w:val="double" w:sz="6" w:space="0" w:color="000000"/>
              <w:right w:val="double" w:sz="6" w:space="0" w:color="000000"/>
            </w:tcBorders>
            <w:vAlign w:val="center"/>
          </w:tcPr>
          <w:p w:rsidR="006C145C" w:rsidRDefault="00C62E5A">
            <w:pPr>
              <w:spacing w:after="0"/>
              <w:jc w:val="center"/>
            </w:pPr>
            <w:r>
              <w:rPr>
                <w:rFonts w:ascii="Arial" w:eastAsia="Arial" w:hAnsi="Arial" w:cs="Arial"/>
                <w:sz w:val="20"/>
              </w:rPr>
              <w:t xml:space="preserve">Cumprir determinação formal ou instrução complementar do órgão fiscalizador, por ocorrência; </w:t>
            </w:r>
          </w:p>
        </w:tc>
        <w:tc>
          <w:tcPr>
            <w:tcW w:w="1958" w:type="dxa"/>
            <w:tcBorders>
              <w:top w:val="double" w:sz="6" w:space="0" w:color="000000"/>
              <w:left w:val="double" w:sz="6" w:space="0" w:color="000000"/>
              <w:bottom w:val="double" w:sz="6" w:space="0" w:color="000000"/>
              <w:right w:val="single" w:sz="6" w:space="0" w:color="000000"/>
            </w:tcBorders>
            <w:vAlign w:val="center"/>
          </w:tcPr>
          <w:p w:rsidR="006C145C" w:rsidRDefault="00C62E5A">
            <w:pPr>
              <w:spacing w:after="0"/>
              <w:ind w:right="42"/>
              <w:jc w:val="center"/>
            </w:pPr>
            <w:r>
              <w:rPr>
                <w:rFonts w:ascii="Arial" w:eastAsia="Arial" w:hAnsi="Arial" w:cs="Arial"/>
                <w:sz w:val="20"/>
              </w:rPr>
              <w:t xml:space="preserve">02 </w:t>
            </w:r>
          </w:p>
        </w:tc>
      </w:tr>
      <w:tr w:rsidR="006C145C">
        <w:tblPrEx>
          <w:tblCellMar>
            <w:right w:w="59" w:type="dxa"/>
          </w:tblCellMar>
        </w:tblPrEx>
        <w:trPr>
          <w:trHeight w:val="1215"/>
        </w:trPr>
        <w:tc>
          <w:tcPr>
            <w:tcW w:w="2238" w:type="dxa"/>
            <w:tcBorders>
              <w:top w:val="double" w:sz="6" w:space="0" w:color="000000"/>
              <w:left w:val="single" w:sz="6" w:space="0" w:color="000000"/>
              <w:bottom w:val="double" w:sz="6" w:space="0" w:color="000000"/>
              <w:right w:val="double" w:sz="6" w:space="0" w:color="000000"/>
            </w:tcBorders>
            <w:vAlign w:val="center"/>
          </w:tcPr>
          <w:p w:rsidR="006C145C" w:rsidRDefault="00C62E5A">
            <w:pPr>
              <w:spacing w:after="0"/>
              <w:ind w:right="38"/>
              <w:jc w:val="center"/>
            </w:pPr>
            <w:r>
              <w:rPr>
                <w:rFonts w:ascii="Arial" w:eastAsia="Arial" w:hAnsi="Arial" w:cs="Arial"/>
                <w:sz w:val="20"/>
              </w:rPr>
              <w:t xml:space="preserve">8 </w:t>
            </w:r>
          </w:p>
        </w:tc>
        <w:tc>
          <w:tcPr>
            <w:tcW w:w="4986" w:type="dxa"/>
            <w:tcBorders>
              <w:top w:val="double" w:sz="6" w:space="0" w:color="000000"/>
              <w:left w:val="double" w:sz="6" w:space="0" w:color="000000"/>
              <w:bottom w:val="double" w:sz="6" w:space="0" w:color="000000"/>
              <w:right w:val="double" w:sz="6" w:space="0" w:color="000000"/>
            </w:tcBorders>
            <w:vAlign w:val="center"/>
          </w:tcPr>
          <w:p w:rsidR="006C145C" w:rsidRDefault="00C62E5A">
            <w:pPr>
              <w:spacing w:after="0" w:line="277" w:lineRule="auto"/>
              <w:jc w:val="center"/>
            </w:pPr>
            <w:r>
              <w:rPr>
                <w:rFonts w:ascii="Arial" w:eastAsia="Arial" w:hAnsi="Arial" w:cs="Arial"/>
                <w:sz w:val="20"/>
              </w:rPr>
              <w:t xml:space="preserve">Substituir empregado que se conduza de modo inconveniente ou não atenda às necessidades do </w:t>
            </w:r>
          </w:p>
          <w:p w:rsidR="006C145C" w:rsidRDefault="00C62E5A">
            <w:pPr>
              <w:spacing w:after="0"/>
              <w:ind w:right="45"/>
              <w:jc w:val="center"/>
            </w:pPr>
            <w:r>
              <w:rPr>
                <w:rFonts w:ascii="Arial" w:eastAsia="Arial" w:hAnsi="Arial" w:cs="Arial"/>
                <w:sz w:val="20"/>
              </w:rPr>
              <w:t xml:space="preserve">serviço, por funcionário e por dia; </w:t>
            </w:r>
          </w:p>
        </w:tc>
        <w:tc>
          <w:tcPr>
            <w:tcW w:w="1958" w:type="dxa"/>
            <w:tcBorders>
              <w:top w:val="double" w:sz="6" w:space="0" w:color="000000"/>
              <w:left w:val="double" w:sz="6" w:space="0" w:color="000000"/>
              <w:bottom w:val="double" w:sz="6" w:space="0" w:color="000000"/>
              <w:right w:val="single" w:sz="6" w:space="0" w:color="000000"/>
            </w:tcBorders>
            <w:vAlign w:val="center"/>
          </w:tcPr>
          <w:p w:rsidR="006C145C" w:rsidRDefault="00C62E5A">
            <w:pPr>
              <w:spacing w:after="0"/>
              <w:ind w:right="42"/>
              <w:jc w:val="center"/>
            </w:pPr>
            <w:r>
              <w:rPr>
                <w:rFonts w:ascii="Arial" w:eastAsia="Arial" w:hAnsi="Arial" w:cs="Arial"/>
                <w:sz w:val="20"/>
              </w:rPr>
              <w:t xml:space="preserve">01 </w:t>
            </w:r>
          </w:p>
        </w:tc>
      </w:tr>
      <w:tr w:rsidR="006C145C">
        <w:tblPrEx>
          <w:tblCellMar>
            <w:right w:w="59" w:type="dxa"/>
          </w:tblCellMar>
        </w:tblPrEx>
        <w:trPr>
          <w:trHeight w:val="1478"/>
        </w:trPr>
        <w:tc>
          <w:tcPr>
            <w:tcW w:w="2238" w:type="dxa"/>
            <w:tcBorders>
              <w:top w:val="double" w:sz="6" w:space="0" w:color="000000"/>
              <w:left w:val="single" w:sz="6" w:space="0" w:color="000000"/>
              <w:bottom w:val="double" w:sz="6" w:space="0" w:color="000000"/>
              <w:right w:val="double" w:sz="6" w:space="0" w:color="000000"/>
            </w:tcBorders>
            <w:vAlign w:val="center"/>
          </w:tcPr>
          <w:p w:rsidR="006C145C" w:rsidRDefault="00C62E5A">
            <w:pPr>
              <w:spacing w:after="0"/>
              <w:ind w:right="38"/>
              <w:jc w:val="center"/>
            </w:pPr>
            <w:r>
              <w:rPr>
                <w:rFonts w:ascii="Arial" w:eastAsia="Arial" w:hAnsi="Arial" w:cs="Arial"/>
                <w:sz w:val="20"/>
              </w:rPr>
              <w:t xml:space="preserve">9 </w:t>
            </w:r>
          </w:p>
        </w:tc>
        <w:tc>
          <w:tcPr>
            <w:tcW w:w="4986" w:type="dxa"/>
            <w:tcBorders>
              <w:top w:val="double" w:sz="6" w:space="0" w:color="000000"/>
              <w:left w:val="double" w:sz="6" w:space="0" w:color="000000"/>
              <w:bottom w:val="double" w:sz="6" w:space="0" w:color="000000"/>
              <w:right w:val="double" w:sz="6" w:space="0" w:color="000000"/>
            </w:tcBorders>
            <w:vAlign w:val="center"/>
          </w:tcPr>
          <w:p w:rsidR="006C145C" w:rsidRDefault="00C62E5A">
            <w:pPr>
              <w:spacing w:after="0" w:line="279" w:lineRule="auto"/>
              <w:jc w:val="center"/>
            </w:pPr>
            <w:r>
              <w:rPr>
                <w:rFonts w:ascii="Arial" w:eastAsia="Arial" w:hAnsi="Arial" w:cs="Arial"/>
                <w:sz w:val="20"/>
              </w:rPr>
              <w:t xml:space="preserve">Cumprir quaisquer dos itens do Edital e seus Anexos não previstos nesta tabela de multas, após </w:t>
            </w:r>
          </w:p>
          <w:p w:rsidR="006C145C" w:rsidRDefault="00C62E5A">
            <w:pPr>
              <w:spacing w:after="0"/>
              <w:jc w:val="center"/>
            </w:pPr>
            <w:r>
              <w:rPr>
                <w:rFonts w:ascii="Arial" w:eastAsia="Arial" w:hAnsi="Arial" w:cs="Arial"/>
                <w:sz w:val="20"/>
              </w:rPr>
              <w:t xml:space="preserve">reincidência formalmente notificada pelo órgão fiscalizador, por item e por ocorrência; </w:t>
            </w:r>
          </w:p>
        </w:tc>
        <w:tc>
          <w:tcPr>
            <w:tcW w:w="1958" w:type="dxa"/>
            <w:tcBorders>
              <w:top w:val="double" w:sz="6" w:space="0" w:color="000000"/>
              <w:left w:val="double" w:sz="6" w:space="0" w:color="000000"/>
              <w:bottom w:val="double" w:sz="6" w:space="0" w:color="000000"/>
              <w:right w:val="single" w:sz="6" w:space="0" w:color="000000"/>
            </w:tcBorders>
            <w:vAlign w:val="center"/>
          </w:tcPr>
          <w:p w:rsidR="006C145C" w:rsidRDefault="00C62E5A">
            <w:pPr>
              <w:spacing w:after="0"/>
              <w:ind w:right="42"/>
              <w:jc w:val="center"/>
            </w:pPr>
            <w:r>
              <w:rPr>
                <w:rFonts w:ascii="Arial" w:eastAsia="Arial" w:hAnsi="Arial" w:cs="Arial"/>
                <w:sz w:val="20"/>
              </w:rPr>
              <w:t xml:space="preserve">03 </w:t>
            </w:r>
          </w:p>
        </w:tc>
      </w:tr>
      <w:tr w:rsidR="006C145C">
        <w:tblPrEx>
          <w:tblCellMar>
            <w:right w:w="59" w:type="dxa"/>
          </w:tblCellMar>
        </w:tblPrEx>
        <w:trPr>
          <w:trHeight w:val="948"/>
        </w:trPr>
        <w:tc>
          <w:tcPr>
            <w:tcW w:w="2238" w:type="dxa"/>
            <w:tcBorders>
              <w:top w:val="double" w:sz="6" w:space="0" w:color="000000"/>
              <w:left w:val="single" w:sz="6" w:space="0" w:color="000000"/>
              <w:bottom w:val="double" w:sz="6" w:space="0" w:color="000000"/>
              <w:right w:val="double" w:sz="6" w:space="0" w:color="000000"/>
            </w:tcBorders>
            <w:vAlign w:val="center"/>
          </w:tcPr>
          <w:p w:rsidR="006C145C" w:rsidRDefault="00C62E5A">
            <w:pPr>
              <w:spacing w:after="0"/>
              <w:ind w:right="43"/>
              <w:jc w:val="center"/>
            </w:pPr>
            <w:r>
              <w:rPr>
                <w:rFonts w:ascii="Arial" w:eastAsia="Arial" w:hAnsi="Arial" w:cs="Arial"/>
                <w:sz w:val="20"/>
              </w:rPr>
              <w:t xml:space="preserve">10 </w:t>
            </w:r>
          </w:p>
        </w:tc>
        <w:tc>
          <w:tcPr>
            <w:tcW w:w="4986" w:type="dxa"/>
            <w:tcBorders>
              <w:top w:val="double" w:sz="6" w:space="0" w:color="000000"/>
              <w:left w:val="double" w:sz="6" w:space="0" w:color="000000"/>
              <w:bottom w:val="double" w:sz="6" w:space="0" w:color="000000"/>
              <w:right w:val="double" w:sz="6" w:space="0" w:color="000000"/>
            </w:tcBorders>
            <w:vAlign w:val="center"/>
          </w:tcPr>
          <w:p w:rsidR="006C145C" w:rsidRDefault="00C62E5A">
            <w:pPr>
              <w:spacing w:after="0"/>
              <w:jc w:val="center"/>
            </w:pPr>
            <w:r>
              <w:rPr>
                <w:rFonts w:ascii="Arial" w:eastAsia="Arial" w:hAnsi="Arial" w:cs="Arial"/>
                <w:sz w:val="20"/>
              </w:rPr>
              <w:t xml:space="preserve">Indicar e manter durante a execução do contrato os prepostos previstos no edital/contrato; </w:t>
            </w:r>
          </w:p>
        </w:tc>
        <w:tc>
          <w:tcPr>
            <w:tcW w:w="1958" w:type="dxa"/>
            <w:tcBorders>
              <w:top w:val="double" w:sz="6" w:space="0" w:color="000000"/>
              <w:left w:val="double" w:sz="6" w:space="0" w:color="000000"/>
              <w:bottom w:val="double" w:sz="6" w:space="0" w:color="000000"/>
              <w:right w:val="single" w:sz="6" w:space="0" w:color="000000"/>
            </w:tcBorders>
            <w:vAlign w:val="center"/>
          </w:tcPr>
          <w:p w:rsidR="006C145C" w:rsidRDefault="00C62E5A">
            <w:pPr>
              <w:spacing w:after="0"/>
              <w:ind w:right="42"/>
              <w:jc w:val="center"/>
            </w:pPr>
            <w:r>
              <w:rPr>
                <w:rFonts w:ascii="Arial" w:eastAsia="Arial" w:hAnsi="Arial" w:cs="Arial"/>
                <w:sz w:val="20"/>
              </w:rPr>
              <w:t xml:space="preserve">01 </w:t>
            </w:r>
          </w:p>
        </w:tc>
      </w:tr>
      <w:tr w:rsidR="006C145C">
        <w:tblPrEx>
          <w:tblCellMar>
            <w:right w:w="59" w:type="dxa"/>
          </w:tblCellMar>
        </w:tblPrEx>
        <w:trPr>
          <w:trHeight w:val="1214"/>
        </w:trPr>
        <w:tc>
          <w:tcPr>
            <w:tcW w:w="2238" w:type="dxa"/>
            <w:tcBorders>
              <w:top w:val="double" w:sz="6" w:space="0" w:color="000000"/>
              <w:left w:val="single" w:sz="6" w:space="0" w:color="000000"/>
              <w:bottom w:val="double" w:sz="6" w:space="0" w:color="000000"/>
              <w:right w:val="double" w:sz="6" w:space="0" w:color="000000"/>
            </w:tcBorders>
            <w:vAlign w:val="center"/>
          </w:tcPr>
          <w:p w:rsidR="006C145C" w:rsidRDefault="00C62E5A">
            <w:pPr>
              <w:spacing w:after="0"/>
              <w:ind w:right="43"/>
              <w:jc w:val="center"/>
            </w:pPr>
            <w:r>
              <w:rPr>
                <w:rFonts w:ascii="Arial" w:eastAsia="Arial" w:hAnsi="Arial" w:cs="Arial"/>
                <w:sz w:val="20"/>
              </w:rPr>
              <w:t xml:space="preserve">11 </w:t>
            </w:r>
          </w:p>
        </w:tc>
        <w:tc>
          <w:tcPr>
            <w:tcW w:w="4986" w:type="dxa"/>
            <w:tcBorders>
              <w:top w:val="double" w:sz="6" w:space="0" w:color="000000"/>
              <w:left w:val="double" w:sz="6" w:space="0" w:color="000000"/>
              <w:bottom w:val="double" w:sz="6" w:space="0" w:color="000000"/>
              <w:right w:val="double" w:sz="6" w:space="0" w:color="000000"/>
            </w:tcBorders>
            <w:vAlign w:val="center"/>
          </w:tcPr>
          <w:p w:rsidR="006C145C" w:rsidRDefault="00C62E5A">
            <w:pPr>
              <w:spacing w:after="0" w:line="277" w:lineRule="auto"/>
              <w:jc w:val="center"/>
            </w:pPr>
            <w:r>
              <w:rPr>
                <w:rFonts w:ascii="Arial" w:eastAsia="Arial" w:hAnsi="Arial" w:cs="Arial"/>
                <w:sz w:val="20"/>
              </w:rPr>
              <w:t xml:space="preserve">Providenciar treinamento para seus funcionários conforme previsto na relação de obrigações da </w:t>
            </w:r>
          </w:p>
          <w:p w:rsidR="006C145C" w:rsidRDefault="00C62E5A">
            <w:pPr>
              <w:spacing w:after="0"/>
              <w:ind w:right="37"/>
              <w:jc w:val="center"/>
            </w:pPr>
            <w:r>
              <w:rPr>
                <w:rFonts w:ascii="Arial" w:eastAsia="Arial" w:hAnsi="Arial" w:cs="Arial"/>
                <w:sz w:val="20"/>
              </w:rPr>
              <w:t xml:space="preserve">CONTRATADA </w:t>
            </w:r>
          </w:p>
        </w:tc>
        <w:tc>
          <w:tcPr>
            <w:tcW w:w="1958" w:type="dxa"/>
            <w:tcBorders>
              <w:top w:val="double" w:sz="6" w:space="0" w:color="000000"/>
              <w:left w:val="double" w:sz="6" w:space="0" w:color="000000"/>
              <w:bottom w:val="double" w:sz="6" w:space="0" w:color="000000"/>
              <w:right w:val="single" w:sz="6" w:space="0" w:color="000000"/>
            </w:tcBorders>
            <w:vAlign w:val="center"/>
          </w:tcPr>
          <w:p w:rsidR="006C145C" w:rsidRDefault="00C62E5A">
            <w:pPr>
              <w:spacing w:after="0"/>
              <w:ind w:right="42"/>
              <w:jc w:val="center"/>
            </w:pPr>
            <w:r>
              <w:rPr>
                <w:rFonts w:ascii="Arial" w:eastAsia="Arial" w:hAnsi="Arial" w:cs="Arial"/>
                <w:sz w:val="20"/>
              </w:rPr>
              <w:t xml:space="preserve">01 </w:t>
            </w:r>
          </w:p>
        </w:tc>
      </w:tr>
    </w:tbl>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5" w:line="249" w:lineRule="auto"/>
        <w:ind w:left="-5" w:right="57" w:hanging="10"/>
        <w:jc w:val="both"/>
      </w:pPr>
      <w:r>
        <w:rPr>
          <w:rFonts w:ascii="Arial" w:eastAsia="Arial" w:hAnsi="Arial" w:cs="Arial"/>
          <w:b/>
          <w:i/>
          <w:sz w:val="20"/>
        </w:rPr>
        <w:t>Nota explicativa:</w:t>
      </w:r>
      <w:r>
        <w:rPr>
          <w:rFonts w:ascii="Arial" w:eastAsia="Arial" w:hAnsi="Arial" w:cs="Arial"/>
          <w:i/>
          <w:sz w:val="20"/>
        </w:rPr>
        <w:t xml:space="preserve"> </w:t>
      </w:r>
      <w:r>
        <w:rPr>
          <w:rFonts w:ascii="Arial" w:eastAsia="Arial" w:hAnsi="Arial" w:cs="Arial"/>
          <w:i/>
          <w:sz w:val="20"/>
        </w:rPr>
        <w:t xml:space="preserve">A autoridade poderá incluir na tabela de infrações outras condutas que entender necessárias, pertinentes ao serviço prestado, ou retirar as que entender serem inadequadas ao objeto contratual em questão. </w:t>
      </w:r>
    </w:p>
    <w:p w:rsidR="006C145C" w:rsidRDefault="00C62E5A">
      <w:pPr>
        <w:spacing w:after="129" w:line="270" w:lineRule="auto"/>
        <w:ind w:left="537" w:right="54" w:hanging="540"/>
        <w:jc w:val="both"/>
      </w:pPr>
      <w:r>
        <w:rPr>
          <w:rFonts w:ascii="Arial" w:eastAsia="Arial" w:hAnsi="Arial" w:cs="Arial"/>
          <w:sz w:val="20"/>
        </w:rPr>
        <w:t>22.5 Também ficam sujeitas às penalidades do art. 8</w:t>
      </w:r>
      <w:r>
        <w:rPr>
          <w:rFonts w:ascii="Arial" w:eastAsia="Arial" w:hAnsi="Arial" w:cs="Arial"/>
          <w:sz w:val="20"/>
        </w:rPr>
        <w:t xml:space="preserve">7, III e IV da Lei nº 8.666, de 1993, as empresas ou profissionais que: </w:t>
      </w:r>
    </w:p>
    <w:p w:rsidR="006C145C" w:rsidRDefault="00C62E5A">
      <w:pPr>
        <w:spacing w:after="129" w:line="270" w:lineRule="auto"/>
        <w:ind w:left="717" w:right="54" w:hanging="720"/>
        <w:jc w:val="both"/>
      </w:pPr>
      <w:r>
        <w:rPr>
          <w:rFonts w:ascii="Arial" w:eastAsia="Arial" w:hAnsi="Arial" w:cs="Arial"/>
          <w:color w:val="FF0000"/>
          <w:sz w:val="20"/>
        </w:rPr>
        <w:t xml:space="preserve">22.5.6 </w:t>
      </w:r>
      <w:r>
        <w:rPr>
          <w:rFonts w:ascii="Arial" w:eastAsia="Arial" w:hAnsi="Arial" w:cs="Arial"/>
          <w:sz w:val="20"/>
        </w:rPr>
        <w:t xml:space="preserve">tenham sofrido condenação definitiva por praticar, por meio dolosos, fraude fiscal no recolhimento de quaisquer tributos; </w:t>
      </w:r>
    </w:p>
    <w:p w:rsidR="006C145C" w:rsidRDefault="00C62E5A">
      <w:pPr>
        <w:spacing w:after="129" w:line="270" w:lineRule="auto"/>
        <w:ind w:left="5" w:right="54" w:hanging="8"/>
        <w:jc w:val="both"/>
      </w:pPr>
      <w:r>
        <w:rPr>
          <w:rFonts w:ascii="Arial" w:eastAsia="Arial" w:hAnsi="Arial" w:cs="Arial"/>
          <w:color w:val="FF0000"/>
          <w:sz w:val="20"/>
        </w:rPr>
        <w:t xml:space="preserve">22.5.7 </w:t>
      </w:r>
      <w:r>
        <w:rPr>
          <w:rFonts w:ascii="Arial" w:eastAsia="Arial" w:hAnsi="Arial" w:cs="Arial"/>
          <w:sz w:val="20"/>
        </w:rPr>
        <w:t xml:space="preserve">tenham praticado </w:t>
      </w:r>
      <w:r>
        <w:rPr>
          <w:rFonts w:ascii="Arial" w:eastAsia="Arial" w:hAnsi="Arial" w:cs="Arial"/>
          <w:sz w:val="20"/>
        </w:rPr>
        <w:t xml:space="preserve">atos ilícitos visando a frustrar os objetivos da licitação; </w:t>
      </w:r>
    </w:p>
    <w:p w:rsidR="006C145C" w:rsidRDefault="00C62E5A">
      <w:pPr>
        <w:spacing w:after="129" w:line="270" w:lineRule="auto"/>
        <w:ind w:left="717" w:right="54" w:hanging="720"/>
        <w:jc w:val="both"/>
      </w:pPr>
      <w:r>
        <w:rPr>
          <w:rFonts w:ascii="Arial" w:eastAsia="Arial" w:hAnsi="Arial" w:cs="Arial"/>
          <w:color w:val="FF0000"/>
          <w:sz w:val="20"/>
        </w:rPr>
        <w:t xml:space="preserve">22.5.8 </w:t>
      </w:r>
      <w:r>
        <w:rPr>
          <w:rFonts w:ascii="Arial" w:eastAsia="Arial" w:hAnsi="Arial" w:cs="Arial"/>
          <w:sz w:val="20"/>
        </w:rPr>
        <w:t xml:space="preserve">demonstrem não possuir idoneidade para contratar com a Administração em virtude de atos ilícitos praticados.  </w:t>
      </w:r>
    </w:p>
    <w:p w:rsidR="006C145C" w:rsidRDefault="00C62E5A">
      <w:pPr>
        <w:spacing w:after="129" w:line="270" w:lineRule="auto"/>
        <w:ind w:left="537" w:right="54" w:hanging="540"/>
        <w:jc w:val="both"/>
      </w:pPr>
      <w:r>
        <w:rPr>
          <w:rFonts w:ascii="Arial" w:eastAsia="Arial" w:hAnsi="Arial" w:cs="Arial"/>
          <w:sz w:val="20"/>
        </w:rPr>
        <w:t>22.6 A aplicação de qualquer das penalidades previstas realizar-se-á em proce</w:t>
      </w:r>
      <w:r>
        <w:rPr>
          <w:rFonts w:ascii="Arial" w:eastAsia="Arial" w:hAnsi="Arial" w:cs="Arial"/>
          <w:sz w:val="20"/>
        </w:rPr>
        <w:t xml:space="preserve">sso administrativo que assegurará o contraditório e a ampla defesa à CONTRATADA, observando-se o procedimento previsto na Lei nº 8.666, de 1993, e subsidiariamente a Lei nº 9.784, de 1999. </w:t>
      </w:r>
    </w:p>
    <w:p w:rsidR="006C145C" w:rsidRDefault="00C62E5A">
      <w:pPr>
        <w:spacing w:after="129" w:line="270" w:lineRule="auto"/>
        <w:ind w:left="537" w:right="54" w:hanging="540"/>
        <w:jc w:val="both"/>
      </w:pPr>
      <w:r>
        <w:rPr>
          <w:rFonts w:ascii="Arial" w:eastAsia="Arial" w:hAnsi="Arial" w:cs="Arial"/>
          <w:sz w:val="20"/>
        </w:rPr>
        <w:lastRenderedPageBreak/>
        <w:t>22.7 As multas devidas e/ou prejuízos causados à Contratante serão</w:t>
      </w:r>
      <w:r>
        <w:rPr>
          <w:rFonts w:ascii="Arial" w:eastAsia="Arial" w:hAnsi="Arial" w:cs="Arial"/>
          <w:sz w:val="20"/>
        </w:rPr>
        <w:t xml:space="preserve"> deduzidos dos valores a serem pagos, ou recolhidos em favor da União, ou deduzidos da garantia, ou ainda, quando for o caso, serão inscritos na Dívida Ativa da União e cobrados judicialmente. </w:t>
      </w:r>
    </w:p>
    <w:p w:rsidR="006C145C" w:rsidRDefault="00C62E5A">
      <w:pPr>
        <w:spacing w:after="129" w:line="270" w:lineRule="auto"/>
        <w:ind w:left="717" w:right="54" w:hanging="720"/>
        <w:jc w:val="both"/>
      </w:pPr>
      <w:r>
        <w:rPr>
          <w:rFonts w:ascii="Arial" w:eastAsia="Arial" w:hAnsi="Arial" w:cs="Arial"/>
          <w:color w:val="FF0000"/>
          <w:sz w:val="20"/>
        </w:rPr>
        <w:t xml:space="preserve">22.7.6 </w:t>
      </w:r>
      <w:r>
        <w:rPr>
          <w:rFonts w:ascii="Arial" w:eastAsia="Arial" w:hAnsi="Arial" w:cs="Arial"/>
          <w:sz w:val="20"/>
        </w:rPr>
        <w:t>Caso a Contratante determine, a multa deverá ser recolh</w:t>
      </w:r>
      <w:r>
        <w:rPr>
          <w:rFonts w:ascii="Arial" w:eastAsia="Arial" w:hAnsi="Arial" w:cs="Arial"/>
          <w:sz w:val="20"/>
        </w:rPr>
        <w:t xml:space="preserve">ida no prazo máximo de </w:t>
      </w:r>
      <w:r>
        <w:rPr>
          <w:rFonts w:ascii="Arial" w:eastAsia="Arial" w:hAnsi="Arial" w:cs="Arial"/>
          <w:color w:val="FF0000"/>
          <w:sz w:val="20"/>
        </w:rPr>
        <w:t>XX</w:t>
      </w:r>
      <w:r>
        <w:rPr>
          <w:rFonts w:ascii="Arial" w:eastAsia="Arial" w:hAnsi="Arial" w:cs="Arial"/>
          <w:sz w:val="20"/>
        </w:rPr>
        <w:t xml:space="preserve"> (</w:t>
      </w:r>
      <w:r>
        <w:rPr>
          <w:rFonts w:ascii="Arial" w:eastAsia="Arial" w:hAnsi="Arial" w:cs="Arial"/>
          <w:color w:val="FF0000"/>
          <w:sz w:val="20"/>
        </w:rPr>
        <w:t>XXXX</w:t>
      </w:r>
      <w:r>
        <w:rPr>
          <w:rFonts w:ascii="Arial" w:eastAsia="Arial" w:hAnsi="Arial" w:cs="Arial"/>
          <w:sz w:val="20"/>
        </w:rPr>
        <w:t xml:space="preserve">) dias, a contar da data do recebimento da comunicação enviada pela autoridade competente. </w:t>
      </w:r>
    </w:p>
    <w:p w:rsidR="006C145C" w:rsidRDefault="00C62E5A">
      <w:pPr>
        <w:spacing w:after="129" w:line="270" w:lineRule="auto"/>
        <w:ind w:left="537" w:right="54" w:hanging="540"/>
        <w:jc w:val="both"/>
      </w:pPr>
      <w:r>
        <w:rPr>
          <w:rFonts w:ascii="Arial" w:eastAsia="Arial" w:hAnsi="Arial" w:cs="Arial"/>
          <w:sz w:val="20"/>
        </w:rPr>
        <w:t>22.8 A autoridade competente, na aplicação das sanções, levará em consideração a gravidade da conduta do infrator, o caráter educativ</w:t>
      </w:r>
      <w:r>
        <w:rPr>
          <w:rFonts w:ascii="Arial" w:eastAsia="Arial" w:hAnsi="Arial" w:cs="Arial"/>
          <w:sz w:val="20"/>
        </w:rPr>
        <w:t xml:space="preserve">o da pena, bem como o dano causado à Administração, observado o princípio da proporcionalidade. </w:t>
      </w:r>
    </w:p>
    <w:p w:rsidR="006C145C" w:rsidRDefault="00C62E5A">
      <w:pPr>
        <w:spacing w:after="129" w:line="270" w:lineRule="auto"/>
        <w:ind w:left="537" w:right="54" w:hanging="540"/>
        <w:jc w:val="both"/>
      </w:pPr>
      <w:r>
        <w:rPr>
          <w:rFonts w:ascii="Arial" w:eastAsia="Arial" w:hAnsi="Arial" w:cs="Arial"/>
          <w:sz w:val="20"/>
        </w:rPr>
        <w:t>22.9 Se, durante o processo de aplicação de penalidade, se houver indícios de prática de infração administrativa tipificada pela Lei nº 12.846, de 1º de agosto</w:t>
      </w:r>
      <w:r>
        <w:rPr>
          <w:rFonts w:ascii="Arial" w:eastAsia="Arial" w:hAnsi="Arial" w:cs="Arial"/>
          <w:sz w:val="20"/>
        </w:rPr>
        <w:t xml:space="preserve"> de 2013, como ato lesivo à administração pública nacional ou estrangeira, cópias do processo administrativo necessárias à apuração da responsabilidade da empresa deverão ser remetidas à autoridade competente, com despacho fundamentado, para ciência e deci</w:t>
      </w:r>
      <w:r>
        <w:rPr>
          <w:rFonts w:ascii="Arial" w:eastAsia="Arial" w:hAnsi="Arial" w:cs="Arial"/>
          <w:sz w:val="20"/>
        </w:rPr>
        <w:t xml:space="preserve">são sobre a eventual instauração de investigação preliminar ou Processo Administrativo de Responsabilização - PAR.  </w:t>
      </w:r>
    </w:p>
    <w:p w:rsidR="006C145C" w:rsidRDefault="00C62E5A">
      <w:pPr>
        <w:spacing w:after="129" w:line="270" w:lineRule="auto"/>
        <w:ind w:left="537" w:right="54" w:hanging="540"/>
        <w:jc w:val="both"/>
      </w:pPr>
      <w:r>
        <w:rPr>
          <w:rFonts w:ascii="Arial" w:eastAsia="Arial" w:hAnsi="Arial" w:cs="Arial"/>
          <w:sz w:val="20"/>
        </w:rPr>
        <w:t>22.10 A apuração e o julgamento das demais infrações administrativas não consideradas como ato lesivo à Administração Pública nacional ou e</w:t>
      </w:r>
      <w:r>
        <w:rPr>
          <w:rFonts w:ascii="Arial" w:eastAsia="Arial" w:hAnsi="Arial" w:cs="Arial"/>
          <w:sz w:val="20"/>
        </w:rPr>
        <w:t xml:space="preserve">strangeira nos termos da Lei nº 12.846, de 1º de agosto de 2013, seguirão seu rito normal na unidade administrativa. </w:t>
      </w:r>
    </w:p>
    <w:p w:rsidR="006C145C" w:rsidRDefault="00C62E5A">
      <w:pPr>
        <w:spacing w:after="129" w:line="270" w:lineRule="auto"/>
        <w:ind w:left="537" w:right="54" w:hanging="540"/>
        <w:jc w:val="both"/>
      </w:pPr>
      <w:r>
        <w:rPr>
          <w:rFonts w:ascii="Arial" w:eastAsia="Arial" w:hAnsi="Arial" w:cs="Arial"/>
          <w:sz w:val="20"/>
        </w:rPr>
        <w:t xml:space="preserve">22.11 O processamento do PAR não interfere no seguimento regular dos processos administrativos específicos para apuração da ocorrência de </w:t>
      </w:r>
      <w:r>
        <w:rPr>
          <w:rFonts w:ascii="Arial" w:eastAsia="Arial" w:hAnsi="Arial" w:cs="Arial"/>
          <w:sz w:val="20"/>
        </w:rPr>
        <w:t xml:space="preserve">danos e prejuízos à Administração Pública Federal resultantes de ato lesivo cometido por pessoa jurídica, com ou sem a participação de agente público.  </w:t>
      </w:r>
    </w:p>
    <w:p w:rsidR="006C145C" w:rsidRDefault="00C62E5A">
      <w:pPr>
        <w:spacing w:after="129" w:line="270" w:lineRule="auto"/>
        <w:ind w:left="5" w:right="54" w:hanging="8"/>
        <w:jc w:val="both"/>
      </w:pPr>
      <w:r>
        <w:rPr>
          <w:rFonts w:ascii="Arial" w:eastAsia="Arial" w:hAnsi="Arial" w:cs="Arial"/>
          <w:sz w:val="20"/>
        </w:rPr>
        <w:t xml:space="preserve">22.12 As penalidades serão obrigatoriamente registradas no SICAF. </w:t>
      </w:r>
    </w:p>
    <w:p w:rsidR="006C145C" w:rsidRDefault="00C62E5A">
      <w:pPr>
        <w:spacing w:after="152" w:line="270" w:lineRule="auto"/>
        <w:ind w:left="537" w:right="54" w:hanging="540"/>
        <w:jc w:val="both"/>
      </w:pPr>
      <w:r>
        <w:rPr>
          <w:rFonts w:ascii="Arial" w:eastAsia="Arial" w:hAnsi="Arial" w:cs="Arial"/>
          <w:sz w:val="20"/>
        </w:rPr>
        <w:t>22.13 Sem prejuízo da responsabilida</w:t>
      </w:r>
      <w:r>
        <w:rPr>
          <w:rFonts w:ascii="Arial" w:eastAsia="Arial" w:hAnsi="Arial" w:cs="Arial"/>
          <w:sz w:val="20"/>
        </w:rPr>
        <w:t>de civil ou criminal a que pode ficar sujeito, o rol das penalidades administrativas a que o licitante, adjudicatário ou contratado pode ser submetido, assim como o rito do procedimento administrativo para sua aplicação, estão dispostos na Lei nº 8.666, de</w:t>
      </w:r>
      <w:r>
        <w:rPr>
          <w:rFonts w:ascii="Arial" w:eastAsia="Arial" w:hAnsi="Arial" w:cs="Arial"/>
          <w:sz w:val="20"/>
        </w:rPr>
        <w:t xml:space="preserve"> 1993, subsidiariamente na Lei nº 9.784, de 1999 e nº 10.520, de 2002, Instrução Normativa vigente no DNIT sobre Processo Administrativo de Apuração de Responsabilidade – PAAR.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483" w:line="249" w:lineRule="auto"/>
        <w:ind w:left="-5" w:right="57" w:hanging="10"/>
        <w:jc w:val="both"/>
      </w:pPr>
      <w:r>
        <w:rPr>
          <w:rFonts w:ascii="Arial" w:eastAsia="Arial" w:hAnsi="Arial" w:cs="Arial"/>
          <w:b/>
          <w:i/>
          <w:sz w:val="20"/>
        </w:rPr>
        <w:t>Nota explicativa</w:t>
      </w:r>
      <w:r>
        <w:rPr>
          <w:rFonts w:ascii="Arial" w:eastAsia="Arial" w:hAnsi="Arial" w:cs="Arial"/>
          <w:i/>
          <w:sz w:val="20"/>
        </w:rPr>
        <w:t xml:space="preserve">: No que se refere à multa, observar o disposto no Anexo V, item 2.6, alínea j.3  da  IN SEGES/MP n. 5/2017.  </w:t>
      </w:r>
    </w:p>
    <w:p w:rsidR="006C145C" w:rsidRDefault="00C62E5A">
      <w:pPr>
        <w:numPr>
          <w:ilvl w:val="0"/>
          <w:numId w:val="40"/>
        </w:numPr>
        <w:spacing w:after="180" w:line="249" w:lineRule="auto"/>
        <w:ind w:right="37" w:hanging="540"/>
        <w:jc w:val="both"/>
      </w:pPr>
      <w:r>
        <w:rPr>
          <w:rFonts w:ascii="Arial" w:eastAsia="Arial" w:hAnsi="Arial" w:cs="Arial"/>
          <w:b/>
          <w:sz w:val="20"/>
        </w:rPr>
        <w:t xml:space="preserve">CRITÉRIOS DE SELEÇÃO DO FORNECEDOR.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370" w:right="57" w:hanging="10"/>
        <w:jc w:val="both"/>
      </w:pPr>
      <w:r>
        <w:rPr>
          <w:rFonts w:ascii="Arial" w:eastAsia="Arial" w:hAnsi="Arial" w:cs="Arial"/>
          <w:b/>
          <w:i/>
          <w:sz w:val="20"/>
        </w:rPr>
        <w:t>Nota explicativa</w:t>
      </w:r>
      <w:r>
        <w:rPr>
          <w:rFonts w:ascii="Arial" w:eastAsia="Arial" w:hAnsi="Arial" w:cs="Arial"/>
          <w:i/>
          <w:sz w:val="20"/>
        </w:rPr>
        <w:t>: O art. 30, IX, da IN SEGES/MP n. 5/2017 determina que o Termo de Referência contenha os cr</w:t>
      </w:r>
      <w:r>
        <w:rPr>
          <w:rFonts w:ascii="Arial" w:eastAsia="Arial" w:hAnsi="Arial" w:cs="Arial"/>
          <w:i/>
          <w:sz w:val="20"/>
        </w:rPr>
        <w:t xml:space="preserve">itérios de seleção do fornecedor, e seu anexo V, disposição 2.8, explicita quais são esses critérios. Todos esses devem estar previstos no edital, pois esse instrumento disciplina justamente a escolha da melhor proposta.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370" w:right="57" w:hanging="10"/>
        <w:jc w:val="both"/>
      </w:pPr>
      <w:r>
        <w:rPr>
          <w:rFonts w:ascii="Arial" w:eastAsia="Arial" w:hAnsi="Arial" w:cs="Arial"/>
          <w:i/>
          <w:sz w:val="20"/>
        </w:rPr>
        <w:t>Em vista disso, optamos por remete</w:t>
      </w:r>
      <w:r>
        <w:rPr>
          <w:rFonts w:ascii="Arial" w:eastAsia="Arial" w:hAnsi="Arial" w:cs="Arial"/>
          <w:i/>
          <w:sz w:val="20"/>
        </w:rPr>
        <w:t xml:space="preserve">r ao edital, na maioria das disposições deste tópico, com exceção das que digam respeito à matéria de ordem técnica, atentos ao fato de que a elaboração do TR é realizada pelo setor requisitante, conforme art. 29, §2º, da IN SEGES/MP n. 5/2017. </w:t>
      </w:r>
    </w:p>
    <w:p w:rsidR="006C145C" w:rsidRDefault="00C62E5A">
      <w:pPr>
        <w:spacing w:after="139"/>
        <w:ind w:left="360"/>
      </w:pPr>
      <w:r>
        <w:rPr>
          <w:rFonts w:ascii="Arial" w:eastAsia="Arial" w:hAnsi="Arial" w:cs="Arial"/>
          <w:b/>
          <w:sz w:val="20"/>
        </w:rPr>
        <w:t xml:space="preserve"> </w:t>
      </w:r>
    </w:p>
    <w:p w:rsidR="006C145C" w:rsidRDefault="00C62E5A">
      <w:pPr>
        <w:numPr>
          <w:ilvl w:val="1"/>
          <w:numId w:val="40"/>
        </w:numPr>
        <w:spacing w:after="129" w:line="270" w:lineRule="auto"/>
        <w:ind w:right="54" w:hanging="540"/>
        <w:jc w:val="both"/>
      </w:pPr>
      <w:r>
        <w:rPr>
          <w:rFonts w:ascii="Arial" w:eastAsia="Arial" w:hAnsi="Arial" w:cs="Arial"/>
          <w:sz w:val="20"/>
        </w:rPr>
        <w:t>As exigê</w:t>
      </w:r>
      <w:r>
        <w:rPr>
          <w:rFonts w:ascii="Arial" w:eastAsia="Arial" w:hAnsi="Arial" w:cs="Arial"/>
          <w:sz w:val="20"/>
        </w:rPr>
        <w:t xml:space="preserve">ncias de habilitação jurídica e de regularidade fiscal e trabalhista são as usuais para a generalidade dos objetos, conforme disciplinado no edital. </w:t>
      </w:r>
    </w:p>
    <w:p w:rsidR="006C145C" w:rsidRDefault="00C62E5A">
      <w:pPr>
        <w:numPr>
          <w:ilvl w:val="1"/>
          <w:numId w:val="40"/>
        </w:numPr>
        <w:spacing w:after="129" w:line="270" w:lineRule="auto"/>
        <w:ind w:right="54" w:hanging="540"/>
        <w:jc w:val="both"/>
      </w:pPr>
      <w:r>
        <w:rPr>
          <w:rFonts w:ascii="Arial" w:eastAsia="Arial" w:hAnsi="Arial" w:cs="Arial"/>
          <w:sz w:val="20"/>
        </w:rPr>
        <w:t xml:space="preserve">Os critérios de qualificação econômica a serem atendidos pelo fornecedor estão previstos no edital. </w:t>
      </w:r>
    </w:p>
    <w:p w:rsidR="006C145C" w:rsidRDefault="00C62E5A">
      <w:pPr>
        <w:numPr>
          <w:ilvl w:val="1"/>
          <w:numId w:val="40"/>
        </w:numPr>
        <w:spacing w:after="0" w:line="402" w:lineRule="auto"/>
        <w:ind w:right="54" w:hanging="540"/>
        <w:jc w:val="both"/>
      </w:pPr>
      <w:r>
        <w:rPr>
          <w:rFonts w:ascii="Arial" w:eastAsia="Arial" w:hAnsi="Arial" w:cs="Arial"/>
          <w:sz w:val="20"/>
        </w:rPr>
        <w:t xml:space="preserve">Os critérios de qualificação técnica a serem atendidos pelo fornecedor serão: 23.3.1 (...) </w:t>
      </w:r>
    </w:p>
    <w:p w:rsidR="006C145C" w:rsidRDefault="00C62E5A">
      <w:pPr>
        <w:spacing w:after="139"/>
      </w:pPr>
      <w:r>
        <w:rPr>
          <w:rFonts w:ascii="Arial" w:eastAsia="Arial" w:hAnsi="Arial" w:cs="Arial"/>
          <w:b/>
          <w:sz w:val="20"/>
        </w:rPr>
        <w:t xml:space="preserve"> </w:t>
      </w:r>
    </w:p>
    <w:p w:rsidR="006C145C" w:rsidRDefault="00C62E5A">
      <w:pPr>
        <w:numPr>
          <w:ilvl w:val="1"/>
          <w:numId w:val="40"/>
        </w:numPr>
        <w:spacing w:after="131" w:line="269" w:lineRule="auto"/>
        <w:ind w:right="54" w:hanging="540"/>
        <w:jc w:val="both"/>
      </w:pPr>
      <w:r>
        <w:rPr>
          <w:rFonts w:ascii="Arial" w:eastAsia="Arial" w:hAnsi="Arial" w:cs="Arial"/>
          <w:color w:val="FF0000"/>
          <w:sz w:val="20"/>
        </w:rPr>
        <w:lastRenderedPageBreak/>
        <w:t>O critério de aceitabilidade de preços é sigiloso, nos termos do art. 15 do Decreto nº 10.024, de 2019, do art. 7º, §3º da Lei nº 12.527, de 2011, e do art. 20 do</w:t>
      </w:r>
      <w:r>
        <w:rPr>
          <w:rFonts w:ascii="Arial" w:eastAsia="Arial" w:hAnsi="Arial" w:cs="Arial"/>
          <w:color w:val="FF0000"/>
          <w:sz w:val="20"/>
        </w:rPr>
        <w:t xml:space="preserve"> Decreto nº 7.724, de 2012. </w:t>
      </w:r>
    </w:p>
    <w:p w:rsidR="006C145C" w:rsidRDefault="00C62E5A">
      <w:pPr>
        <w:pStyle w:val="Ttulo3"/>
        <w:spacing w:after="135"/>
        <w:ind w:left="279"/>
        <w:jc w:val="left"/>
      </w:pPr>
      <w:r>
        <w:rPr>
          <w:color w:val="FF0000"/>
          <w:u w:val="single" w:color="FF0000"/>
        </w:rPr>
        <w:t>OU</w:t>
      </w:r>
      <w:r>
        <w:rPr>
          <w:color w:val="FF0000"/>
        </w:rPr>
        <w:t xml:space="preserve"> </w:t>
      </w:r>
    </w:p>
    <w:p w:rsidR="006C145C" w:rsidRDefault="00C62E5A">
      <w:pPr>
        <w:spacing w:after="137"/>
        <w:ind w:left="284"/>
      </w:pPr>
      <w:r>
        <w:rPr>
          <w:rFonts w:ascii="Arial" w:eastAsia="Arial" w:hAnsi="Arial" w:cs="Arial"/>
          <w:color w:val="FF0000"/>
          <w:sz w:val="20"/>
        </w:rPr>
        <w:t xml:space="preserve"> </w:t>
      </w:r>
    </w:p>
    <w:p w:rsidR="006C145C" w:rsidRDefault="00C62E5A">
      <w:pPr>
        <w:spacing w:after="156" w:line="268" w:lineRule="auto"/>
        <w:ind w:left="240" w:right="60" w:hanging="10"/>
        <w:jc w:val="right"/>
      </w:pPr>
      <w:r>
        <w:rPr>
          <w:rFonts w:ascii="Arial" w:eastAsia="Arial" w:hAnsi="Arial" w:cs="Arial"/>
          <w:color w:val="FF0000"/>
          <w:sz w:val="20"/>
        </w:rPr>
        <w:t xml:space="preserve">23.4 O critério de aceitabilidade de preços será o valor global de até R$xxx,000 (indicar por extenso)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4" w:line="249" w:lineRule="auto"/>
        <w:ind w:left="370" w:right="57" w:hanging="10"/>
        <w:jc w:val="both"/>
      </w:pPr>
      <w:r>
        <w:rPr>
          <w:rFonts w:ascii="Arial" w:eastAsia="Arial" w:hAnsi="Arial" w:cs="Arial"/>
          <w:b/>
          <w:i/>
          <w:sz w:val="20"/>
        </w:rPr>
        <w:t>Nota Explicativa:</w:t>
      </w:r>
      <w:r>
        <w:rPr>
          <w:rFonts w:ascii="Arial" w:eastAsia="Arial" w:hAnsi="Arial" w:cs="Arial"/>
          <w:i/>
          <w:sz w:val="20"/>
        </w:rPr>
        <w:t xml:space="preserve"> </w:t>
      </w:r>
      <w:r>
        <w:rPr>
          <w:rFonts w:ascii="Arial" w:eastAsia="Arial" w:hAnsi="Arial" w:cs="Arial"/>
          <w:i/>
          <w:sz w:val="20"/>
        </w:rPr>
        <w:t xml:space="preserve">Utilizar o primeiro item acima caso se adote o orçamento sigiloso e o segundo item caso ele não seja adotado. </w:t>
      </w:r>
    </w:p>
    <w:p w:rsidR="006C145C" w:rsidRDefault="00C62E5A">
      <w:pPr>
        <w:tabs>
          <w:tab w:val="center" w:pos="3656"/>
        </w:tabs>
        <w:spacing w:after="129" w:line="270" w:lineRule="auto"/>
      </w:pPr>
      <w:r>
        <w:rPr>
          <w:rFonts w:ascii="Arial" w:eastAsia="Arial" w:hAnsi="Arial" w:cs="Arial"/>
          <w:sz w:val="20"/>
        </w:rPr>
        <w:t xml:space="preserve">23.5 </w:t>
      </w:r>
      <w:r>
        <w:rPr>
          <w:rFonts w:ascii="Arial" w:eastAsia="Arial" w:hAnsi="Arial" w:cs="Arial"/>
          <w:sz w:val="20"/>
        </w:rPr>
        <w:tab/>
        <w:t xml:space="preserve">O critério de julgamento da proposta é o menor preço global. </w:t>
      </w:r>
    </w:p>
    <w:p w:rsidR="006C145C" w:rsidRDefault="00C62E5A">
      <w:pPr>
        <w:tabs>
          <w:tab w:val="center" w:pos="4168"/>
        </w:tabs>
        <w:spacing w:after="161" w:line="270" w:lineRule="auto"/>
      </w:pPr>
      <w:r>
        <w:rPr>
          <w:rFonts w:ascii="Arial" w:eastAsia="Arial" w:hAnsi="Arial" w:cs="Arial"/>
          <w:sz w:val="20"/>
        </w:rPr>
        <w:t xml:space="preserve">23.6 </w:t>
      </w:r>
      <w:r>
        <w:rPr>
          <w:rFonts w:ascii="Arial" w:eastAsia="Arial" w:hAnsi="Arial" w:cs="Arial"/>
          <w:sz w:val="20"/>
        </w:rPr>
        <w:tab/>
        <w:t xml:space="preserve">As regras de desempate entre propostas são as discriminadas no edital.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370" w:right="57" w:hanging="10"/>
        <w:jc w:val="both"/>
      </w:pPr>
      <w:r>
        <w:rPr>
          <w:rFonts w:ascii="Arial" w:eastAsia="Arial" w:hAnsi="Arial" w:cs="Arial"/>
          <w:b/>
          <w:i/>
          <w:sz w:val="20"/>
        </w:rPr>
        <w:t>Nota explicativa</w:t>
      </w:r>
      <w:r>
        <w:rPr>
          <w:rFonts w:ascii="Arial" w:eastAsia="Arial" w:hAnsi="Arial" w:cs="Arial"/>
          <w:i/>
          <w:sz w:val="20"/>
        </w:rPr>
        <w:t>:  A IN 05/2017 –</w:t>
      </w:r>
      <w:r>
        <w:rPr>
          <w:rFonts w:ascii="Arial" w:eastAsia="Arial" w:hAnsi="Arial" w:cs="Arial"/>
          <w:i/>
          <w:sz w:val="20"/>
        </w:rPr>
        <w:t>MP/SEGES, determina em seu artigo 30, IX, que o Termo de Referência contenha os critérios de seleção do fornecedor. A disposição 2.8 do Anexo V da mesma IN, por sua vez, estabelece as seguintes diretrizes para atendimento de tal comando na IN 05:  a) Defin</w:t>
      </w:r>
      <w:r>
        <w:rPr>
          <w:rFonts w:ascii="Arial" w:eastAsia="Arial" w:hAnsi="Arial" w:cs="Arial"/>
          <w:i/>
          <w:sz w:val="20"/>
        </w:rPr>
        <w:t xml:space="preserve">ir os critérios de habilitação indicados para a contratação, atentando para: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0"/>
        <w:ind w:left="370" w:right="57" w:hanging="10"/>
        <w:jc w:val="right"/>
      </w:pPr>
      <w:r>
        <w:rPr>
          <w:rFonts w:ascii="Arial" w:eastAsia="Arial" w:hAnsi="Arial" w:cs="Arial"/>
          <w:i/>
          <w:sz w:val="20"/>
        </w:rPr>
        <w:t xml:space="preserve"> a.1. analisar e identificar os critérios de qualificação econômico-financeiras a serem exigidos,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370" w:right="57" w:hanging="10"/>
        <w:jc w:val="both"/>
      </w:pPr>
      <w:r>
        <w:rPr>
          <w:rFonts w:ascii="Arial" w:eastAsia="Arial" w:hAnsi="Arial" w:cs="Arial"/>
          <w:i/>
          <w:sz w:val="20"/>
        </w:rPr>
        <w:t xml:space="preserve">considerando a prestação dos serviços e os riscos da contratação;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0"/>
        <w:ind w:left="370" w:right="57" w:hanging="10"/>
        <w:jc w:val="right"/>
      </w:pPr>
      <w:r>
        <w:rPr>
          <w:rFonts w:ascii="Arial" w:eastAsia="Arial" w:hAnsi="Arial" w:cs="Arial"/>
          <w:i/>
          <w:sz w:val="20"/>
        </w:rPr>
        <w:t>a.2. anali</w:t>
      </w:r>
      <w:r>
        <w:rPr>
          <w:rFonts w:ascii="Arial" w:eastAsia="Arial" w:hAnsi="Arial" w:cs="Arial"/>
          <w:i/>
          <w:sz w:val="20"/>
        </w:rPr>
        <w:t xml:space="preserve">sar e identificar os critérios de qualificação técnica a serem exigidos, considerando a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370" w:right="57" w:hanging="10"/>
        <w:jc w:val="both"/>
      </w:pPr>
      <w:r>
        <w:rPr>
          <w:rFonts w:ascii="Arial" w:eastAsia="Arial" w:hAnsi="Arial" w:cs="Arial"/>
          <w:i/>
          <w:sz w:val="20"/>
        </w:rPr>
        <w:t xml:space="preserve">prestação dos serviços e os riscos da contratação; </w:t>
      </w:r>
    </w:p>
    <w:p w:rsidR="006C145C" w:rsidRDefault="00C62E5A">
      <w:pPr>
        <w:numPr>
          <w:ilvl w:val="0"/>
          <w:numId w:val="41"/>
        </w:num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92" w:right="57" w:hanging="232"/>
        <w:jc w:val="both"/>
      </w:pPr>
      <w:r>
        <w:rPr>
          <w:rFonts w:ascii="Arial" w:eastAsia="Arial" w:hAnsi="Arial" w:cs="Arial"/>
          <w:i/>
          <w:sz w:val="20"/>
        </w:rPr>
        <w:t>Definir os critérios técnicos obrigatórios indicados para a contratação que deverão se basear nos requisitos técnic</w:t>
      </w:r>
      <w:r>
        <w:rPr>
          <w:rFonts w:ascii="Arial" w:eastAsia="Arial" w:hAnsi="Arial" w:cs="Arial"/>
          <w:i/>
          <w:sz w:val="20"/>
        </w:rPr>
        <w:t xml:space="preserve">os especificados na seção “Requisitos da contratação”; </w:t>
      </w:r>
    </w:p>
    <w:p w:rsidR="006C145C" w:rsidRDefault="00C62E5A">
      <w:pPr>
        <w:numPr>
          <w:ilvl w:val="0"/>
          <w:numId w:val="41"/>
        </w:num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92" w:right="57" w:hanging="232"/>
        <w:jc w:val="both"/>
      </w:pPr>
      <w:r>
        <w:rPr>
          <w:rFonts w:ascii="Arial" w:eastAsia="Arial" w:hAnsi="Arial" w:cs="Arial"/>
          <w:i/>
          <w:sz w:val="20"/>
        </w:rPr>
        <w:t>No caso de licitações técnica e preço ou melhor técnica, definir os critérios técnicos pontuáveis, indicados para a contratação, que deverão se basear nos requisitos técnicos especificados na seção “R</w:t>
      </w:r>
      <w:r>
        <w:rPr>
          <w:rFonts w:ascii="Arial" w:eastAsia="Arial" w:hAnsi="Arial" w:cs="Arial"/>
          <w:i/>
          <w:sz w:val="20"/>
        </w:rPr>
        <w:t xml:space="preserve">equisitos da contratação”; </w:t>
      </w:r>
    </w:p>
    <w:p w:rsidR="006C145C" w:rsidRDefault="00C62E5A">
      <w:pPr>
        <w:numPr>
          <w:ilvl w:val="0"/>
          <w:numId w:val="41"/>
        </w:num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92" w:right="57" w:hanging="232"/>
        <w:jc w:val="both"/>
      </w:pPr>
      <w:r>
        <w:rPr>
          <w:rFonts w:ascii="Arial" w:eastAsia="Arial" w:hAnsi="Arial" w:cs="Arial"/>
          <w:i/>
          <w:sz w:val="20"/>
        </w:rPr>
        <w:t xml:space="preserve">Definir os critérios de aceitabilidade de preços, com fixação de preços máximos aceitáveis, tanto globais quanto unitários; </w:t>
      </w:r>
    </w:p>
    <w:p w:rsidR="006C145C" w:rsidRDefault="00C62E5A">
      <w:pPr>
        <w:numPr>
          <w:ilvl w:val="0"/>
          <w:numId w:val="41"/>
        </w:num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92" w:right="57" w:hanging="232"/>
        <w:jc w:val="both"/>
      </w:pPr>
      <w:r>
        <w:rPr>
          <w:rFonts w:ascii="Arial" w:eastAsia="Arial" w:hAnsi="Arial" w:cs="Arial"/>
          <w:i/>
          <w:sz w:val="20"/>
        </w:rPr>
        <w:t xml:space="preserve">Definir os critérios de julgamento das propostas, incluindo: </w:t>
      </w:r>
    </w:p>
    <w:p w:rsidR="006C145C" w:rsidRDefault="00C62E5A">
      <w:pPr>
        <w:numPr>
          <w:ilvl w:val="1"/>
          <w:numId w:val="41"/>
        </w:numPr>
        <w:pBdr>
          <w:top w:val="single" w:sz="4" w:space="0" w:color="1F497D"/>
          <w:left w:val="single" w:sz="4" w:space="0" w:color="1F497D"/>
          <w:bottom w:val="single" w:sz="4" w:space="0" w:color="1F497D"/>
          <w:right w:val="single" w:sz="4" w:space="0" w:color="1F497D"/>
        </w:pBdr>
        <w:shd w:val="clear" w:color="auto" w:fill="FFFFCC"/>
        <w:spacing w:after="112" w:line="249" w:lineRule="auto"/>
        <w:ind w:right="57" w:hanging="389"/>
        <w:jc w:val="both"/>
      </w:pPr>
      <w:r>
        <w:rPr>
          <w:rFonts w:ascii="Arial" w:eastAsia="Arial" w:hAnsi="Arial" w:cs="Arial"/>
          <w:i/>
          <w:sz w:val="20"/>
        </w:rPr>
        <w:t xml:space="preserve">os critérios de preferência e desempate aplicáveis; </w:t>
      </w:r>
    </w:p>
    <w:p w:rsidR="006C145C" w:rsidRDefault="00C62E5A">
      <w:pPr>
        <w:numPr>
          <w:ilvl w:val="1"/>
          <w:numId w:val="41"/>
        </w:numPr>
        <w:pBdr>
          <w:top w:val="single" w:sz="4" w:space="0" w:color="1F497D"/>
          <w:left w:val="single" w:sz="4" w:space="0" w:color="1F497D"/>
          <w:bottom w:val="single" w:sz="4" w:space="0" w:color="1F497D"/>
          <w:right w:val="single" w:sz="4" w:space="0" w:color="1F497D"/>
        </w:pBdr>
        <w:shd w:val="clear" w:color="auto" w:fill="FFFFCC"/>
        <w:spacing w:after="20" w:line="249" w:lineRule="auto"/>
        <w:ind w:right="57" w:hanging="389"/>
        <w:jc w:val="both"/>
      </w:pPr>
      <w:r>
        <w:rPr>
          <w:rFonts w:ascii="Arial" w:eastAsia="Arial" w:hAnsi="Arial" w:cs="Arial"/>
          <w:i/>
          <w:sz w:val="20"/>
        </w:rPr>
        <w:t xml:space="preserve">margem de preferência, se aplicável. </w:t>
      </w:r>
    </w:p>
    <w:p w:rsidR="006C145C" w:rsidRDefault="00C62E5A">
      <w:pPr>
        <w:spacing w:after="499"/>
        <w:ind w:left="432"/>
      </w:pPr>
      <w:r>
        <w:rPr>
          <w:rFonts w:ascii="Arial" w:eastAsia="Arial" w:hAnsi="Arial" w:cs="Arial"/>
          <w:b/>
          <w:sz w:val="20"/>
        </w:rPr>
        <w:t xml:space="preserve"> </w:t>
      </w:r>
    </w:p>
    <w:p w:rsidR="006C145C" w:rsidRDefault="00C62E5A">
      <w:pPr>
        <w:numPr>
          <w:ilvl w:val="0"/>
          <w:numId w:val="42"/>
        </w:numPr>
        <w:spacing w:after="512" w:line="249" w:lineRule="auto"/>
        <w:ind w:right="37" w:hanging="540"/>
        <w:jc w:val="both"/>
      </w:pPr>
      <w:r>
        <w:rPr>
          <w:rFonts w:ascii="Arial" w:eastAsia="Arial" w:hAnsi="Arial" w:cs="Arial"/>
          <w:b/>
          <w:sz w:val="20"/>
        </w:rPr>
        <w:t xml:space="preserve">ESTIMATIVA DE PREÇOS E PREÇOS REFERENCIAIS. </w:t>
      </w:r>
    </w:p>
    <w:p w:rsidR="006C145C" w:rsidRDefault="00C62E5A">
      <w:pPr>
        <w:spacing w:after="130" w:line="270" w:lineRule="auto"/>
        <w:ind w:left="420" w:right="58" w:hanging="10"/>
        <w:jc w:val="both"/>
      </w:pPr>
      <w:r>
        <w:rPr>
          <w:rFonts w:ascii="Arial" w:eastAsia="Arial" w:hAnsi="Arial" w:cs="Arial"/>
          <w:i/>
          <w:color w:val="FF0000"/>
          <w:sz w:val="20"/>
        </w:rPr>
        <w:t xml:space="preserve">24.1 O custo estimado da contratação será tornado público apenas e imediatamente após o encerramento do </w:t>
      </w:r>
      <w:r>
        <w:rPr>
          <w:rFonts w:ascii="Arial" w:eastAsia="Arial" w:hAnsi="Arial" w:cs="Arial"/>
          <w:i/>
          <w:color w:val="FF0000"/>
          <w:sz w:val="20"/>
        </w:rPr>
        <w:t xml:space="preserve">envio de lances. </w:t>
      </w:r>
    </w:p>
    <w:p w:rsidR="006C145C" w:rsidRDefault="00C62E5A">
      <w:pPr>
        <w:pStyle w:val="Ttulo3"/>
        <w:spacing w:after="136" w:line="259" w:lineRule="auto"/>
        <w:ind w:left="-5"/>
        <w:jc w:val="left"/>
      </w:pPr>
      <w:r>
        <w:rPr>
          <w:i/>
          <w:color w:val="FF0000"/>
        </w:rPr>
        <w:t xml:space="preserve">OU </w:t>
      </w:r>
    </w:p>
    <w:p w:rsidR="006C145C" w:rsidRDefault="00C62E5A">
      <w:pPr>
        <w:spacing w:after="0" w:line="413" w:lineRule="auto"/>
        <w:ind w:right="3522" w:firstLine="360"/>
        <w:jc w:val="both"/>
      </w:pPr>
      <w:r>
        <w:rPr>
          <w:rFonts w:ascii="Arial" w:eastAsia="Arial" w:hAnsi="Arial" w:cs="Arial"/>
          <w:color w:val="FF0000"/>
          <w:sz w:val="20"/>
        </w:rPr>
        <w:t xml:space="preserve">24.1. </w:t>
      </w:r>
      <w:r>
        <w:rPr>
          <w:rFonts w:ascii="Arial" w:eastAsia="Arial" w:hAnsi="Arial" w:cs="Arial"/>
          <w:color w:val="FF0000"/>
          <w:sz w:val="20"/>
        </w:rPr>
        <w:tab/>
      </w:r>
      <w:r>
        <w:rPr>
          <w:rFonts w:ascii="Arial" w:eastAsia="Arial" w:hAnsi="Arial" w:cs="Arial"/>
          <w:i/>
          <w:color w:val="FF0000"/>
          <w:sz w:val="20"/>
        </w:rPr>
        <w:t xml:space="preserve">O custo estimado da contratação é de R$... </w:t>
      </w:r>
      <w:r>
        <w:rPr>
          <w:rFonts w:ascii="Arial" w:eastAsia="Arial" w:hAnsi="Arial" w:cs="Arial"/>
          <w:b/>
          <w:i/>
          <w:color w:val="FF0000"/>
          <w:sz w:val="20"/>
        </w:rPr>
        <w:t xml:space="preserve">OU </w:t>
      </w:r>
    </w:p>
    <w:p w:rsidR="006C145C" w:rsidRDefault="00C62E5A">
      <w:pPr>
        <w:spacing w:after="157" w:line="270" w:lineRule="auto"/>
        <w:ind w:left="842" w:right="58" w:hanging="432"/>
        <w:jc w:val="both"/>
      </w:pPr>
      <w:r>
        <w:rPr>
          <w:rFonts w:ascii="Arial" w:eastAsia="Arial" w:hAnsi="Arial" w:cs="Arial"/>
          <w:color w:val="FF0000"/>
          <w:sz w:val="20"/>
        </w:rPr>
        <w:t xml:space="preserve">24.1. </w:t>
      </w:r>
      <w:r>
        <w:rPr>
          <w:rFonts w:ascii="Arial" w:eastAsia="Arial" w:hAnsi="Arial" w:cs="Arial"/>
          <w:i/>
          <w:color w:val="FF0000"/>
          <w:sz w:val="20"/>
        </w:rPr>
        <w:t xml:space="preserve">O (valor de referência </w:t>
      </w:r>
      <w:r>
        <w:rPr>
          <w:rFonts w:ascii="Arial" w:eastAsia="Arial" w:hAnsi="Arial" w:cs="Arial"/>
          <w:b/>
          <w:i/>
          <w:color w:val="FF0000"/>
          <w:sz w:val="20"/>
        </w:rPr>
        <w:t>ou</w:t>
      </w:r>
      <w:r>
        <w:rPr>
          <w:rFonts w:ascii="Arial" w:eastAsia="Arial" w:hAnsi="Arial" w:cs="Arial"/>
          <w:i/>
          <w:color w:val="FF0000"/>
          <w:sz w:val="20"/>
        </w:rPr>
        <w:t xml:space="preserve"> valor máximo aceitável) para a contratação, para fins de aplicação do maior desconto, será ...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370" w:right="57" w:hanging="10"/>
        <w:jc w:val="both"/>
      </w:pPr>
      <w:r>
        <w:rPr>
          <w:rFonts w:ascii="Arial" w:eastAsia="Arial" w:hAnsi="Arial" w:cs="Arial"/>
          <w:b/>
          <w:i/>
          <w:sz w:val="20"/>
        </w:rPr>
        <w:t>Nota Explicativa:</w:t>
      </w:r>
      <w:r>
        <w:rPr>
          <w:rFonts w:ascii="Arial" w:eastAsia="Arial" w:hAnsi="Arial" w:cs="Arial"/>
          <w:i/>
          <w:sz w:val="20"/>
        </w:rPr>
        <w:t xml:space="preserve"> </w:t>
      </w:r>
      <w:r>
        <w:rPr>
          <w:rFonts w:ascii="Arial" w:eastAsia="Arial" w:hAnsi="Arial" w:cs="Arial"/>
          <w:i/>
          <w:sz w:val="20"/>
        </w:rPr>
        <w:t>Caso se adote o orçamento sigiloso, o custo estimado da contratação deverá constar apenas em documento juntado ao processo (Nota Técnica, Planilha Estimativa etc), indicando a respectiva metodologia adotada, nos termos da IN SLTI/MP nº 5/2014. Tais informa</w:t>
      </w:r>
      <w:r>
        <w:rPr>
          <w:rFonts w:ascii="Arial" w:eastAsia="Arial" w:hAnsi="Arial" w:cs="Arial"/>
          <w:i/>
          <w:sz w:val="20"/>
        </w:rPr>
        <w:t xml:space="preserve">ções terão disponibilização restrita apenas aos órgãos de controle externo e interno, até a finalização da fase de lances.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503" w:line="249" w:lineRule="auto"/>
        <w:ind w:left="370" w:right="57" w:hanging="10"/>
        <w:jc w:val="both"/>
      </w:pPr>
      <w:r>
        <w:rPr>
          <w:rFonts w:ascii="Arial" w:eastAsia="Arial" w:hAnsi="Arial" w:cs="Arial"/>
          <w:i/>
          <w:sz w:val="20"/>
        </w:rPr>
        <w:lastRenderedPageBreak/>
        <w:t>No caso de licitação com critério de julgamento maior desconto, deverá ser utilizada a última sugestão de redação com indicação do valor de referência ou do valor máximo aceitável para fins de aplicação do desconto, nos termos do art; 15, §3º do Decreto nº</w:t>
      </w:r>
      <w:r>
        <w:rPr>
          <w:rFonts w:ascii="Arial" w:eastAsia="Arial" w:hAnsi="Arial" w:cs="Arial"/>
          <w:i/>
          <w:sz w:val="20"/>
        </w:rPr>
        <w:t xml:space="preserve"> 10.024/19. </w:t>
      </w:r>
    </w:p>
    <w:p w:rsidR="006C145C" w:rsidRDefault="00C62E5A">
      <w:pPr>
        <w:numPr>
          <w:ilvl w:val="0"/>
          <w:numId w:val="43"/>
        </w:numPr>
        <w:spacing w:after="150" w:line="249" w:lineRule="auto"/>
        <w:ind w:right="37" w:hanging="540"/>
        <w:jc w:val="both"/>
      </w:pPr>
      <w:r>
        <w:rPr>
          <w:rFonts w:ascii="Arial" w:eastAsia="Arial" w:hAnsi="Arial" w:cs="Arial"/>
          <w:b/>
          <w:sz w:val="20"/>
        </w:rPr>
        <w:t xml:space="preserve">DOS RECURSOS ORÇAMENTÁRIOS. </w:t>
      </w:r>
    </w:p>
    <w:p w:rsidR="006C145C" w:rsidRDefault="00C62E5A">
      <w:pPr>
        <w:spacing w:after="141"/>
      </w:pPr>
      <w:r>
        <w:rPr>
          <w:rFonts w:ascii="Arial" w:eastAsia="Arial" w:hAnsi="Arial" w:cs="Arial"/>
          <w:b/>
          <w:sz w:val="20"/>
        </w:rPr>
        <w:t xml:space="preserve"> </w:t>
      </w:r>
    </w:p>
    <w:p w:rsidR="006C145C" w:rsidRDefault="00C62E5A">
      <w:pPr>
        <w:spacing w:after="154" w:line="270" w:lineRule="auto"/>
        <w:ind w:left="5" w:right="54" w:hanging="8"/>
        <w:jc w:val="both"/>
      </w:pPr>
      <w:r>
        <w:rPr>
          <w:rFonts w:ascii="Arial" w:eastAsia="Arial" w:hAnsi="Arial" w:cs="Arial"/>
          <w:sz w:val="20"/>
        </w:rPr>
        <w:t>25.1 (Indicar a dotação orçamentária da contratação, exceto se for SRP.)</w:t>
      </w:r>
      <w:r>
        <w:rPr>
          <w:rFonts w:ascii="Arial" w:eastAsia="Arial" w:hAnsi="Arial" w:cs="Arial"/>
          <w:b/>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1" w:line="250" w:lineRule="auto"/>
        <w:ind w:left="-5" w:right="52" w:hanging="10"/>
        <w:jc w:val="both"/>
      </w:pPr>
      <w:r>
        <w:rPr>
          <w:rFonts w:ascii="Arial" w:eastAsia="Arial" w:hAnsi="Arial" w:cs="Arial"/>
          <w:b/>
          <w:sz w:val="20"/>
        </w:rPr>
        <w:t>Nota explicativa</w:t>
      </w:r>
      <w:r>
        <w:rPr>
          <w:rFonts w:ascii="Arial" w:eastAsia="Arial" w:hAnsi="Arial" w:cs="Arial"/>
          <w:sz w:val="20"/>
        </w:rPr>
        <w:t xml:space="preserve">: Indicação da funcional programática, por onde ocorrerão as despesas para atender a execução do empreendimento: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8" w:line="250" w:lineRule="auto"/>
        <w:ind w:left="-5" w:right="52" w:hanging="10"/>
        <w:jc w:val="both"/>
      </w:pPr>
      <w:r>
        <w:rPr>
          <w:rFonts w:ascii="Arial" w:eastAsia="Arial" w:hAnsi="Arial" w:cs="Arial"/>
          <w:sz w:val="20"/>
        </w:rPr>
        <w:t xml:space="preserve">Gestão/Unidades;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8" w:line="250" w:lineRule="auto"/>
        <w:ind w:left="-5" w:right="52" w:hanging="10"/>
        <w:jc w:val="both"/>
      </w:pPr>
      <w:r>
        <w:rPr>
          <w:rFonts w:ascii="Arial" w:eastAsia="Arial" w:hAnsi="Arial" w:cs="Arial"/>
          <w:sz w:val="20"/>
        </w:rPr>
        <w:t xml:space="preserve">UGR;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8" w:line="250" w:lineRule="auto"/>
        <w:ind w:left="-5" w:right="52" w:hanging="10"/>
        <w:jc w:val="both"/>
      </w:pPr>
      <w:r>
        <w:rPr>
          <w:rFonts w:ascii="Arial" w:eastAsia="Arial" w:hAnsi="Arial" w:cs="Arial"/>
          <w:sz w:val="20"/>
        </w:rPr>
        <w:t xml:space="preserve">Fonte;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8" w:line="250" w:lineRule="auto"/>
        <w:ind w:left="-5" w:right="52" w:hanging="10"/>
        <w:jc w:val="both"/>
      </w:pPr>
      <w:r>
        <w:rPr>
          <w:rFonts w:ascii="Arial" w:eastAsia="Arial" w:hAnsi="Arial" w:cs="Arial"/>
          <w:sz w:val="20"/>
        </w:rPr>
        <w:t xml:space="preserve">Programa de Trabalho;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8" w:line="250" w:lineRule="auto"/>
        <w:ind w:left="-5" w:right="52" w:hanging="10"/>
        <w:jc w:val="both"/>
      </w:pPr>
      <w:r>
        <w:rPr>
          <w:rFonts w:ascii="Arial" w:eastAsia="Arial" w:hAnsi="Arial" w:cs="Arial"/>
          <w:sz w:val="20"/>
        </w:rPr>
        <w:t xml:space="preserve">Elemento de Despesa;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9" w:line="250" w:lineRule="auto"/>
        <w:ind w:left="-5" w:right="52" w:hanging="10"/>
        <w:jc w:val="both"/>
      </w:pPr>
      <w:r>
        <w:rPr>
          <w:rFonts w:ascii="Arial" w:eastAsia="Arial" w:hAnsi="Arial" w:cs="Arial"/>
          <w:sz w:val="20"/>
        </w:rPr>
        <w:t xml:space="preserve">PI. </w:t>
      </w:r>
    </w:p>
    <w:p w:rsidR="006C145C" w:rsidRDefault="00C62E5A">
      <w:pPr>
        <w:spacing w:after="0"/>
      </w:pPr>
      <w:r>
        <w:rPr>
          <w:rFonts w:ascii="Arial" w:eastAsia="Arial" w:hAnsi="Arial" w:cs="Arial"/>
          <w:sz w:val="20"/>
        </w:rPr>
        <w:t xml:space="preserve"> </w:t>
      </w:r>
    </w:p>
    <w:tbl>
      <w:tblPr>
        <w:tblStyle w:val="TableGrid"/>
        <w:tblW w:w="9011" w:type="dxa"/>
        <w:tblInd w:w="-29" w:type="dxa"/>
        <w:tblCellMar>
          <w:top w:w="5" w:type="dxa"/>
          <w:left w:w="0" w:type="dxa"/>
          <w:bottom w:w="0" w:type="dxa"/>
          <w:right w:w="115" w:type="dxa"/>
        </w:tblCellMar>
        <w:tblLook w:val="04A0" w:firstRow="1" w:lastRow="0" w:firstColumn="1" w:lastColumn="0" w:noHBand="0" w:noVBand="1"/>
      </w:tblPr>
      <w:tblGrid>
        <w:gridCol w:w="569"/>
        <w:gridCol w:w="8442"/>
      </w:tblGrid>
      <w:tr w:rsidR="006C145C">
        <w:trPr>
          <w:trHeight w:val="230"/>
        </w:trPr>
        <w:tc>
          <w:tcPr>
            <w:tcW w:w="569" w:type="dxa"/>
            <w:tcBorders>
              <w:top w:val="nil"/>
              <w:left w:val="nil"/>
              <w:bottom w:val="nil"/>
              <w:right w:val="nil"/>
            </w:tcBorders>
            <w:shd w:val="clear" w:color="auto" w:fill="E6E6E6"/>
          </w:tcPr>
          <w:p w:rsidR="006C145C" w:rsidRDefault="00C62E5A">
            <w:pPr>
              <w:spacing w:after="0"/>
              <w:ind w:left="29"/>
            </w:pPr>
            <w:r>
              <w:rPr>
                <w:rFonts w:ascii="Arial" w:eastAsia="Arial" w:hAnsi="Arial" w:cs="Arial"/>
                <w:b/>
                <w:color w:val="FF0000"/>
                <w:sz w:val="20"/>
              </w:rPr>
              <w:t xml:space="preserve">26 </w:t>
            </w:r>
          </w:p>
        </w:tc>
        <w:tc>
          <w:tcPr>
            <w:tcW w:w="8442" w:type="dxa"/>
            <w:tcBorders>
              <w:top w:val="nil"/>
              <w:left w:val="nil"/>
              <w:bottom w:val="nil"/>
              <w:right w:val="nil"/>
            </w:tcBorders>
            <w:shd w:val="clear" w:color="auto" w:fill="E6E6E6"/>
          </w:tcPr>
          <w:p w:rsidR="006C145C" w:rsidRDefault="00C62E5A">
            <w:pPr>
              <w:spacing w:after="0"/>
            </w:pPr>
            <w:r>
              <w:rPr>
                <w:rFonts w:ascii="Arial" w:eastAsia="Arial" w:hAnsi="Arial" w:cs="Arial"/>
                <w:b/>
                <w:sz w:val="20"/>
              </w:rPr>
              <w:t xml:space="preserve">ASSINATURAS </w:t>
            </w:r>
          </w:p>
        </w:tc>
      </w:tr>
    </w:tbl>
    <w:p w:rsidR="006C145C" w:rsidRDefault="00C62E5A">
      <w:pPr>
        <w:spacing w:after="103"/>
        <w:ind w:left="360"/>
      </w:pPr>
      <w:r>
        <w:rPr>
          <w:rFonts w:ascii="Arial" w:eastAsia="Arial" w:hAnsi="Arial" w:cs="Arial"/>
          <w:sz w:val="20"/>
        </w:rPr>
        <w:t xml:space="preserve"> </w:t>
      </w:r>
    </w:p>
    <w:p w:rsidR="006C145C" w:rsidRDefault="00C62E5A">
      <w:pPr>
        <w:spacing w:after="96" w:line="270" w:lineRule="auto"/>
        <w:ind w:left="368" w:right="202" w:hanging="8"/>
        <w:jc w:val="both"/>
      </w:pPr>
      <w:r>
        <w:rPr>
          <w:rFonts w:ascii="Arial" w:eastAsia="Arial" w:hAnsi="Arial" w:cs="Arial"/>
          <w:sz w:val="20"/>
        </w:rPr>
        <w:t xml:space="preserve">Declaro que sou responsável pela elaboração do Termo de </w:t>
      </w:r>
      <w:r>
        <w:rPr>
          <w:rFonts w:ascii="Arial" w:eastAsia="Arial" w:hAnsi="Arial" w:cs="Arial"/>
          <w:sz w:val="20"/>
        </w:rPr>
        <w:t xml:space="preserve">Referência, estando este adequado ao que dispõe o Inciso I e o §2º, do Art. 9º, do Decreto nº 5.450/2005, ao que dispõem os Incisos I e II, do Art. 8º, do anexo A, do Decreto 3.555/2000, bem como ao que dispõe o Art. 4º da Instrução Normativa nº 01/MT, de </w:t>
      </w:r>
      <w:r>
        <w:rPr>
          <w:rFonts w:ascii="Arial" w:eastAsia="Arial" w:hAnsi="Arial" w:cs="Arial"/>
          <w:sz w:val="20"/>
        </w:rPr>
        <w:t xml:space="preserve">04 de outubro de 2007. </w:t>
      </w:r>
    </w:p>
    <w:p w:rsidR="006C145C" w:rsidRDefault="00C62E5A">
      <w:pPr>
        <w:spacing w:after="103"/>
        <w:ind w:left="360"/>
      </w:pPr>
      <w:r>
        <w:rPr>
          <w:rFonts w:ascii="Arial" w:eastAsia="Arial" w:hAnsi="Arial" w:cs="Arial"/>
          <w:sz w:val="20"/>
        </w:rPr>
        <w:t xml:space="preserve"> </w:t>
      </w:r>
    </w:p>
    <w:p w:rsidR="006C145C" w:rsidRDefault="00C62E5A">
      <w:pPr>
        <w:spacing w:after="347" w:line="254" w:lineRule="auto"/>
        <w:ind w:left="311" w:right="24" w:hanging="10"/>
        <w:jc w:val="center"/>
      </w:pPr>
      <w:r>
        <w:rPr>
          <w:rFonts w:ascii="Arial" w:eastAsia="Arial" w:hAnsi="Arial" w:cs="Arial"/>
          <w:sz w:val="20"/>
        </w:rPr>
        <w:t xml:space="preserve">__________________________________ </w:t>
      </w:r>
    </w:p>
    <w:p w:rsidR="006C145C" w:rsidRDefault="00C62E5A">
      <w:pPr>
        <w:spacing w:after="334" w:line="270" w:lineRule="auto"/>
        <w:ind w:left="1966" w:right="54" w:hanging="8"/>
        <w:jc w:val="both"/>
      </w:pPr>
      <w:r>
        <w:rPr>
          <w:rFonts w:ascii="Arial" w:eastAsia="Arial" w:hAnsi="Arial" w:cs="Arial"/>
          <w:sz w:val="20"/>
        </w:rPr>
        <w:t xml:space="preserve">Identificação e assinatura do servidor (ou equipe) responsável </w:t>
      </w:r>
    </w:p>
    <w:p w:rsidR="006C145C" w:rsidRDefault="00C62E5A">
      <w:pPr>
        <w:spacing w:after="101"/>
        <w:ind w:left="360"/>
      </w:pPr>
      <w:r>
        <w:rPr>
          <w:rFonts w:ascii="Arial" w:eastAsia="Arial" w:hAnsi="Arial" w:cs="Arial"/>
          <w:sz w:val="20"/>
        </w:rPr>
        <w:t xml:space="preserve"> </w:t>
      </w:r>
    </w:p>
    <w:p w:rsidR="006C145C" w:rsidRDefault="00C62E5A">
      <w:pPr>
        <w:spacing w:after="96" w:line="270" w:lineRule="auto"/>
        <w:ind w:left="368" w:right="202" w:hanging="8"/>
        <w:jc w:val="both"/>
      </w:pPr>
      <w:r>
        <w:rPr>
          <w:rFonts w:ascii="Arial" w:eastAsia="Arial" w:hAnsi="Arial" w:cs="Arial"/>
          <w:sz w:val="20"/>
        </w:rPr>
        <w:t xml:space="preserve">Declaro, também, que sou responsável pela elaboração das planilhas orçamentárias a que se refere o Art. 40, § 2º, inciso II, da </w:t>
      </w:r>
      <w:r>
        <w:rPr>
          <w:rFonts w:ascii="Arial" w:eastAsia="Arial" w:hAnsi="Arial" w:cs="Arial"/>
          <w:sz w:val="20"/>
        </w:rPr>
        <w:t xml:space="preserve">Lei 8.666/93, bem como da sua compatibilidade com o presente Termo de Referência, sendo as mesmas atuais e adequadas. </w:t>
      </w:r>
    </w:p>
    <w:p w:rsidR="006C145C" w:rsidRDefault="00C62E5A">
      <w:pPr>
        <w:spacing w:after="103"/>
        <w:ind w:left="360"/>
      </w:pPr>
      <w:r>
        <w:rPr>
          <w:rFonts w:ascii="Arial" w:eastAsia="Arial" w:hAnsi="Arial" w:cs="Arial"/>
          <w:sz w:val="20"/>
        </w:rPr>
        <w:t xml:space="preserve"> </w:t>
      </w:r>
    </w:p>
    <w:p w:rsidR="006C145C" w:rsidRDefault="00C62E5A">
      <w:pPr>
        <w:spacing w:after="347" w:line="254" w:lineRule="auto"/>
        <w:ind w:left="311" w:right="24" w:hanging="10"/>
        <w:jc w:val="center"/>
      </w:pPr>
      <w:r>
        <w:rPr>
          <w:rFonts w:ascii="Arial" w:eastAsia="Arial" w:hAnsi="Arial" w:cs="Arial"/>
          <w:sz w:val="20"/>
        </w:rPr>
        <w:t xml:space="preserve"> _________________________________ </w:t>
      </w:r>
    </w:p>
    <w:p w:rsidR="006C145C" w:rsidRDefault="00C62E5A">
      <w:pPr>
        <w:spacing w:after="331" w:line="270" w:lineRule="auto"/>
        <w:ind w:left="1966" w:right="54" w:hanging="8"/>
        <w:jc w:val="both"/>
      </w:pPr>
      <w:r>
        <w:rPr>
          <w:rFonts w:ascii="Arial" w:eastAsia="Arial" w:hAnsi="Arial" w:cs="Arial"/>
          <w:sz w:val="20"/>
        </w:rPr>
        <w:t xml:space="preserve">Identificação e assinatura do servidor (ou equipe) responsável </w:t>
      </w:r>
    </w:p>
    <w:p w:rsidR="006C145C" w:rsidRDefault="00C62E5A">
      <w:pPr>
        <w:spacing w:after="0"/>
        <w:ind w:left="360"/>
      </w:pPr>
      <w:r>
        <w:rPr>
          <w:rFonts w:ascii="Arial" w:eastAsia="Arial" w:hAnsi="Arial" w:cs="Arial"/>
          <w:sz w:val="20"/>
        </w:rPr>
        <w:t xml:space="preserve"> </w:t>
      </w:r>
    </w:p>
    <w:p w:rsidR="006C145C" w:rsidRDefault="00C62E5A">
      <w:pPr>
        <w:spacing w:after="94" w:line="270" w:lineRule="auto"/>
        <w:ind w:left="368" w:right="54" w:hanging="8"/>
        <w:jc w:val="both"/>
      </w:pPr>
      <w:r>
        <w:rPr>
          <w:rFonts w:ascii="Arial" w:eastAsia="Arial" w:hAnsi="Arial" w:cs="Arial"/>
          <w:sz w:val="20"/>
        </w:rPr>
        <w:t xml:space="preserve">Estou de acordo e declaro que sou responsável pelas informações de natureza técnica contidas neste Termo de Referência. </w:t>
      </w:r>
    </w:p>
    <w:p w:rsidR="006C145C" w:rsidRDefault="00C62E5A">
      <w:pPr>
        <w:spacing w:after="0"/>
        <w:ind w:left="302"/>
        <w:jc w:val="center"/>
      </w:pPr>
      <w:r>
        <w:rPr>
          <w:rFonts w:ascii="Arial" w:eastAsia="Arial" w:hAnsi="Arial" w:cs="Arial"/>
          <w:sz w:val="20"/>
        </w:rPr>
        <w:t xml:space="preserve">  </w:t>
      </w:r>
    </w:p>
    <w:p w:rsidR="006C145C" w:rsidRDefault="00C62E5A">
      <w:pPr>
        <w:spacing w:after="347" w:line="254" w:lineRule="auto"/>
        <w:ind w:left="311" w:right="3" w:hanging="10"/>
        <w:jc w:val="center"/>
      </w:pPr>
      <w:r>
        <w:rPr>
          <w:rFonts w:ascii="Arial" w:eastAsia="Arial" w:hAnsi="Arial" w:cs="Arial"/>
          <w:sz w:val="20"/>
        </w:rPr>
        <w:t xml:space="preserve"> __________________________________ </w:t>
      </w:r>
    </w:p>
    <w:p w:rsidR="006C145C" w:rsidRDefault="00C62E5A">
      <w:pPr>
        <w:spacing w:after="2" w:line="254" w:lineRule="auto"/>
        <w:ind w:left="311" w:right="61" w:hanging="10"/>
        <w:jc w:val="center"/>
      </w:pPr>
      <w:r>
        <w:rPr>
          <w:rFonts w:ascii="Arial" w:eastAsia="Arial" w:hAnsi="Arial" w:cs="Arial"/>
          <w:sz w:val="20"/>
        </w:rPr>
        <w:t xml:space="preserve">Identificação e assinatura do servidor </w:t>
      </w:r>
    </w:p>
    <w:p w:rsidR="006C145C" w:rsidRDefault="00C62E5A">
      <w:pPr>
        <w:spacing w:after="2" w:line="254" w:lineRule="auto"/>
        <w:ind w:left="311" w:right="58" w:hanging="10"/>
        <w:jc w:val="center"/>
      </w:pPr>
      <w:r>
        <w:rPr>
          <w:rFonts w:ascii="Arial" w:eastAsia="Arial" w:hAnsi="Arial" w:cs="Arial"/>
          <w:sz w:val="20"/>
        </w:rPr>
        <w:t xml:space="preserve">Coordenador (...) </w:t>
      </w:r>
    </w:p>
    <w:p w:rsidR="006C145C" w:rsidRDefault="00C62E5A">
      <w:pPr>
        <w:spacing w:after="107" w:line="254" w:lineRule="auto"/>
        <w:ind w:left="311" w:right="58" w:hanging="10"/>
        <w:jc w:val="center"/>
      </w:pPr>
      <w:r>
        <w:rPr>
          <w:rFonts w:ascii="Arial" w:eastAsia="Arial" w:hAnsi="Arial" w:cs="Arial"/>
          <w:sz w:val="20"/>
        </w:rPr>
        <w:t xml:space="preserve">Área demandante </w:t>
      </w:r>
    </w:p>
    <w:p w:rsidR="006C145C" w:rsidRDefault="00C62E5A">
      <w:pPr>
        <w:spacing w:after="101"/>
        <w:ind w:left="360"/>
      </w:pPr>
      <w:r>
        <w:rPr>
          <w:rFonts w:ascii="Arial" w:eastAsia="Arial" w:hAnsi="Arial" w:cs="Arial"/>
          <w:sz w:val="20"/>
        </w:rPr>
        <w:t xml:space="preserve"> </w:t>
      </w:r>
    </w:p>
    <w:p w:rsidR="006C145C" w:rsidRDefault="00C62E5A">
      <w:pPr>
        <w:spacing w:after="103"/>
        <w:ind w:left="360"/>
      </w:pPr>
      <w:r>
        <w:rPr>
          <w:rFonts w:ascii="Arial" w:eastAsia="Arial" w:hAnsi="Arial" w:cs="Arial"/>
          <w:sz w:val="20"/>
        </w:rPr>
        <w:lastRenderedPageBreak/>
        <w:t xml:space="preserve"> </w:t>
      </w:r>
    </w:p>
    <w:p w:rsidR="006C145C" w:rsidRDefault="00C62E5A">
      <w:pPr>
        <w:spacing w:after="94" w:line="270" w:lineRule="auto"/>
        <w:ind w:left="368" w:right="54" w:hanging="8"/>
        <w:jc w:val="both"/>
      </w:pPr>
      <w:r>
        <w:rPr>
          <w:rFonts w:ascii="Arial" w:eastAsia="Arial" w:hAnsi="Arial" w:cs="Arial"/>
          <w:sz w:val="20"/>
        </w:rPr>
        <w:t xml:space="preserve">Aprovo. Encaminhe-se à (...). </w:t>
      </w:r>
    </w:p>
    <w:p w:rsidR="006C145C" w:rsidRDefault="00C62E5A">
      <w:pPr>
        <w:spacing w:after="0"/>
        <w:ind w:left="302"/>
        <w:jc w:val="center"/>
      </w:pPr>
      <w:r>
        <w:rPr>
          <w:rFonts w:ascii="Arial" w:eastAsia="Arial" w:hAnsi="Arial" w:cs="Arial"/>
          <w:sz w:val="20"/>
        </w:rPr>
        <w:t xml:space="preserve">  </w:t>
      </w:r>
    </w:p>
    <w:p w:rsidR="006C145C" w:rsidRDefault="00C62E5A">
      <w:pPr>
        <w:spacing w:after="0"/>
        <w:ind w:left="299"/>
        <w:jc w:val="center"/>
      </w:pPr>
      <w:r>
        <w:rPr>
          <w:rFonts w:ascii="Arial" w:eastAsia="Arial" w:hAnsi="Arial" w:cs="Arial"/>
          <w:sz w:val="20"/>
        </w:rPr>
        <w:t xml:space="preserve"> </w:t>
      </w:r>
    </w:p>
    <w:p w:rsidR="006C145C" w:rsidRDefault="00C62E5A">
      <w:pPr>
        <w:spacing w:after="345" w:line="254" w:lineRule="auto"/>
        <w:ind w:left="311" w:right="3" w:hanging="10"/>
        <w:jc w:val="center"/>
      </w:pPr>
      <w:r>
        <w:rPr>
          <w:rFonts w:ascii="Arial" w:eastAsia="Arial" w:hAnsi="Arial" w:cs="Arial"/>
          <w:sz w:val="20"/>
        </w:rPr>
        <w:t xml:space="preserve"> __________________________________ </w:t>
      </w:r>
    </w:p>
    <w:p w:rsidR="006C145C" w:rsidRDefault="00C62E5A">
      <w:pPr>
        <w:spacing w:after="2" w:line="254" w:lineRule="auto"/>
        <w:ind w:left="311" w:right="61" w:hanging="10"/>
        <w:jc w:val="center"/>
      </w:pPr>
      <w:r>
        <w:rPr>
          <w:rFonts w:ascii="Arial" w:eastAsia="Arial" w:hAnsi="Arial" w:cs="Arial"/>
          <w:sz w:val="20"/>
        </w:rPr>
        <w:t xml:space="preserve">Identificação e assinatura do servidor </w:t>
      </w:r>
    </w:p>
    <w:p w:rsidR="006C145C" w:rsidRDefault="00C62E5A">
      <w:pPr>
        <w:spacing w:after="0"/>
        <w:ind w:left="299"/>
        <w:jc w:val="center"/>
      </w:pPr>
      <w:r>
        <w:rPr>
          <w:rFonts w:ascii="Arial" w:eastAsia="Arial" w:hAnsi="Arial" w:cs="Arial"/>
          <w:sz w:val="20"/>
        </w:rPr>
        <w:t xml:space="preserve"> </w:t>
      </w:r>
    </w:p>
    <w:p w:rsidR="006C145C" w:rsidRDefault="00C62E5A">
      <w:pPr>
        <w:spacing w:after="107" w:line="254" w:lineRule="auto"/>
        <w:ind w:left="311" w:right="58" w:hanging="10"/>
        <w:jc w:val="center"/>
      </w:pPr>
      <w:r>
        <w:rPr>
          <w:rFonts w:ascii="Arial" w:eastAsia="Arial" w:hAnsi="Arial" w:cs="Arial"/>
          <w:sz w:val="20"/>
        </w:rPr>
        <w:t xml:space="preserve">Coordenador(..) </w:t>
      </w:r>
    </w:p>
    <w:p w:rsidR="006C145C" w:rsidRDefault="00C62E5A">
      <w:pPr>
        <w:spacing w:after="103"/>
        <w:ind w:left="360"/>
      </w:pPr>
      <w:r>
        <w:rPr>
          <w:rFonts w:ascii="Arial" w:eastAsia="Arial" w:hAnsi="Arial" w:cs="Arial"/>
          <w:sz w:val="20"/>
        </w:rPr>
        <w:t xml:space="preserve"> </w:t>
      </w:r>
    </w:p>
    <w:p w:rsidR="006C145C" w:rsidRDefault="00C62E5A">
      <w:pPr>
        <w:spacing w:after="103"/>
        <w:ind w:left="360"/>
      </w:pPr>
      <w:r>
        <w:rPr>
          <w:rFonts w:ascii="Arial" w:eastAsia="Arial" w:hAnsi="Arial" w:cs="Arial"/>
          <w:sz w:val="20"/>
        </w:rPr>
        <w:t xml:space="preserve"> </w:t>
      </w:r>
    </w:p>
    <w:p w:rsidR="006C145C" w:rsidRDefault="00C62E5A">
      <w:pPr>
        <w:spacing w:after="94" w:line="270" w:lineRule="auto"/>
        <w:ind w:left="368" w:right="54" w:hanging="8"/>
        <w:jc w:val="both"/>
      </w:pPr>
      <w:r>
        <w:rPr>
          <w:rFonts w:ascii="Arial" w:eastAsia="Arial" w:hAnsi="Arial" w:cs="Arial"/>
          <w:sz w:val="20"/>
        </w:rPr>
        <w:t>Ciente da necessidade da contratação em tela e das informações prestadas, aprovo o Termo de Referência, nos termos do ar</w:t>
      </w:r>
      <w:r>
        <w:rPr>
          <w:rFonts w:ascii="Arial" w:eastAsia="Arial" w:hAnsi="Arial" w:cs="Arial"/>
          <w:sz w:val="20"/>
        </w:rPr>
        <w:t xml:space="preserve">t. 9º, §1º do Decreto n. 5.450/2005. </w:t>
      </w:r>
    </w:p>
    <w:p w:rsidR="006C145C" w:rsidRDefault="00C62E5A">
      <w:pPr>
        <w:spacing w:after="103"/>
        <w:ind w:left="360"/>
      </w:pPr>
      <w:r>
        <w:rPr>
          <w:rFonts w:ascii="Arial" w:eastAsia="Arial" w:hAnsi="Arial" w:cs="Arial"/>
          <w:sz w:val="20"/>
        </w:rPr>
        <w:t xml:space="preserve">  </w:t>
      </w:r>
    </w:p>
    <w:p w:rsidR="006C145C" w:rsidRDefault="00C62E5A">
      <w:pPr>
        <w:spacing w:after="103"/>
        <w:ind w:left="360"/>
      </w:pPr>
      <w:r>
        <w:rPr>
          <w:rFonts w:ascii="Arial" w:eastAsia="Arial" w:hAnsi="Arial" w:cs="Arial"/>
          <w:sz w:val="20"/>
        </w:rPr>
        <w:t xml:space="preserve"> </w:t>
      </w:r>
    </w:p>
    <w:p w:rsidR="006C145C" w:rsidRDefault="00C62E5A">
      <w:pPr>
        <w:spacing w:after="347" w:line="254" w:lineRule="auto"/>
        <w:ind w:left="311" w:hanging="10"/>
        <w:jc w:val="center"/>
      </w:pPr>
      <w:r>
        <w:rPr>
          <w:rFonts w:ascii="Arial" w:eastAsia="Arial" w:hAnsi="Arial" w:cs="Arial"/>
          <w:sz w:val="20"/>
        </w:rPr>
        <w:t xml:space="preserve">__________________________________ </w:t>
      </w:r>
    </w:p>
    <w:p w:rsidR="006C145C" w:rsidRDefault="00C62E5A">
      <w:pPr>
        <w:spacing w:after="451" w:line="270" w:lineRule="auto"/>
        <w:ind w:left="1429" w:right="54" w:hanging="8"/>
        <w:jc w:val="both"/>
      </w:pPr>
      <w:r>
        <w:rPr>
          <w:rFonts w:ascii="Arial" w:eastAsia="Arial" w:hAnsi="Arial" w:cs="Arial"/>
          <w:sz w:val="20"/>
        </w:rPr>
        <w:t>Identificação do Ordenador de Despesas ou outra autoridade competente</w:t>
      </w:r>
      <w:r>
        <w:rPr>
          <w:rFonts w:ascii="Arial" w:eastAsia="Arial" w:hAnsi="Arial" w:cs="Arial"/>
          <w:color w:val="FF0000"/>
          <w:sz w:val="20"/>
        </w:rPr>
        <w:t xml:space="preserve"> </w:t>
      </w:r>
    </w:p>
    <w:p w:rsidR="006C145C" w:rsidRDefault="00C62E5A">
      <w:pPr>
        <w:spacing w:after="150" w:line="249" w:lineRule="auto"/>
        <w:ind w:left="370" w:right="37" w:hanging="10"/>
        <w:jc w:val="both"/>
      </w:pPr>
      <w:r>
        <w:rPr>
          <w:rFonts w:ascii="Arial" w:eastAsia="Arial" w:hAnsi="Arial" w:cs="Arial"/>
          <w:b/>
          <w:sz w:val="20"/>
        </w:rPr>
        <w:t xml:space="preserve">. </w:t>
      </w:r>
    </w:p>
    <w:p w:rsidR="006C145C" w:rsidRDefault="00C62E5A">
      <w:pPr>
        <w:spacing w:after="137"/>
        <w:ind w:left="425"/>
      </w:pPr>
      <w:r>
        <w:rPr>
          <w:rFonts w:ascii="Arial" w:eastAsia="Arial" w:hAnsi="Arial" w:cs="Arial"/>
          <w:i/>
          <w:sz w:val="20"/>
        </w:rPr>
        <w:t xml:space="preserve"> </w:t>
      </w:r>
    </w:p>
    <w:p w:rsidR="006C145C" w:rsidRDefault="00C62E5A">
      <w:pPr>
        <w:spacing w:after="364" w:line="269" w:lineRule="auto"/>
        <w:ind w:left="370" w:right="54" w:hanging="10"/>
        <w:jc w:val="both"/>
      </w:pPr>
      <w:r>
        <w:rPr>
          <w:rFonts w:ascii="Arial" w:eastAsia="Arial" w:hAnsi="Arial" w:cs="Arial"/>
          <w:i/>
          <w:color w:val="FF0000"/>
          <w:sz w:val="20"/>
        </w:rPr>
        <w:t>Município de</w:t>
      </w:r>
      <w:r>
        <w:rPr>
          <w:rFonts w:ascii="Arial" w:eastAsia="Arial" w:hAnsi="Arial" w:cs="Arial"/>
          <w:color w:val="FF0000"/>
          <w:sz w:val="20"/>
        </w:rPr>
        <w:t xml:space="preserve"> ........</w:t>
      </w:r>
      <w:r>
        <w:rPr>
          <w:rFonts w:ascii="Arial" w:eastAsia="Arial" w:hAnsi="Arial" w:cs="Arial"/>
          <w:sz w:val="20"/>
        </w:rPr>
        <w:t xml:space="preserve">, </w:t>
      </w:r>
      <w:r>
        <w:rPr>
          <w:rFonts w:ascii="Arial" w:eastAsia="Arial" w:hAnsi="Arial" w:cs="Arial"/>
          <w:color w:val="FF0000"/>
          <w:sz w:val="20"/>
        </w:rPr>
        <w:t>.......</w:t>
      </w:r>
      <w:r>
        <w:rPr>
          <w:rFonts w:ascii="Arial" w:eastAsia="Arial" w:hAnsi="Arial" w:cs="Arial"/>
          <w:sz w:val="20"/>
        </w:rPr>
        <w:t xml:space="preserve"> de </w:t>
      </w:r>
      <w:r>
        <w:rPr>
          <w:rFonts w:ascii="Arial" w:eastAsia="Arial" w:hAnsi="Arial" w:cs="Arial"/>
          <w:color w:val="FF0000"/>
          <w:sz w:val="20"/>
        </w:rPr>
        <w:t>.........</w:t>
      </w:r>
      <w:r>
        <w:rPr>
          <w:rFonts w:ascii="Arial" w:eastAsia="Arial" w:hAnsi="Arial" w:cs="Arial"/>
          <w:sz w:val="20"/>
        </w:rPr>
        <w:t xml:space="preserve"> de </w:t>
      </w:r>
      <w:r>
        <w:rPr>
          <w:rFonts w:ascii="Arial" w:eastAsia="Arial" w:hAnsi="Arial" w:cs="Arial"/>
          <w:color w:val="FF0000"/>
          <w:sz w:val="20"/>
        </w:rPr>
        <w:t xml:space="preserve">.......... </w:t>
      </w:r>
      <w:r>
        <w:rPr>
          <w:rFonts w:ascii="Arial" w:eastAsia="Arial" w:hAnsi="Arial" w:cs="Arial"/>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b/>
          <w:i/>
          <w:sz w:val="20"/>
        </w:rPr>
        <w:t>Nota explicativa</w:t>
      </w:r>
      <w:r>
        <w:rPr>
          <w:rFonts w:ascii="Arial" w:eastAsia="Arial" w:hAnsi="Arial" w:cs="Arial"/>
          <w:i/>
          <w:sz w:val="20"/>
        </w:rPr>
        <w:t>: O Termo de Referência deverá ser devidamente aprovado pelo ordenador de despesas ou outra autoridade competente, por meio de despacho motivado, nos termos do art. 9º, §1º do Decreto n. 5.450/2005, indicando os elementos técnicos fundamentais que o apoiam</w:t>
      </w:r>
      <w:r>
        <w:rPr>
          <w:rFonts w:ascii="Arial" w:eastAsia="Arial" w:hAnsi="Arial" w:cs="Arial"/>
          <w:i/>
          <w:sz w:val="20"/>
        </w:rPr>
        <w:t xml:space="preserve">, bem como quanto aos elementos contidos no orçamento estimativo e no cronograma físico-financeiro de desembolso, se for o caso. </w:t>
      </w:r>
    </w:p>
    <w:p w:rsidR="006C145C" w:rsidRDefault="00C62E5A">
      <w:pPr>
        <w:spacing w:after="137"/>
        <w:ind w:left="2"/>
        <w:jc w:val="center"/>
      </w:pPr>
      <w:r>
        <w:rPr>
          <w:rFonts w:ascii="Arial" w:eastAsia="Arial" w:hAnsi="Arial" w:cs="Arial"/>
          <w:sz w:val="20"/>
        </w:rPr>
        <w:t xml:space="preserve"> </w:t>
      </w:r>
    </w:p>
    <w:p w:rsidR="006C145C" w:rsidRDefault="00C62E5A">
      <w:pPr>
        <w:spacing w:after="137"/>
        <w:ind w:left="2"/>
        <w:jc w:val="center"/>
      </w:pPr>
      <w:r>
        <w:rPr>
          <w:rFonts w:ascii="Arial" w:eastAsia="Arial" w:hAnsi="Arial" w:cs="Arial"/>
          <w:sz w:val="20"/>
        </w:rPr>
        <w:t xml:space="preserve"> </w:t>
      </w:r>
    </w:p>
    <w:p w:rsidR="006C145C" w:rsidRDefault="00C62E5A">
      <w:pPr>
        <w:spacing w:after="137"/>
        <w:ind w:left="2"/>
        <w:jc w:val="center"/>
      </w:pPr>
      <w:r>
        <w:rPr>
          <w:rFonts w:ascii="Arial" w:eastAsia="Arial" w:hAnsi="Arial" w:cs="Arial"/>
          <w:sz w:val="20"/>
        </w:rPr>
        <w:t xml:space="preserve"> </w:t>
      </w:r>
    </w:p>
    <w:p w:rsidR="006C145C" w:rsidRDefault="00C62E5A">
      <w:pPr>
        <w:spacing w:after="137"/>
        <w:ind w:left="2"/>
        <w:jc w:val="center"/>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r>
        <w:rPr>
          <w:rFonts w:ascii="Arial" w:eastAsia="Arial" w:hAnsi="Arial" w:cs="Arial"/>
          <w:sz w:val="20"/>
        </w:rPr>
        <w:tab/>
        <w:t xml:space="preserve"> </w:t>
      </w:r>
    </w:p>
    <w:p w:rsidR="006C145C" w:rsidRDefault="00C62E5A">
      <w:pPr>
        <w:pStyle w:val="Ttulo2"/>
        <w:ind w:left="10" w:right="84"/>
      </w:pPr>
      <w:r>
        <w:t xml:space="preserve">ANEXO II – MINUTA ATA DE REGISTRO DE PREÇOS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tabs>
          <w:tab w:val="right" w:pos="9302"/>
        </w:tabs>
        <w:spacing w:after="0" w:line="270" w:lineRule="auto"/>
        <w:ind w:left="-3"/>
      </w:pPr>
      <w:r>
        <w:rPr>
          <w:rFonts w:ascii="Arial" w:eastAsia="Arial" w:hAnsi="Arial" w:cs="Arial"/>
          <w:sz w:val="20"/>
        </w:rPr>
        <w:t xml:space="preserve">O DEPARTAMENTO NACIONAL DE INFRAESTRUTURA DE TRANSPORTES </w:t>
      </w:r>
      <w:r>
        <w:rPr>
          <w:rFonts w:ascii="Arial" w:eastAsia="Arial" w:hAnsi="Arial" w:cs="Arial"/>
          <w:sz w:val="20"/>
        </w:rPr>
        <w:tab/>
        <w:t>– DNIT/</w:t>
      </w:r>
      <w:r>
        <w:rPr>
          <w:rFonts w:ascii="Arial" w:eastAsia="Arial" w:hAnsi="Arial" w:cs="Arial"/>
          <w:i/>
          <w:color w:val="FF0000"/>
          <w:sz w:val="20"/>
        </w:rPr>
        <w:t xml:space="preserve"> </w:t>
      </w:r>
    </w:p>
    <w:p w:rsidR="006C145C" w:rsidRDefault="00C62E5A">
      <w:pPr>
        <w:spacing w:after="0" w:line="270" w:lineRule="auto"/>
        <w:ind w:left="5" w:right="54" w:hanging="8"/>
        <w:jc w:val="both"/>
      </w:pPr>
      <w:r>
        <w:rPr>
          <w:rFonts w:ascii="Arial" w:eastAsia="Arial" w:hAnsi="Arial" w:cs="Arial"/>
          <w:i/>
          <w:color w:val="FF0000"/>
          <w:sz w:val="20"/>
        </w:rPr>
        <w:t>SUPERINTENDÊNCIA REGIONAL DO DNIT NO ESTADO DE .......................</w:t>
      </w:r>
      <w:r>
        <w:rPr>
          <w:rFonts w:ascii="Arial" w:eastAsia="Arial" w:hAnsi="Arial" w:cs="Arial"/>
          <w:sz w:val="20"/>
        </w:rPr>
        <w:t>, ente autárquico federal vinculado ao Ministério da Infraestrutura – MI, com sede na capital do Distrito Federal – Setor de Autarquias Norte, Núcleo dos Transportes Q-3, B-A, inscrito</w:t>
      </w:r>
      <w:r>
        <w:rPr>
          <w:rFonts w:ascii="Arial" w:eastAsia="Arial" w:hAnsi="Arial" w:cs="Arial"/>
          <w:sz w:val="20"/>
        </w:rPr>
        <w:t xml:space="preserve"> no CNPJ/MF sob o nº. ......., neste ato representado pelo Diretor Geral/</w:t>
      </w:r>
      <w:r>
        <w:rPr>
          <w:rFonts w:ascii="Arial" w:eastAsia="Arial" w:hAnsi="Arial" w:cs="Arial"/>
          <w:color w:val="FF0000"/>
          <w:sz w:val="20"/>
        </w:rPr>
        <w:t>Superintendente</w:t>
      </w:r>
      <w:r>
        <w:rPr>
          <w:rFonts w:ascii="Arial" w:eastAsia="Arial" w:hAnsi="Arial" w:cs="Arial"/>
          <w:sz w:val="20"/>
        </w:rPr>
        <w:t xml:space="preserve"> </w:t>
      </w:r>
      <w:r>
        <w:rPr>
          <w:rFonts w:ascii="Arial" w:eastAsia="Arial" w:hAnsi="Arial" w:cs="Arial"/>
          <w:color w:val="FF0000"/>
          <w:sz w:val="20"/>
        </w:rPr>
        <w:t>(NOME DA AUTORIDADE E CARGO)</w:t>
      </w:r>
      <w:r>
        <w:rPr>
          <w:rFonts w:ascii="Arial" w:eastAsia="Arial" w:hAnsi="Arial" w:cs="Arial"/>
          <w:sz w:val="20"/>
        </w:rPr>
        <w:t xml:space="preserve">, nomeado pela Portaria nº. </w:t>
      </w:r>
      <w:r>
        <w:rPr>
          <w:rFonts w:ascii="Arial" w:eastAsia="Arial" w:hAnsi="Arial" w:cs="Arial"/>
          <w:color w:val="FF0000"/>
          <w:sz w:val="20"/>
        </w:rPr>
        <w:t>...</w:t>
      </w:r>
      <w:r>
        <w:rPr>
          <w:rFonts w:ascii="Arial" w:eastAsia="Arial" w:hAnsi="Arial" w:cs="Arial"/>
          <w:sz w:val="20"/>
        </w:rPr>
        <w:t xml:space="preserve">, de .../.../....., e em conformidade com as atribuições que lhe foram delegadas pela Portaria nº ....., de </w:t>
      </w:r>
      <w:r>
        <w:rPr>
          <w:rFonts w:ascii="Arial" w:eastAsia="Arial" w:hAnsi="Arial" w:cs="Arial"/>
          <w:sz w:val="20"/>
        </w:rPr>
        <w:t>.../.../.....</w:t>
      </w:r>
      <w:r>
        <w:rPr>
          <w:rFonts w:ascii="Arial" w:eastAsia="Arial" w:hAnsi="Arial" w:cs="Arial"/>
          <w:color w:val="FF0000"/>
          <w:sz w:val="20"/>
        </w:rPr>
        <w:t>.</w:t>
      </w:r>
      <w:r>
        <w:rPr>
          <w:rFonts w:ascii="Arial" w:eastAsia="Arial" w:hAnsi="Arial" w:cs="Arial"/>
          <w:sz w:val="20"/>
        </w:rPr>
        <w:t xml:space="preserve">, publicada em .../.../....., doravante denominado simplesmente CONTRATANTE, considerando o julgamento da licitação na modalidade de pregão, na forma eletrônica, para REGISTRO </w:t>
      </w:r>
      <w:r>
        <w:rPr>
          <w:rFonts w:ascii="Arial" w:eastAsia="Arial" w:hAnsi="Arial" w:cs="Arial"/>
          <w:sz w:val="20"/>
        </w:rPr>
        <w:lastRenderedPageBreak/>
        <w:t>DE PREÇOS nº ......./200..., publicada no ...... de ...../...../20</w:t>
      </w:r>
      <w:r>
        <w:rPr>
          <w:rFonts w:ascii="Arial" w:eastAsia="Arial" w:hAnsi="Arial" w:cs="Arial"/>
          <w:sz w:val="20"/>
        </w:rPr>
        <w:t xml:space="preserve">0....., processo administrativo nº ........, RESOLVE registrar os preços da(s)  empresa(s) indicada(s) e qualificada(s) nesta ATA, de acordo com a classificação por ela(s) alcançada(s) e na(s)  quantidade(s)  cotada(s), atendendo as condições previstas no </w:t>
      </w:r>
      <w:r>
        <w:rPr>
          <w:rFonts w:ascii="Arial" w:eastAsia="Arial" w:hAnsi="Arial" w:cs="Arial"/>
          <w:sz w:val="20"/>
        </w:rPr>
        <w:t xml:space="preserve">edital, sujeitando-se as partes às normas constantes na Lei nº 8.666, de 21 de junho de 1993 e suas alterações, no Decreto nº 7.892, de 23 de janeiro de 2013, e em conformidade com as disposições a seguir: </w:t>
      </w:r>
    </w:p>
    <w:p w:rsidR="006C145C" w:rsidRDefault="00C62E5A">
      <w:pPr>
        <w:spacing w:after="0"/>
      </w:pPr>
      <w:r>
        <w:rPr>
          <w:rFonts w:ascii="Arial" w:eastAsia="Arial" w:hAnsi="Arial" w:cs="Arial"/>
          <w:sz w:val="20"/>
        </w:rPr>
        <w:t xml:space="preserve"> </w:t>
      </w:r>
    </w:p>
    <w:p w:rsidR="006C145C" w:rsidRDefault="00C62E5A">
      <w:pPr>
        <w:spacing w:after="461"/>
      </w:pPr>
      <w:r>
        <w:rPr>
          <w:rFonts w:ascii="Arial" w:eastAsia="Arial" w:hAnsi="Arial" w:cs="Arial"/>
          <w:sz w:val="20"/>
        </w:rPr>
        <w:t xml:space="preserve"> </w:t>
      </w:r>
    </w:p>
    <w:p w:rsidR="006C145C" w:rsidRDefault="00C62E5A">
      <w:pPr>
        <w:pStyle w:val="Ttulo3"/>
        <w:spacing w:after="150" w:line="249" w:lineRule="auto"/>
        <w:ind w:left="7" w:right="37"/>
        <w:jc w:val="both"/>
      </w:pPr>
      <w:r>
        <w:t xml:space="preserve">1. DO OBJETO </w:t>
      </w:r>
    </w:p>
    <w:p w:rsidR="006C145C" w:rsidRDefault="00C62E5A">
      <w:pPr>
        <w:spacing w:after="485" w:line="270" w:lineRule="auto"/>
        <w:ind w:left="433" w:right="54" w:hanging="8"/>
        <w:jc w:val="both"/>
      </w:pPr>
      <w:r>
        <w:rPr>
          <w:rFonts w:ascii="Arial" w:eastAsia="Arial" w:hAnsi="Arial" w:cs="Arial"/>
          <w:sz w:val="20"/>
        </w:rPr>
        <w:t>1.1. A presente Ata tem por obj</w:t>
      </w:r>
      <w:r>
        <w:rPr>
          <w:rFonts w:ascii="Arial" w:eastAsia="Arial" w:hAnsi="Arial" w:cs="Arial"/>
          <w:sz w:val="20"/>
        </w:rPr>
        <w:t xml:space="preserve">eto o registro de preços para a eventual prestação de serviço de ........ , especificado(s) no(s) item(ns).......... do .......... Termo de Referência, anexo ...... do edital de </w:t>
      </w:r>
      <w:r>
        <w:rPr>
          <w:rFonts w:ascii="Arial" w:eastAsia="Arial" w:hAnsi="Arial" w:cs="Arial"/>
          <w:i/>
          <w:sz w:val="20"/>
        </w:rPr>
        <w:t>Pregão</w:t>
      </w:r>
      <w:r>
        <w:rPr>
          <w:rFonts w:ascii="Arial" w:eastAsia="Arial" w:hAnsi="Arial" w:cs="Arial"/>
          <w:sz w:val="20"/>
        </w:rPr>
        <w:t xml:space="preserve"> nº ........../20..., que é parte integrante desta Ata, assim como a pro</w:t>
      </w:r>
      <w:r>
        <w:rPr>
          <w:rFonts w:ascii="Arial" w:eastAsia="Arial" w:hAnsi="Arial" w:cs="Arial"/>
          <w:sz w:val="20"/>
        </w:rPr>
        <w:t xml:space="preserve">posta vencedora, independentemente de transcrição. </w:t>
      </w:r>
    </w:p>
    <w:p w:rsidR="006C145C" w:rsidRDefault="00C62E5A">
      <w:pPr>
        <w:pStyle w:val="Ttulo3"/>
        <w:spacing w:after="150" w:line="249" w:lineRule="auto"/>
        <w:ind w:left="7" w:right="37"/>
        <w:jc w:val="both"/>
      </w:pPr>
      <w:r>
        <w:t xml:space="preserve">2. DOS PREÇOS, ESPECIFICAÇÕES E QUANTITATIVOS </w:t>
      </w:r>
    </w:p>
    <w:p w:rsidR="006C145C" w:rsidRDefault="00C62E5A">
      <w:pPr>
        <w:spacing w:after="129" w:line="270" w:lineRule="auto"/>
        <w:ind w:left="433" w:right="54" w:hanging="8"/>
        <w:jc w:val="both"/>
      </w:pPr>
      <w:r>
        <w:rPr>
          <w:rFonts w:ascii="Arial" w:eastAsia="Arial" w:hAnsi="Arial" w:cs="Arial"/>
          <w:sz w:val="20"/>
        </w:rPr>
        <w:t xml:space="preserve">2.1. O preço registrado, as especificações do objeto e as demais condições ofertadas na(s) proposta(s) são as que seguem:  </w:t>
      </w:r>
    </w:p>
    <w:p w:rsidR="006C145C" w:rsidRDefault="00C62E5A">
      <w:pPr>
        <w:spacing w:after="0"/>
        <w:ind w:left="792"/>
      </w:pPr>
      <w:r>
        <w:rPr>
          <w:rFonts w:ascii="Arial" w:eastAsia="Arial" w:hAnsi="Arial" w:cs="Arial"/>
          <w:sz w:val="20"/>
        </w:rPr>
        <w:t xml:space="preserve"> </w:t>
      </w:r>
      <w:r>
        <w:rPr>
          <w:rFonts w:ascii="Arial" w:eastAsia="Arial" w:hAnsi="Arial" w:cs="Arial"/>
          <w:sz w:val="20"/>
        </w:rPr>
        <w:tab/>
        <w:t xml:space="preserve"> </w:t>
      </w:r>
    </w:p>
    <w:tbl>
      <w:tblPr>
        <w:tblStyle w:val="TableGrid"/>
        <w:tblW w:w="8114" w:type="dxa"/>
        <w:tblInd w:w="113" w:type="dxa"/>
        <w:tblCellMar>
          <w:top w:w="9" w:type="dxa"/>
          <w:left w:w="106" w:type="dxa"/>
          <w:bottom w:w="0" w:type="dxa"/>
          <w:right w:w="43" w:type="dxa"/>
        </w:tblCellMar>
        <w:tblLook w:val="04A0" w:firstRow="1" w:lastRow="0" w:firstColumn="1" w:lastColumn="0" w:noHBand="0" w:noVBand="1"/>
      </w:tblPr>
      <w:tblGrid>
        <w:gridCol w:w="852"/>
        <w:gridCol w:w="3968"/>
        <w:gridCol w:w="991"/>
        <w:gridCol w:w="1309"/>
        <w:gridCol w:w="994"/>
      </w:tblGrid>
      <w:tr w:rsidR="006C145C">
        <w:trPr>
          <w:trHeight w:val="470"/>
        </w:trPr>
        <w:tc>
          <w:tcPr>
            <w:tcW w:w="8114" w:type="dxa"/>
            <w:gridSpan w:val="5"/>
            <w:tcBorders>
              <w:top w:val="single" w:sz="4" w:space="0" w:color="000000"/>
              <w:left w:val="single" w:sz="4" w:space="0" w:color="000000"/>
              <w:bottom w:val="single" w:sz="4" w:space="0" w:color="000000"/>
              <w:right w:val="single" w:sz="4" w:space="0" w:color="000000"/>
            </w:tcBorders>
          </w:tcPr>
          <w:p w:rsidR="006C145C" w:rsidRDefault="00C62E5A">
            <w:pPr>
              <w:spacing w:after="0"/>
              <w:ind w:right="73"/>
              <w:jc w:val="center"/>
            </w:pPr>
            <w:r>
              <w:rPr>
                <w:rFonts w:ascii="Arial" w:eastAsia="Arial" w:hAnsi="Arial" w:cs="Arial"/>
                <w:sz w:val="20"/>
              </w:rPr>
              <w:t xml:space="preserve">Prestador do serviço </w:t>
            </w:r>
            <w:r>
              <w:rPr>
                <w:rFonts w:ascii="Arial" w:eastAsia="Arial" w:hAnsi="Arial" w:cs="Arial"/>
                <w:i/>
                <w:color w:val="FF0000"/>
                <w:sz w:val="20"/>
              </w:rPr>
              <w:t xml:space="preserve">(razão social, CNPJ/MF, endereço, contatos, representante) </w:t>
            </w:r>
          </w:p>
          <w:p w:rsidR="006C145C" w:rsidRDefault="00C62E5A">
            <w:pPr>
              <w:spacing w:after="0"/>
              <w:ind w:right="8"/>
              <w:jc w:val="center"/>
            </w:pPr>
            <w:r>
              <w:rPr>
                <w:rFonts w:ascii="Arial" w:eastAsia="Arial" w:hAnsi="Arial" w:cs="Arial"/>
                <w:sz w:val="20"/>
              </w:rPr>
              <w:t xml:space="preserve"> </w:t>
            </w:r>
          </w:p>
        </w:tc>
      </w:tr>
      <w:tr w:rsidR="006C145C">
        <w:trPr>
          <w:trHeight w:val="698"/>
        </w:trPr>
        <w:tc>
          <w:tcPr>
            <w:tcW w:w="8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82"/>
            </w:pPr>
            <w:r>
              <w:rPr>
                <w:rFonts w:ascii="Arial" w:eastAsia="Arial" w:hAnsi="Arial" w:cs="Arial"/>
                <w:sz w:val="20"/>
              </w:rPr>
              <w:t xml:space="preserve">ITEM </w:t>
            </w:r>
          </w:p>
          <w:p w:rsidR="006C145C" w:rsidRDefault="00C62E5A">
            <w:pPr>
              <w:spacing w:after="0"/>
              <w:ind w:right="10"/>
              <w:jc w:val="center"/>
            </w:pPr>
            <w:r>
              <w:rPr>
                <w:rFonts w:ascii="Arial" w:eastAsia="Arial" w:hAnsi="Arial" w:cs="Arial"/>
                <w:sz w:val="20"/>
              </w:rPr>
              <w:t xml:space="preserve"> </w:t>
            </w:r>
          </w:p>
        </w:tc>
        <w:tc>
          <w:tcPr>
            <w:tcW w:w="3968"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444" w:right="456"/>
              <w:jc w:val="center"/>
            </w:pPr>
            <w:r>
              <w:rPr>
                <w:rFonts w:ascii="Arial" w:eastAsia="Arial" w:hAnsi="Arial" w:cs="Arial"/>
                <w:sz w:val="20"/>
              </w:rPr>
              <w:t xml:space="preserve">DESCRIÇÃO/ ESPECIFICAÇÃO </w:t>
            </w:r>
          </w:p>
        </w:tc>
        <w:tc>
          <w:tcPr>
            <w:tcW w:w="991" w:type="dxa"/>
            <w:tcBorders>
              <w:top w:val="single" w:sz="4" w:space="0" w:color="000000"/>
              <w:left w:val="single" w:sz="4" w:space="0" w:color="000000"/>
              <w:bottom w:val="single" w:sz="4" w:space="0" w:color="000000"/>
              <w:right w:val="single" w:sz="4" w:space="0" w:color="000000"/>
            </w:tcBorders>
          </w:tcPr>
          <w:p w:rsidR="006C145C" w:rsidRDefault="00C62E5A">
            <w:pPr>
              <w:spacing w:after="0" w:line="241" w:lineRule="auto"/>
              <w:jc w:val="center"/>
            </w:pPr>
            <w:r>
              <w:rPr>
                <w:rFonts w:ascii="Arial" w:eastAsia="Arial" w:hAnsi="Arial" w:cs="Arial"/>
                <w:sz w:val="20"/>
              </w:rPr>
              <w:t xml:space="preserve">Unidade de </w:t>
            </w:r>
          </w:p>
          <w:p w:rsidR="006C145C" w:rsidRDefault="00C62E5A">
            <w:pPr>
              <w:spacing w:after="0"/>
              <w:ind w:left="60"/>
            </w:pPr>
            <w:r>
              <w:rPr>
                <w:rFonts w:ascii="Arial" w:eastAsia="Arial" w:hAnsi="Arial" w:cs="Arial"/>
                <w:sz w:val="20"/>
              </w:rPr>
              <w:t xml:space="preserve">Medida </w:t>
            </w:r>
          </w:p>
        </w:tc>
        <w:tc>
          <w:tcPr>
            <w:tcW w:w="1309"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31"/>
            </w:pPr>
            <w:r>
              <w:rPr>
                <w:rFonts w:ascii="Arial" w:eastAsia="Arial" w:hAnsi="Arial" w:cs="Arial"/>
                <w:sz w:val="20"/>
              </w:rPr>
              <w:t xml:space="preserve">Quantidade </w:t>
            </w:r>
          </w:p>
        </w:tc>
        <w:tc>
          <w:tcPr>
            <w:tcW w:w="994" w:type="dxa"/>
            <w:tcBorders>
              <w:top w:val="single" w:sz="4" w:space="0" w:color="000000"/>
              <w:left w:val="single" w:sz="4" w:space="0" w:color="000000"/>
              <w:bottom w:val="single" w:sz="4" w:space="0" w:color="000000"/>
              <w:right w:val="single" w:sz="4" w:space="0" w:color="000000"/>
            </w:tcBorders>
          </w:tcPr>
          <w:p w:rsidR="006C145C" w:rsidRDefault="00C62E5A">
            <w:pPr>
              <w:spacing w:after="0"/>
              <w:jc w:val="center"/>
            </w:pPr>
            <w:r>
              <w:rPr>
                <w:rFonts w:ascii="Arial" w:eastAsia="Arial" w:hAnsi="Arial" w:cs="Arial"/>
                <w:sz w:val="20"/>
              </w:rPr>
              <w:t xml:space="preserve">Valor Unitário  </w:t>
            </w:r>
          </w:p>
        </w:tc>
      </w:tr>
      <w:tr w:rsidR="006C145C">
        <w:trPr>
          <w:trHeight w:val="396"/>
        </w:trPr>
        <w:tc>
          <w:tcPr>
            <w:tcW w:w="8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right="65"/>
              <w:jc w:val="center"/>
            </w:pPr>
            <w:r>
              <w:rPr>
                <w:rFonts w:ascii="Arial" w:eastAsia="Arial" w:hAnsi="Arial" w:cs="Arial"/>
                <w:sz w:val="20"/>
              </w:rPr>
              <w:t xml:space="preserve">1 </w:t>
            </w:r>
          </w:p>
        </w:tc>
        <w:tc>
          <w:tcPr>
            <w:tcW w:w="3968"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c>
          <w:tcPr>
            <w:tcW w:w="1309"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2"/>
            </w:pPr>
            <w:r>
              <w:rPr>
                <w:rFonts w:ascii="Arial" w:eastAsia="Arial" w:hAnsi="Arial" w:cs="Arial"/>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2"/>
            </w:pPr>
            <w:r>
              <w:rPr>
                <w:rFonts w:ascii="Arial" w:eastAsia="Arial" w:hAnsi="Arial" w:cs="Arial"/>
                <w:sz w:val="20"/>
              </w:rPr>
              <w:t xml:space="preserve"> </w:t>
            </w:r>
          </w:p>
        </w:tc>
      </w:tr>
      <w:tr w:rsidR="006C145C">
        <w:trPr>
          <w:trHeight w:val="394"/>
        </w:trPr>
        <w:tc>
          <w:tcPr>
            <w:tcW w:w="8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right="65"/>
              <w:jc w:val="center"/>
            </w:pPr>
            <w:r>
              <w:rPr>
                <w:rFonts w:ascii="Arial" w:eastAsia="Arial" w:hAnsi="Arial" w:cs="Arial"/>
                <w:sz w:val="20"/>
              </w:rPr>
              <w:t xml:space="preserve">2 </w:t>
            </w:r>
          </w:p>
        </w:tc>
        <w:tc>
          <w:tcPr>
            <w:tcW w:w="3968"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c>
          <w:tcPr>
            <w:tcW w:w="1309"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2"/>
            </w:pPr>
            <w:r>
              <w:rPr>
                <w:rFonts w:ascii="Arial" w:eastAsia="Arial" w:hAnsi="Arial" w:cs="Arial"/>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2"/>
            </w:pPr>
            <w:r>
              <w:rPr>
                <w:rFonts w:ascii="Arial" w:eastAsia="Arial" w:hAnsi="Arial" w:cs="Arial"/>
                <w:sz w:val="20"/>
              </w:rPr>
              <w:t xml:space="preserve"> </w:t>
            </w:r>
          </w:p>
        </w:tc>
      </w:tr>
      <w:tr w:rsidR="006C145C">
        <w:trPr>
          <w:trHeight w:val="394"/>
        </w:trPr>
        <w:tc>
          <w:tcPr>
            <w:tcW w:w="8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right="65"/>
              <w:jc w:val="center"/>
            </w:pPr>
            <w:r>
              <w:rPr>
                <w:rFonts w:ascii="Arial" w:eastAsia="Arial" w:hAnsi="Arial" w:cs="Arial"/>
                <w:sz w:val="20"/>
              </w:rPr>
              <w:t xml:space="preserve">3 </w:t>
            </w:r>
          </w:p>
        </w:tc>
        <w:tc>
          <w:tcPr>
            <w:tcW w:w="3968"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c>
          <w:tcPr>
            <w:tcW w:w="1309"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2"/>
            </w:pPr>
            <w:r>
              <w:rPr>
                <w:rFonts w:ascii="Arial" w:eastAsia="Arial" w:hAnsi="Arial" w:cs="Arial"/>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2"/>
            </w:pPr>
            <w:r>
              <w:rPr>
                <w:rFonts w:ascii="Arial" w:eastAsia="Arial" w:hAnsi="Arial" w:cs="Arial"/>
                <w:sz w:val="20"/>
              </w:rPr>
              <w:t xml:space="preserve"> </w:t>
            </w:r>
          </w:p>
        </w:tc>
      </w:tr>
      <w:tr w:rsidR="006C145C">
        <w:trPr>
          <w:trHeight w:val="396"/>
        </w:trPr>
        <w:tc>
          <w:tcPr>
            <w:tcW w:w="8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right="62"/>
              <w:jc w:val="center"/>
            </w:pPr>
            <w:r>
              <w:rPr>
                <w:rFonts w:ascii="Arial" w:eastAsia="Arial" w:hAnsi="Arial" w:cs="Arial"/>
                <w:sz w:val="20"/>
              </w:rPr>
              <w:t xml:space="preserve">... </w:t>
            </w:r>
          </w:p>
        </w:tc>
        <w:tc>
          <w:tcPr>
            <w:tcW w:w="3968"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c>
          <w:tcPr>
            <w:tcW w:w="1309"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2"/>
            </w:pPr>
            <w:r>
              <w:rPr>
                <w:rFonts w:ascii="Arial" w:eastAsia="Arial" w:hAnsi="Arial" w:cs="Arial"/>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2"/>
            </w:pPr>
            <w:r>
              <w:rPr>
                <w:rFonts w:ascii="Arial" w:eastAsia="Arial" w:hAnsi="Arial" w:cs="Arial"/>
                <w:sz w:val="20"/>
              </w:rPr>
              <w:t xml:space="preserve"> </w:t>
            </w:r>
          </w:p>
        </w:tc>
      </w:tr>
    </w:tbl>
    <w:p w:rsidR="006C145C" w:rsidRDefault="00C62E5A">
      <w:pPr>
        <w:spacing w:after="129"/>
        <w:ind w:left="792"/>
      </w:pPr>
      <w:r>
        <w:rPr>
          <w:rFonts w:ascii="Arial" w:eastAsia="Arial" w:hAnsi="Arial" w:cs="Arial"/>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71" w:line="249" w:lineRule="auto"/>
        <w:ind w:left="-5" w:right="57" w:hanging="10"/>
        <w:jc w:val="both"/>
      </w:pPr>
      <w:r>
        <w:rPr>
          <w:rFonts w:ascii="Arial" w:eastAsia="Arial" w:hAnsi="Arial" w:cs="Arial"/>
          <w:b/>
          <w:i/>
          <w:sz w:val="20"/>
        </w:rPr>
        <w:t>Nota Explicativa</w:t>
      </w:r>
      <w:r>
        <w:rPr>
          <w:rFonts w:ascii="Arial" w:eastAsia="Arial" w:hAnsi="Arial" w:cs="Arial"/>
          <w:i/>
          <w:sz w:val="20"/>
        </w:rPr>
        <w:t xml:space="preserve">: adaptar a tabela acima, bem como a referente ao cadastro de reserva, quando for o caso, de acordo com as condições e características atinentes à natureza do serviço.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502" w:line="249" w:lineRule="auto"/>
        <w:ind w:left="-5" w:right="57" w:hanging="10"/>
        <w:jc w:val="both"/>
      </w:pPr>
      <w:r>
        <w:rPr>
          <w:rFonts w:ascii="Arial" w:eastAsia="Arial" w:hAnsi="Arial" w:cs="Arial"/>
          <w:b/>
          <w:i/>
          <w:sz w:val="20"/>
        </w:rPr>
        <w:t>Nota Explicativa</w:t>
      </w:r>
      <w:r>
        <w:rPr>
          <w:rFonts w:ascii="Arial" w:eastAsia="Arial" w:hAnsi="Arial" w:cs="Arial"/>
          <w:i/>
          <w:sz w:val="20"/>
        </w:rPr>
        <w:t xml:space="preserve">: Nos termos do Parecer nº 00001/2016/CPLCA/CGU/AGU não cabe reajuste, repactuação ou reequilíbrio econômico em relação à Ata de Registro de Preços, uma vez que esses institutos estão relacionados à contratação (contrato administrativo em sentido amplo).  </w:t>
      </w:r>
    </w:p>
    <w:p w:rsidR="006C145C" w:rsidRDefault="00C62E5A">
      <w:pPr>
        <w:pStyle w:val="Ttulo3"/>
        <w:spacing w:after="136"/>
        <w:ind w:left="-5"/>
        <w:jc w:val="left"/>
      </w:pPr>
      <w:r>
        <w:rPr>
          <w:color w:val="FF0000"/>
        </w:rPr>
        <w:t xml:space="preserve">3. ÓRGÃO(S) GERENCIADOR E PARTICIPANTE(S) </w:t>
      </w:r>
    </w:p>
    <w:p w:rsidR="006C145C" w:rsidRDefault="00C62E5A">
      <w:pPr>
        <w:spacing w:after="130" w:line="270" w:lineRule="auto"/>
        <w:ind w:left="420" w:right="58" w:hanging="10"/>
        <w:jc w:val="both"/>
      </w:pPr>
      <w:r>
        <w:rPr>
          <w:rFonts w:ascii="Arial" w:eastAsia="Arial" w:hAnsi="Arial" w:cs="Arial"/>
          <w:color w:val="FF0000"/>
          <w:sz w:val="20"/>
        </w:rPr>
        <w:t xml:space="preserve">3.1. </w:t>
      </w:r>
      <w:r>
        <w:rPr>
          <w:rFonts w:ascii="Arial" w:eastAsia="Arial" w:hAnsi="Arial" w:cs="Arial"/>
          <w:i/>
          <w:color w:val="FF0000"/>
          <w:sz w:val="20"/>
        </w:rPr>
        <w:t>O órgão gerenciador será o ......(nome do órgão)....</w:t>
      </w:r>
      <w:r>
        <w:rPr>
          <w:rFonts w:ascii="Arial" w:eastAsia="Arial" w:hAnsi="Arial" w:cs="Arial"/>
          <w:color w:val="FF0000"/>
          <w:sz w:val="20"/>
        </w:rPr>
        <w:t xml:space="preserve"> </w:t>
      </w:r>
    </w:p>
    <w:p w:rsidR="006C145C" w:rsidRDefault="00C62E5A">
      <w:pPr>
        <w:spacing w:after="248" w:line="270" w:lineRule="auto"/>
        <w:ind w:left="420" w:right="58" w:hanging="10"/>
        <w:jc w:val="both"/>
      </w:pPr>
      <w:r>
        <w:rPr>
          <w:rFonts w:ascii="Arial" w:eastAsia="Arial" w:hAnsi="Arial" w:cs="Arial"/>
          <w:i/>
          <w:color w:val="FF0000"/>
          <w:sz w:val="20"/>
        </w:rPr>
        <w:t xml:space="preserve">3.2. São órgãos e entidades públicas participantes do registro de preços: </w:t>
      </w:r>
    </w:p>
    <w:p w:rsidR="006C145C" w:rsidRDefault="00C62E5A">
      <w:pPr>
        <w:spacing w:after="0"/>
        <w:ind w:left="792"/>
      </w:pPr>
      <w:r>
        <w:rPr>
          <w:rFonts w:ascii="Arial" w:eastAsia="Arial" w:hAnsi="Arial" w:cs="Arial"/>
          <w:i/>
          <w:color w:val="FF0000"/>
          <w:sz w:val="20"/>
        </w:rPr>
        <w:t xml:space="preserve"> </w:t>
      </w:r>
      <w:r>
        <w:rPr>
          <w:rFonts w:ascii="Arial" w:eastAsia="Arial" w:hAnsi="Arial" w:cs="Arial"/>
          <w:i/>
          <w:color w:val="FF0000"/>
          <w:sz w:val="20"/>
        </w:rPr>
        <w:tab/>
        <w:t xml:space="preserve"> </w:t>
      </w:r>
    </w:p>
    <w:tbl>
      <w:tblPr>
        <w:tblStyle w:val="TableGrid"/>
        <w:tblW w:w="8757" w:type="dxa"/>
        <w:tblInd w:w="5" w:type="dxa"/>
        <w:tblCellMar>
          <w:top w:w="9" w:type="dxa"/>
          <w:left w:w="115" w:type="dxa"/>
          <w:bottom w:w="0" w:type="dxa"/>
          <w:right w:w="115" w:type="dxa"/>
        </w:tblCellMar>
        <w:tblLook w:val="04A0" w:firstRow="1" w:lastRow="0" w:firstColumn="1" w:lastColumn="0" w:noHBand="0" w:noVBand="1"/>
      </w:tblPr>
      <w:tblGrid>
        <w:gridCol w:w="2148"/>
        <w:gridCol w:w="6609"/>
      </w:tblGrid>
      <w:tr w:rsidR="006C145C">
        <w:trPr>
          <w:trHeight w:val="240"/>
        </w:trPr>
        <w:tc>
          <w:tcPr>
            <w:tcW w:w="2148"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35"/>
              <w:jc w:val="center"/>
            </w:pPr>
            <w:r>
              <w:rPr>
                <w:rFonts w:ascii="Arial" w:eastAsia="Arial" w:hAnsi="Arial" w:cs="Arial"/>
                <w:i/>
                <w:color w:val="FF0000"/>
                <w:sz w:val="20"/>
              </w:rPr>
              <w:t xml:space="preserve">Item nº  </w:t>
            </w:r>
          </w:p>
        </w:tc>
        <w:tc>
          <w:tcPr>
            <w:tcW w:w="6609"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28"/>
              <w:jc w:val="center"/>
            </w:pPr>
            <w:r>
              <w:rPr>
                <w:rFonts w:ascii="Arial" w:eastAsia="Arial" w:hAnsi="Arial" w:cs="Arial"/>
                <w:i/>
                <w:color w:val="FF0000"/>
                <w:sz w:val="20"/>
              </w:rPr>
              <w:t xml:space="preserve">Órgãos Participantes </w:t>
            </w:r>
          </w:p>
        </w:tc>
      </w:tr>
      <w:tr w:rsidR="006C145C">
        <w:trPr>
          <w:trHeight w:val="240"/>
        </w:trPr>
        <w:tc>
          <w:tcPr>
            <w:tcW w:w="2148"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92"/>
              <w:jc w:val="center"/>
            </w:pPr>
            <w:r>
              <w:rPr>
                <w:rFonts w:ascii="Arial" w:eastAsia="Arial" w:hAnsi="Arial" w:cs="Arial"/>
                <w:i/>
                <w:color w:val="FF0000"/>
                <w:sz w:val="20"/>
              </w:rPr>
              <w:t xml:space="preserve"> </w:t>
            </w:r>
          </w:p>
        </w:tc>
        <w:tc>
          <w:tcPr>
            <w:tcW w:w="6609"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87"/>
              <w:jc w:val="center"/>
            </w:pPr>
            <w:r>
              <w:rPr>
                <w:rFonts w:ascii="Arial" w:eastAsia="Arial" w:hAnsi="Arial" w:cs="Arial"/>
                <w:i/>
                <w:color w:val="0000FF"/>
                <w:sz w:val="20"/>
              </w:rPr>
              <w:t xml:space="preserve"> </w:t>
            </w:r>
          </w:p>
        </w:tc>
      </w:tr>
      <w:tr w:rsidR="006C145C">
        <w:trPr>
          <w:trHeight w:val="240"/>
        </w:trPr>
        <w:tc>
          <w:tcPr>
            <w:tcW w:w="2148"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92"/>
              <w:jc w:val="center"/>
            </w:pPr>
            <w:r>
              <w:rPr>
                <w:rFonts w:ascii="Arial" w:eastAsia="Arial" w:hAnsi="Arial" w:cs="Arial"/>
                <w:i/>
                <w:color w:val="FF0000"/>
                <w:sz w:val="20"/>
              </w:rPr>
              <w:t xml:space="preserve"> </w:t>
            </w:r>
          </w:p>
        </w:tc>
        <w:tc>
          <w:tcPr>
            <w:tcW w:w="6609"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87"/>
              <w:jc w:val="center"/>
            </w:pPr>
            <w:r>
              <w:rPr>
                <w:rFonts w:ascii="Arial" w:eastAsia="Arial" w:hAnsi="Arial" w:cs="Arial"/>
                <w:i/>
                <w:color w:val="0000FF"/>
                <w:sz w:val="20"/>
              </w:rPr>
              <w:t xml:space="preserve"> </w:t>
            </w:r>
          </w:p>
        </w:tc>
      </w:tr>
      <w:tr w:rsidR="006C145C">
        <w:trPr>
          <w:trHeight w:val="240"/>
        </w:trPr>
        <w:tc>
          <w:tcPr>
            <w:tcW w:w="2148"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92"/>
              <w:jc w:val="center"/>
            </w:pPr>
            <w:r>
              <w:rPr>
                <w:rFonts w:ascii="Arial" w:eastAsia="Arial" w:hAnsi="Arial" w:cs="Arial"/>
                <w:i/>
                <w:color w:val="FF0000"/>
                <w:sz w:val="20"/>
              </w:rPr>
              <w:t xml:space="preserve"> </w:t>
            </w:r>
          </w:p>
        </w:tc>
        <w:tc>
          <w:tcPr>
            <w:tcW w:w="6609"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87"/>
              <w:jc w:val="center"/>
            </w:pPr>
            <w:r>
              <w:rPr>
                <w:rFonts w:ascii="Arial" w:eastAsia="Arial" w:hAnsi="Arial" w:cs="Arial"/>
                <w:i/>
                <w:color w:val="0000FF"/>
                <w:sz w:val="20"/>
              </w:rPr>
              <w:t xml:space="preserve"> </w:t>
            </w:r>
          </w:p>
        </w:tc>
      </w:tr>
    </w:tbl>
    <w:p w:rsidR="006C145C" w:rsidRDefault="00C62E5A">
      <w:pPr>
        <w:spacing w:after="132"/>
      </w:pPr>
      <w:r>
        <w:rPr>
          <w:rFonts w:ascii="Arial" w:eastAsia="Arial" w:hAnsi="Arial" w:cs="Arial"/>
          <w:i/>
          <w:color w:val="FF0000"/>
          <w:sz w:val="20"/>
        </w:rPr>
        <w:lastRenderedPageBreak/>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503" w:line="249" w:lineRule="auto"/>
        <w:ind w:left="-5" w:right="57" w:hanging="10"/>
        <w:jc w:val="both"/>
      </w:pPr>
      <w:r>
        <w:rPr>
          <w:rFonts w:ascii="Arial" w:eastAsia="Arial" w:hAnsi="Arial" w:cs="Arial"/>
          <w:b/>
          <w:i/>
          <w:sz w:val="20"/>
        </w:rPr>
        <w:t>Nota Explicativa</w:t>
      </w:r>
      <w:r>
        <w:rPr>
          <w:rFonts w:ascii="Arial" w:eastAsia="Arial" w:hAnsi="Arial" w:cs="Arial"/>
          <w:i/>
          <w:sz w:val="20"/>
        </w:rPr>
        <w:t>: O órgão gerenciador, previamente à abertura do certame, deverá registrar sua Intenção de Registro de Preços – IRP, com prazo mínimo de oito dias úteis, no Portal de Compras do Governo federal antes de publicar o Edital, salvo no caso de sua dispensa just</w:t>
      </w:r>
      <w:r>
        <w:rPr>
          <w:rFonts w:ascii="Arial" w:eastAsia="Arial" w:hAnsi="Arial" w:cs="Arial"/>
          <w:i/>
          <w:sz w:val="20"/>
        </w:rPr>
        <w:t xml:space="preserve">ificada, nos termos dos artigos 4º ao 6º do Decreto n° 7.892, de 2013. Não havendo órgãos participantes, suprimir o subitem 3.2. </w:t>
      </w:r>
    </w:p>
    <w:p w:rsidR="006C145C" w:rsidRDefault="00C62E5A">
      <w:pPr>
        <w:numPr>
          <w:ilvl w:val="0"/>
          <w:numId w:val="44"/>
        </w:numPr>
        <w:spacing w:after="150" w:line="249" w:lineRule="auto"/>
        <w:ind w:right="37" w:hanging="360"/>
        <w:jc w:val="both"/>
      </w:pPr>
      <w:r>
        <w:rPr>
          <w:rFonts w:ascii="Arial" w:eastAsia="Arial" w:hAnsi="Arial" w:cs="Arial"/>
          <w:b/>
          <w:sz w:val="20"/>
        </w:rPr>
        <w:t xml:space="preserve">DA ADESÃO À ATA DE REGISTRO DE PREÇOS </w:t>
      </w:r>
      <w:r>
        <w:rPr>
          <w:rFonts w:ascii="Arial" w:eastAsia="Arial" w:hAnsi="Arial" w:cs="Arial"/>
          <w:b/>
          <w:i/>
          <w:color w:val="FF0000"/>
          <w:sz w:val="20"/>
        </w:rPr>
        <w:t xml:space="preserve">(item obrigatório) </w:t>
      </w:r>
    </w:p>
    <w:p w:rsidR="006C145C" w:rsidRDefault="00C62E5A">
      <w:pPr>
        <w:spacing w:after="130" w:line="270" w:lineRule="auto"/>
        <w:ind w:left="420" w:right="58" w:hanging="10"/>
        <w:jc w:val="both"/>
      </w:pPr>
      <w:r>
        <w:rPr>
          <w:rFonts w:ascii="Arial" w:eastAsia="Arial" w:hAnsi="Arial" w:cs="Arial"/>
          <w:i/>
          <w:color w:val="FF0000"/>
          <w:sz w:val="20"/>
        </w:rPr>
        <w:t>4.1    Não será admitida a adesão à ata de registro de preços decorr</w:t>
      </w:r>
      <w:r>
        <w:rPr>
          <w:rFonts w:ascii="Arial" w:eastAsia="Arial" w:hAnsi="Arial" w:cs="Arial"/>
          <w:i/>
          <w:color w:val="FF0000"/>
          <w:sz w:val="20"/>
        </w:rPr>
        <w:t xml:space="preserve">ente desta licitação. </w:t>
      </w:r>
    </w:p>
    <w:p w:rsidR="006C145C" w:rsidRDefault="00C62E5A">
      <w:pPr>
        <w:spacing w:after="0"/>
        <w:ind w:left="567"/>
      </w:pPr>
      <w:r>
        <w:rPr>
          <w:rFonts w:ascii="Arial" w:eastAsia="Arial" w:hAnsi="Arial" w:cs="Arial"/>
          <w:sz w:val="20"/>
        </w:rPr>
        <w:t xml:space="preserve"> </w:t>
      </w:r>
    </w:p>
    <w:p w:rsidR="006C145C" w:rsidRDefault="00C62E5A">
      <w:pPr>
        <w:pStyle w:val="Ttulo3"/>
        <w:spacing w:after="3"/>
        <w:ind w:left="577"/>
        <w:jc w:val="left"/>
      </w:pPr>
      <w:r>
        <w:rPr>
          <w:i/>
          <w:color w:val="FF0000"/>
          <w:u w:val="single" w:color="FF0000"/>
        </w:rPr>
        <w:t>OU</w:t>
      </w:r>
      <w:r>
        <w:rPr>
          <w:i/>
          <w:color w:val="FF0000"/>
        </w:rPr>
        <w:t xml:space="preserve"> </w:t>
      </w:r>
    </w:p>
    <w:p w:rsidR="006C145C" w:rsidRDefault="00C62E5A">
      <w:pPr>
        <w:spacing w:after="101"/>
        <w:ind w:left="567"/>
      </w:pPr>
      <w:r>
        <w:rPr>
          <w:rFonts w:ascii="Arial" w:eastAsia="Arial" w:hAnsi="Arial" w:cs="Arial"/>
          <w:sz w:val="20"/>
        </w:rPr>
        <w:t xml:space="preserve"> </w:t>
      </w:r>
    </w:p>
    <w:p w:rsidR="006C145C" w:rsidRDefault="00C62E5A">
      <w:pPr>
        <w:spacing w:after="130" w:line="270" w:lineRule="auto"/>
        <w:ind w:left="842" w:right="58" w:hanging="432"/>
        <w:jc w:val="both"/>
      </w:pPr>
      <w:r>
        <w:rPr>
          <w:rFonts w:ascii="Arial" w:eastAsia="Arial" w:hAnsi="Arial" w:cs="Arial"/>
          <w:i/>
          <w:color w:val="FF0000"/>
          <w:sz w:val="20"/>
        </w:rPr>
        <w:t>4.1. A ata de registro de preços, durante sua validade, poderá ser utilizada por qualquer órgão ou entidade da administração pública que não tenha participado do certame licitatório, mediante anuência do órgão gerenciador, de</w:t>
      </w:r>
      <w:r>
        <w:rPr>
          <w:rFonts w:ascii="Arial" w:eastAsia="Arial" w:hAnsi="Arial" w:cs="Arial"/>
          <w:i/>
          <w:color w:val="FF0000"/>
          <w:sz w:val="20"/>
        </w:rPr>
        <w:t xml:space="preserve">sde que devidamente justificada a vantagem e respeitadas, no que couber, as condições e as regras estabelecidas na Lei nº 8.666, de 1993 e no Decreto nº 7.892, de 2013. </w:t>
      </w:r>
    </w:p>
    <w:p w:rsidR="006C145C" w:rsidRDefault="00C62E5A">
      <w:pPr>
        <w:spacing w:after="130" w:line="270" w:lineRule="auto"/>
        <w:ind w:left="1224" w:right="58" w:hanging="504"/>
        <w:jc w:val="both"/>
      </w:pPr>
      <w:r>
        <w:rPr>
          <w:rFonts w:ascii="Arial" w:eastAsia="Arial" w:hAnsi="Arial" w:cs="Arial"/>
          <w:color w:val="FF0000"/>
          <w:sz w:val="20"/>
        </w:rPr>
        <w:t>4.1.1.</w:t>
      </w:r>
      <w:r>
        <w:rPr>
          <w:rFonts w:ascii="Arial" w:eastAsia="Arial" w:hAnsi="Arial" w:cs="Arial"/>
          <w:i/>
          <w:color w:val="FF0000"/>
          <w:sz w:val="20"/>
        </w:rPr>
        <w:t xml:space="preserve"> A manifestação do órgão gerenciador de que trata o subitem anterior, salvo para</w:t>
      </w:r>
      <w:r>
        <w:rPr>
          <w:rFonts w:ascii="Arial" w:eastAsia="Arial" w:hAnsi="Arial" w:cs="Arial"/>
          <w:i/>
          <w:color w:val="FF0000"/>
          <w:sz w:val="20"/>
        </w:rPr>
        <w:t xml:space="preserve"> adesões feitas por órgãos ou entidades de outras esferas federativas, fica condicionada à realização de estudo, pelos órgãos e pelas entidades que não participaram do registro de preços, que demonstre o ganho de eficiência, a viabilidade e a economicidade</w:t>
      </w:r>
      <w:r>
        <w:rPr>
          <w:rFonts w:ascii="Arial" w:eastAsia="Arial" w:hAnsi="Arial" w:cs="Arial"/>
          <w:i/>
          <w:color w:val="FF0000"/>
          <w:sz w:val="20"/>
        </w:rPr>
        <w:t xml:space="preserve"> para a administração pública federal da utilização da ata de registro de preços, conforme estabelecido em ato do Secretário de Gestão do Ministério do Planejamento, Desenvolvimento e Gestão </w:t>
      </w:r>
    </w:p>
    <w:p w:rsidR="006C145C" w:rsidRDefault="00C62E5A">
      <w:pPr>
        <w:spacing w:after="165"/>
        <w:ind w:left="425"/>
      </w:pPr>
      <w:r>
        <w:rPr>
          <w:rFonts w:ascii="Arial" w:eastAsia="Arial" w:hAnsi="Arial" w:cs="Arial"/>
          <w:i/>
          <w:color w:val="FF0000"/>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b/>
          <w:i/>
          <w:sz w:val="20"/>
        </w:rPr>
        <w:t>Nota explicativa</w:t>
      </w:r>
      <w:r>
        <w:rPr>
          <w:rFonts w:ascii="Arial" w:eastAsia="Arial" w:hAnsi="Arial" w:cs="Arial"/>
          <w:i/>
          <w:sz w:val="20"/>
        </w:rPr>
        <w:t xml:space="preserve">: De acordo com o art. 22, § 9º do Decreto nº 7.892, de 2013 é permitida a adesão à ata de registro de preços por órgãos ou entidades municipais, distritais ou estaduais. Note-se, porém, que “...a </w:t>
      </w:r>
      <w:r>
        <w:rPr>
          <w:rFonts w:ascii="Arial" w:eastAsia="Arial" w:hAnsi="Arial" w:cs="Arial"/>
          <w:i/>
          <w:sz w:val="20"/>
          <w:u w:val="single" w:color="000000"/>
        </w:rPr>
        <w:t>possibilidade de adesão para órgão não participante</w:t>
      </w:r>
      <w:r>
        <w:rPr>
          <w:rFonts w:ascii="Arial" w:eastAsia="Arial" w:hAnsi="Arial" w:cs="Arial"/>
          <w:i/>
          <w:sz w:val="20"/>
        </w:rPr>
        <w:t xml:space="preserve"> </w:t>
      </w:r>
      <w:r>
        <w:rPr>
          <w:rFonts w:ascii="Arial" w:eastAsia="Arial" w:hAnsi="Arial" w:cs="Arial"/>
          <w:i/>
          <w:sz w:val="20"/>
        </w:rPr>
        <w:t xml:space="preserve">(ou seja, que não participou dos procedimentos iniciais da licitação) </w:t>
      </w:r>
      <w:r>
        <w:rPr>
          <w:rFonts w:ascii="Arial" w:eastAsia="Arial" w:hAnsi="Arial" w:cs="Arial"/>
          <w:i/>
          <w:sz w:val="20"/>
          <w:u w:val="single" w:color="000000"/>
        </w:rPr>
        <w:t>não é uma obrigatoriedade</w:t>
      </w:r>
      <w:r>
        <w:rPr>
          <w:rFonts w:ascii="Arial" w:eastAsia="Arial" w:hAnsi="Arial" w:cs="Arial"/>
          <w:i/>
          <w:sz w:val="20"/>
        </w:rPr>
        <w:t xml:space="preserve"> a constar impensadamente em todos os editais de pregões para registro de preços, ... </w:t>
      </w:r>
      <w:r>
        <w:rPr>
          <w:rFonts w:ascii="Arial" w:eastAsia="Arial" w:hAnsi="Arial" w:cs="Arial"/>
          <w:i/>
          <w:sz w:val="20"/>
          <w:u w:val="single" w:color="000000"/>
        </w:rPr>
        <w:t>mas sim uma medida anômala e excepcional</w:t>
      </w:r>
      <w:r>
        <w:rPr>
          <w:rFonts w:ascii="Arial" w:eastAsia="Arial" w:hAnsi="Arial" w:cs="Arial"/>
          <w:i/>
          <w:sz w:val="20"/>
        </w:rPr>
        <w:t>, uma faculdade que deve ser exerci</w:t>
      </w:r>
      <w:r>
        <w:rPr>
          <w:rFonts w:ascii="Arial" w:eastAsia="Arial" w:hAnsi="Arial" w:cs="Arial"/>
          <w:i/>
          <w:sz w:val="20"/>
        </w:rPr>
        <w:t xml:space="preserve">da de forma devidamente motivada” (TCU, Ac. n. 757/2015 – Plenário – g.n.)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25" w:line="249" w:lineRule="auto"/>
        <w:ind w:left="-5" w:right="57" w:hanging="10"/>
        <w:jc w:val="both"/>
      </w:pPr>
      <w:r>
        <w:rPr>
          <w:rFonts w:ascii="Arial" w:eastAsia="Arial" w:hAnsi="Arial" w:cs="Arial"/>
          <w:i/>
          <w:sz w:val="20"/>
        </w:rPr>
        <w:t xml:space="preserve">Quanto ao subitem 4.1.1, ele só será exigível após a edição do ato normativo do Secretário de Gestão, devendo a Administração verificar se já houve a publicação de tal ato. </w:t>
      </w:r>
    </w:p>
    <w:p w:rsidR="006C145C" w:rsidRDefault="00C62E5A">
      <w:pPr>
        <w:spacing w:after="101"/>
      </w:pPr>
      <w:r>
        <w:rPr>
          <w:rFonts w:ascii="Arial" w:eastAsia="Arial" w:hAnsi="Arial" w:cs="Arial"/>
          <w:sz w:val="20"/>
        </w:rPr>
        <w:t xml:space="preserve"> </w:t>
      </w:r>
    </w:p>
    <w:p w:rsidR="006C145C" w:rsidRDefault="00C62E5A">
      <w:pPr>
        <w:spacing w:after="130" w:line="270" w:lineRule="auto"/>
        <w:ind w:left="842" w:right="58" w:hanging="432"/>
        <w:jc w:val="both"/>
      </w:pPr>
      <w:r>
        <w:rPr>
          <w:rFonts w:ascii="Arial" w:eastAsia="Arial" w:hAnsi="Arial" w:cs="Arial"/>
          <w:i/>
          <w:color w:val="FF0000"/>
          <w:sz w:val="20"/>
        </w:rPr>
        <w:t>4.2.</w:t>
      </w:r>
      <w:r>
        <w:rPr>
          <w:rFonts w:ascii="Arial" w:eastAsia="Arial" w:hAnsi="Arial" w:cs="Arial"/>
          <w:i/>
          <w:color w:val="FF0000"/>
          <w:sz w:val="20"/>
        </w:rPr>
        <w:t xml:space="preserve"> Caberá ao fornecedor beneficiário da Ata de Registro de Preços, observadas as condições nela estabelecidas, optar pela aceitação ou não do fornecimento, desde que este fornecimento não prejudique as obrigações anteriormente assumidas com o órgão gerenciad</w:t>
      </w:r>
      <w:r>
        <w:rPr>
          <w:rFonts w:ascii="Arial" w:eastAsia="Arial" w:hAnsi="Arial" w:cs="Arial"/>
          <w:i/>
          <w:color w:val="FF0000"/>
          <w:sz w:val="20"/>
        </w:rPr>
        <w:t xml:space="preserve">or e órgãos participantes.  </w:t>
      </w:r>
    </w:p>
    <w:p w:rsidR="006C145C" w:rsidRDefault="00C62E5A">
      <w:pPr>
        <w:spacing w:after="130" w:line="270" w:lineRule="auto"/>
        <w:ind w:left="842" w:right="58" w:hanging="432"/>
        <w:jc w:val="both"/>
      </w:pPr>
      <w:r>
        <w:rPr>
          <w:rFonts w:ascii="Arial" w:eastAsia="Arial" w:hAnsi="Arial" w:cs="Arial"/>
          <w:i/>
          <w:color w:val="FF0000"/>
          <w:sz w:val="20"/>
        </w:rPr>
        <w:t xml:space="preserve">4.3. As aquisições ou contratações adicionais a que se refere este item não poderão exceder, por órgão ou entidade, a... (máximo cinquenta) por cento dos quantitativos dos itens do instrumento convocatório e registrados na ata </w:t>
      </w:r>
      <w:r>
        <w:rPr>
          <w:rFonts w:ascii="Arial" w:eastAsia="Arial" w:hAnsi="Arial" w:cs="Arial"/>
          <w:i/>
          <w:color w:val="FF0000"/>
          <w:sz w:val="20"/>
        </w:rPr>
        <w:t xml:space="preserve">de registro de preços para o órgão gerenciador e órgãos participantes. </w:t>
      </w:r>
    </w:p>
    <w:p w:rsidR="006C145C" w:rsidRDefault="00C62E5A">
      <w:pPr>
        <w:spacing w:after="169" w:line="270" w:lineRule="auto"/>
        <w:ind w:left="842" w:right="58" w:hanging="432"/>
        <w:jc w:val="both"/>
      </w:pPr>
      <w:r>
        <w:rPr>
          <w:rFonts w:ascii="Arial" w:eastAsia="Arial" w:hAnsi="Arial" w:cs="Arial"/>
          <w:i/>
          <w:color w:val="FF0000"/>
          <w:sz w:val="20"/>
        </w:rPr>
        <w:t>4.4. As adesões à ata de registro de preços são limitadas, na totalidade, ao .............  (máximo dobro)..... do quantitativo de cada item registrado na ata de registro de preços par</w:t>
      </w:r>
      <w:r>
        <w:rPr>
          <w:rFonts w:ascii="Arial" w:eastAsia="Arial" w:hAnsi="Arial" w:cs="Arial"/>
          <w:i/>
          <w:color w:val="FF0000"/>
          <w:sz w:val="20"/>
        </w:rPr>
        <w:t xml:space="preserve">a o órgão gerenciador e órgãos participantes, independente do número de órgãos não participantes que eventualmente aderirem.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27" w:line="249" w:lineRule="auto"/>
        <w:ind w:left="-5" w:right="57" w:hanging="10"/>
        <w:jc w:val="both"/>
      </w:pPr>
      <w:r>
        <w:rPr>
          <w:rFonts w:ascii="Arial" w:eastAsia="Arial" w:hAnsi="Arial" w:cs="Arial"/>
          <w:b/>
          <w:i/>
          <w:sz w:val="20"/>
        </w:rPr>
        <w:t xml:space="preserve">Nota Explicativa: </w:t>
      </w:r>
      <w:r>
        <w:rPr>
          <w:rFonts w:ascii="Arial" w:eastAsia="Arial" w:hAnsi="Arial" w:cs="Arial"/>
          <w:i/>
          <w:sz w:val="20"/>
        </w:rPr>
        <w:t>No caso de compra nacional, entendida essa como sendo aquela “em que o órgão gerenciador conduz os procedimentos para registro de preços destinado à execução descentralizada de programa ou projeto federal, mediante prévia indicação da demanda pelos entes f</w:t>
      </w:r>
      <w:r>
        <w:rPr>
          <w:rFonts w:ascii="Arial" w:eastAsia="Arial" w:hAnsi="Arial" w:cs="Arial"/>
          <w:i/>
          <w:sz w:val="20"/>
        </w:rPr>
        <w:t xml:space="preserve">ederados beneficiados”, </w:t>
      </w:r>
      <w:r>
        <w:rPr>
          <w:rFonts w:ascii="Arial" w:eastAsia="Arial" w:hAnsi="Arial" w:cs="Arial"/>
          <w:i/>
          <w:sz w:val="20"/>
        </w:rPr>
        <w:lastRenderedPageBreak/>
        <w:t xml:space="preserve">o limite para adesões passa a ser cem por cento por órgão (subitem 4.3) e quíntuplo de cada item na totalidade (subitem 4.4), devendo haver, nesse caso, o ajuste dos dispositivos acima. </w:t>
      </w:r>
    </w:p>
    <w:p w:rsidR="006C145C" w:rsidRDefault="00C62E5A">
      <w:pPr>
        <w:spacing w:after="101"/>
      </w:pPr>
      <w:r>
        <w:rPr>
          <w:rFonts w:ascii="Arial" w:eastAsia="Arial" w:hAnsi="Arial" w:cs="Arial"/>
          <w:sz w:val="20"/>
        </w:rPr>
        <w:t xml:space="preserve"> </w:t>
      </w:r>
    </w:p>
    <w:p w:rsidR="006C145C" w:rsidRDefault="00C62E5A">
      <w:pPr>
        <w:spacing w:after="130" w:line="270" w:lineRule="auto"/>
        <w:ind w:left="1224" w:right="58" w:hanging="504"/>
        <w:jc w:val="both"/>
      </w:pPr>
      <w:r>
        <w:rPr>
          <w:rFonts w:ascii="Arial" w:eastAsia="Arial" w:hAnsi="Arial" w:cs="Arial"/>
          <w:color w:val="FF0000"/>
          <w:sz w:val="20"/>
        </w:rPr>
        <w:t xml:space="preserve">4.4.1. </w:t>
      </w:r>
      <w:r>
        <w:rPr>
          <w:rFonts w:ascii="Arial" w:eastAsia="Arial" w:hAnsi="Arial" w:cs="Arial"/>
          <w:i/>
          <w:color w:val="FF0000"/>
          <w:sz w:val="20"/>
        </w:rPr>
        <w:t>Tratando-se de item exclusivo para m</w:t>
      </w:r>
      <w:r>
        <w:rPr>
          <w:rFonts w:ascii="Arial" w:eastAsia="Arial" w:hAnsi="Arial" w:cs="Arial"/>
          <w:i/>
          <w:color w:val="FF0000"/>
          <w:sz w:val="20"/>
        </w:rPr>
        <w:t>icroempresas e empresas de pequeno porte e cooperativas enquadradas no artigo 34 da Lei n° 11.488, de 2007, o órgão gerenciador somente autorizará a adesão caso o valor da contratação pretendida pelo aderente, somado aos valores das contratações já previst</w:t>
      </w:r>
      <w:r>
        <w:rPr>
          <w:rFonts w:ascii="Arial" w:eastAsia="Arial" w:hAnsi="Arial" w:cs="Arial"/>
          <w:i/>
          <w:color w:val="FF0000"/>
          <w:sz w:val="20"/>
        </w:rPr>
        <w:t xml:space="preserve">as para o órgão gerenciador e participantes ou já destinadas à aderentes anteriores, não ultrapasse o limite de R$ 80.000,00 (oitenta mil reais) (Acórdão TCU nº 2957/2011 – P). </w:t>
      </w:r>
    </w:p>
    <w:p w:rsidR="006C145C" w:rsidRDefault="00C62E5A">
      <w:pPr>
        <w:spacing w:after="130" w:line="270" w:lineRule="auto"/>
        <w:ind w:left="842" w:right="58" w:hanging="432"/>
        <w:jc w:val="both"/>
      </w:pPr>
      <w:r>
        <w:rPr>
          <w:rFonts w:ascii="Arial" w:eastAsia="Arial" w:hAnsi="Arial" w:cs="Arial"/>
          <w:i/>
          <w:color w:val="FF0000"/>
          <w:sz w:val="20"/>
        </w:rPr>
        <w:t>4.5. Ao órgão não participante que aderir à ata competem os atos relativos à c</w:t>
      </w:r>
      <w:r>
        <w:rPr>
          <w:rFonts w:ascii="Arial" w:eastAsia="Arial" w:hAnsi="Arial" w:cs="Arial"/>
          <w:i/>
          <w:color w:val="FF0000"/>
          <w:sz w:val="20"/>
        </w:rPr>
        <w:t>obrança do cumprimento pelo fornecedor das obrigações contratualmente assumidas e a aplicação, observada a ampla defesa e o contraditório, de eventuais penalidades decorrentes do descumprimento de cláusulas contratuais, em relação as suas próprias contrata</w:t>
      </w:r>
      <w:r>
        <w:rPr>
          <w:rFonts w:ascii="Arial" w:eastAsia="Arial" w:hAnsi="Arial" w:cs="Arial"/>
          <w:i/>
          <w:color w:val="FF0000"/>
          <w:sz w:val="20"/>
        </w:rPr>
        <w:t xml:space="preserve">ções, informando as ocorrências ao órgão gerenciador. </w:t>
      </w:r>
    </w:p>
    <w:p w:rsidR="006C145C" w:rsidRDefault="00C62E5A">
      <w:pPr>
        <w:spacing w:after="130" w:line="270" w:lineRule="auto"/>
        <w:ind w:left="842" w:right="58" w:hanging="432"/>
        <w:jc w:val="both"/>
      </w:pPr>
      <w:r>
        <w:rPr>
          <w:rFonts w:ascii="Arial" w:eastAsia="Arial" w:hAnsi="Arial" w:cs="Arial"/>
          <w:i/>
          <w:color w:val="FF0000"/>
          <w:sz w:val="20"/>
        </w:rPr>
        <w:t xml:space="preserve">4.6. Após a autorização do órgão gerenciador, o órgão não participante deverá efetivar a contratação solicitada em até noventa dias, observado o prazo de validade da Ata de Registro de Preços. </w:t>
      </w:r>
    </w:p>
    <w:p w:rsidR="006C145C" w:rsidRDefault="00C62E5A">
      <w:pPr>
        <w:spacing w:after="154" w:line="270" w:lineRule="auto"/>
        <w:ind w:left="1224" w:right="58" w:hanging="504"/>
        <w:jc w:val="both"/>
      </w:pPr>
      <w:r>
        <w:rPr>
          <w:rFonts w:ascii="Arial" w:eastAsia="Arial" w:hAnsi="Arial" w:cs="Arial"/>
          <w:color w:val="FF0000"/>
          <w:sz w:val="20"/>
        </w:rPr>
        <w:t xml:space="preserve">4.6.1. </w:t>
      </w:r>
      <w:r>
        <w:rPr>
          <w:rFonts w:ascii="Arial" w:eastAsia="Arial" w:hAnsi="Arial" w:cs="Arial"/>
          <w:i/>
          <w:color w:val="FF0000"/>
          <w:sz w:val="20"/>
        </w:rPr>
        <w:t xml:space="preserve">Caberá ao órgão gerenciador autorizar, excepcional e justificadamente, a prorrogação do prazo para efetivação da contratação, respeitado o prazo de vigência da ata, desde que solicitada pelo órgão não participante.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502" w:line="249" w:lineRule="auto"/>
        <w:ind w:left="-5" w:right="57" w:hanging="10"/>
        <w:jc w:val="both"/>
      </w:pPr>
      <w:r>
        <w:rPr>
          <w:rFonts w:ascii="Arial" w:eastAsia="Arial" w:hAnsi="Arial" w:cs="Arial"/>
          <w:b/>
          <w:i/>
          <w:sz w:val="20"/>
        </w:rPr>
        <w:t xml:space="preserve">Nota Explicativa: </w:t>
      </w:r>
      <w:r>
        <w:rPr>
          <w:rFonts w:ascii="Arial" w:eastAsia="Arial" w:hAnsi="Arial" w:cs="Arial"/>
          <w:i/>
          <w:sz w:val="20"/>
        </w:rPr>
        <w:t>No caso de contratação de serviços de tecnologia da informação e comunicação, que não esteja vinculada ao fornecimento de bens de tecnologia da informação e comunicação constante da mesma ata de registro de preços; a adesão só será possível se a ata for ge</w:t>
      </w:r>
      <w:r>
        <w:rPr>
          <w:rFonts w:ascii="Arial" w:eastAsia="Arial" w:hAnsi="Arial" w:cs="Arial"/>
          <w:i/>
          <w:sz w:val="20"/>
        </w:rPr>
        <w:t xml:space="preserve">renciada pelo Ministério do Planejamento, Desenvolvimento e Gestão ou tiver sido previamente aprovada pela Secretaria de Tecnologia da Informação e Comunicação do referido Ministério. </w:t>
      </w:r>
    </w:p>
    <w:p w:rsidR="006C145C" w:rsidRDefault="00C62E5A">
      <w:pPr>
        <w:pStyle w:val="Ttulo4"/>
        <w:ind w:left="7" w:right="37"/>
      </w:pPr>
      <w:r>
        <w:t xml:space="preserve">5. VALIDADE DA ATA  </w:t>
      </w:r>
    </w:p>
    <w:p w:rsidR="006C145C" w:rsidRDefault="00C62E5A">
      <w:pPr>
        <w:spacing w:after="154" w:line="270" w:lineRule="auto"/>
        <w:ind w:left="433" w:right="54" w:hanging="8"/>
        <w:jc w:val="both"/>
      </w:pPr>
      <w:r>
        <w:rPr>
          <w:rFonts w:ascii="Arial" w:eastAsia="Arial" w:hAnsi="Arial" w:cs="Arial"/>
          <w:sz w:val="20"/>
        </w:rPr>
        <w:t xml:space="preserve">5.1. A validade da Ata de Registro de Preços será </w:t>
      </w:r>
      <w:r>
        <w:rPr>
          <w:rFonts w:ascii="Arial" w:eastAsia="Arial" w:hAnsi="Arial" w:cs="Arial"/>
          <w:sz w:val="20"/>
        </w:rPr>
        <w:t xml:space="preserve">de 12 meses, a partir do(a)................................, não podendo ser prorrogada.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502" w:line="249" w:lineRule="auto"/>
        <w:ind w:left="-5" w:right="57" w:hanging="10"/>
        <w:jc w:val="both"/>
      </w:pPr>
      <w:r>
        <w:rPr>
          <w:rFonts w:ascii="Arial" w:eastAsia="Arial" w:hAnsi="Arial" w:cs="Arial"/>
          <w:b/>
          <w:i/>
          <w:sz w:val="20"/>
        </w:rPr>
        <w:t>Nota Explicativa</w:t>
      </w:r>
      <w:r>
        <w:rPr>
          <w:rFonts w:ascii="Arial" w:eastAsia="Arial" w:hAnsi="Arial" w:cs="Arial"/>
          <w:i/>
          <w:sz w:val="20"/>
        </w:rPr>
        <w:t>: A Ata de Registro de Preços pode ter sua validade fixada por prazo inferior a 12 (doze) meses, podendo ou não ser prorrogada, a critério da Administ</w:t>
      </w:r>
      <w:r>
        <w:rPr>
          <w:rFonts w:ascii="Arial" w:eastAsia="Arial" w:hAnsi="Arial" w:cs="Arial"/>
          <w:i/>
          <w:sz w:val="20"/>
        </w:rPr>
        <w:t xml:space="preserve">ração, respeitado, contudo, o prazo total de 12 (doze) meses (art. 12 do Decreto nº 7.892/13). </w:t>
      </w:r>
    </w:p>
    <w:p w:rsidR="006C145C" w:rsidRDefault="00C62E5A">
      <w:pPr>
        <w:pStyle w:val="Ttulo4"/>
        <w:ind w:left="7" w:right="37"/>
      </w:pPr>
      <w:r>
        <w:t xml:space="preserve">6. REVISÃO E CANCELAMENTO  </w:t>
      </w:r>
    </w:p>
    <w:p w:rsidR="006C145C" w:rsidRDefault="00C62E5A">
      <w:pPr>
        <w:spacing w:after="151" w:line="270" w:lineRule="auto"/>
        <w:ind w:left="433" w:right="54" w:hanging="8"/>
        <w:jc w:val="both"/>
      </w:pPr>
      <w:r>
        <w:rPr>
          <w:rFonts w:ascii="Arial" w:eastAsia="Arial" w:hAnsi="Arial" w:cs="Arial"/>
          <w:sz w:val="20"/>
        </w:rPr>
        <w:t xml:space="preserve">6.1. A Administração realizará pesquisa de mercado periodicamente, em intervalos não superiores a 180 (cento e oitenta) dias, a fim </w:t>
      </w:r>
      <w:r>
        <w:rPr>
          <w:rFonts w:ascii="Arial" w:eastAsia="Arial" w:hAnsi="Arial" w:cs="Arial"/>
          <w:sz w:val="20"/>
        </w:rPr>
        <w:t xml:space="preserve">de verificar a vantajosidade dos preços registrados nesta Ata. </w:t>
      </w:r>
    </w:p>
    <w:p w:rsidR="006C145C" w:rsidRDefault="00C62E5A">
      <w:pPr>
        <w:pBdr>
          <w:top w:val="single" w:sz="4" w:space="0" w:color="1F497D"/>
          <w:left w:val="single" w:sz="4" w:space="0" w:color="1F497D"/>
          <w:right w:val="single" w:sz="4" w:space="0" w:color="1F497D"/>
        </w:pBdr>
        <w:shd w:val="clear" w:color="auto" w:fill="FFFFCC"/>
        <w:spacing w:after="144" w:line="250" w:lineRule="auto"/>
        <w:ind w:left="-5" w:right="51" w:hanging="10"/>
        <w:jc w:val="both"/>
      </w:pPr>
      <w:r>
        <w:rPr>
          <w:rFonts w:ascii="Arial" w:eastAsia="Arial" w:hAnsi="Arial" w:cs="Arial"/>
          <w:b/>
          <w:i/>
          <w:sz w:val="20"/>
        </w:rPr>
        <w:t>Nota explicativa</w:t>
      </w:r>
      <w:r>
        <w:rPr>
          <w:rFonts w:ascii="Arial" w:eastAsia="Arial" w:hAnsi="Arial" w:cs="Arial"/>
          <w:i/>
          <w:sz w:val="20"/>
        </w:rPr>
        <w:t>: Considerando o disposto no art. 9º, XI do Decreto n. 7.892, de 2013, bem como a regra do art. 2º, §4º da IN SLTI/MPOG n. 05, de 2014, o prazo de 180 (cento e oitenta) dias de</w:t>
      </w:r>
      <w:r>
        <w:rPr>
          <w:rFonts w:ascii="Arial" w:eastAsia="Arial" w:hAnsi="Arial" w:cs="Arial"/>
          <w:i/>
          <w:sz w:val="20"/>
        </w:rPr>
        <w:t xml:space="preserve">ve ser considerado como o intervalo máximo entre pesquisas de preços, observando-se que a situação em concreto pode determinar a diminuição desse intervalo. </w:t>
      </w:r>
    </w:p>
    <w:p w:rsidR="006C145C" w:rsidRDefault="00C62E5A">
      <w:pPr>
        <w:spacing w:after="129" w:line="270" w:lineRule="auto"/>
        <w:ind w:left="433" w:right="54" w:hanging="8"/>
        <w:jc w:val="both"/>
      </w:pPr>
      <w:r>
        <w:rPr>
          <w:rFonts w:ascii="Arial" w:eastAsia="Arial" w:hAnsi="Arial" w:cs="Arial"/>
          <w:sz w:val="20"/>
        </w:rPr>
        <w:t xml:space="preserve">6.2. </w:t>
      </w:r>
      <w:r>
        <w:rPr>
          <w:rFonts w:ascii="Arial" w:eastAsia="Arial" w:hAnsi="Arial" w:cs="Arial"/>
          <w:sz w:val="20"/>
        </w:rPr>
        <w:t xml:space="preserve">Os preços registrados poderão ser revistos em decorrência de eventual redução dos preços praticados no mercado ou de fato que eleve o custo do objeto registrado, cabendo à Administração promover as negociações junto ao(s) fornecedor(es). </w:t>
      </w:r>
    </w:p>
    <w:p w:rsidR="006C145C" w:rsidRDefault="00C62E5A">
      <w:pPr>
        <w:spacing w:after="129" w:line="270" w:lineRule="auto"/>
        <w:ind w:left="433" w:right="54" w:hanging="8"/>
        <w:jc w:val="both"/>
      </w:pPr>
      <w:r>
        <w:rPr>
          <w:rFonts w:ascii="Arial" w:eastAsia="Arial" w:hAnsi="Arial" w:cs="Arial"/>
          <w:sz w:val="20"/>
        </w:rPr>
        <w:t>6.3. Quando o pre</w:t>
      </w:r>
      <w:r>
        <w:rPr>
          <w:rFonts w:ascii="Arial" w:eastAsia="Arial" w:hAnsi="Arial" w:cs="Arial"/>
          <w:sz w:val="20"/>
        </w:rPr>
        <w:t xml:space="preserve">ço registrado tornar-se superior ao preço praticado no mercado por motivo superveniente, a Administração convocará o(s) fornecedor(es) para negociar(em) a redução dos preços aos valores praticados pelo mercado. </w:t>
      </w:r>
    </w:p>
    <w:p w:rsidR="006C145C" w:rsidRDefault="00C62E5A">
      <w:pPr>
        <w:spacing w:after="129" w:line="270" w:lineRule="auto"/>
        <w:ind w:left="433" w:right="54" w:hanging="8"/>
        <w:jc w:val="both"/>
      </w:pPr>
      <w:r>
        <w:rPr>
          <w:rFonts w:ascii="Arial" w:eastAsia="Arial" w:hAnsi="Arial" w:cs="Arial"/>
          <w:sz w:val="20"/>
        </w:rPr>
        <w:t>6.4. O fornecedor que não aceitar reduzir se</w:t>
      </w:r>
      <w:r>
        <w:rPr>
          <w:rFonts w:ascii="Arial" w:eastAsia="Arial" w:hAnsi="Arial" w:cs="Arial"/>
          <w:sz w:val="20"/>
        </w:rPr>
        <w:t xml:space="preserve">u preço ao valor praticado pelo mercado será liberado do compromisso assumido, sem aplicação de penalidade. </w:t>
      </w:r>
    </w:p>
    <w:p w:rsidR="006C145C" w:rsidRDefault="00C62E5A">
      <w:pPr>
        <w:spacing w:after="154" w:line="270" w:lineRule="auto"/>
        <w:ind w:left="1143" w:right="58" w:hanging="10"/>
        <w:jc w:val="both"/>
      </w:pPr>
      <w:r>
        <w:rPr>
          <w:rFonts w:ascii="Arial" w:eastAsia="Arial" w:hAnsi="Arial" w:cs="Arial"/>
          <w:color w:val="FF0000"/>
          <w:sz w:val="20"/>
        </w:rPr>
        <w:lastRenderedPageBreak/>
        <w:t xml:space="preserve">6.4.1. </w:t>
      </w:r>
      <w:r>
        <w:rPr>
          <w:rFonts w:ascii="Arial" w:eastAsia="Arial" w:hAnsi="Arial" w:cs="Arial"/>
          <w:color w:val="FF0000"/>
          <w:sz w:val="20"/>
        </w:rPr>
        <w:tab/>
      </w:r>
      <w:r>
        <w:rPr>
          <w:rFonts w:ascii="Arial" w:eastAsia="Arial" w:hAnsi="Arial" w:cs="Arial"/>
          <w:i/>
          <w:color w:val="FF0000"/>
          <w:sz w:val="20"/>
        </w:rPr>
        <w:t xml:space="preserve">A ordem de classificação dos fornecedores que aceitarem reduzir seus preços aos valores de mercado observará a classificação original.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7" w:line="249" w:lineRule="auto"/>
        <w:ind w:left="-5" w:right="57" w:hanging="10"/>
        <w:jc w:val="both"/>
      </w:pPr>
      <w:r>
        <w:rPr>
          <w:rFonts w:ascii="Arial" w:eastAsia="Arial" w:hAnsi="Arial" w:cs="Arial"/>
          <w:b/>
          <w:i/>
          <w:sz w:val="20"/>
        </w:rPr>
        <w:t>Not</w:t>
      </w:r>
      <w:r>
        <w:rPr>
          <w:rFonts w:ascii="Arial" w:eastAsia="Arial" w:hAnsi="Arial" w:cs="Arial"/>
          <w:b/>
          <w:i/>
          <w:sz w:val="20"/>
        </w:rPr>
        <w:t>a Explicativa</w:t>
      </w:r>
      <w:r>
        <w:rPr>
          <w:rFonts w:ascii="Arial" w:eastAsia="Arial" w:hAnsi="Arial" w:cs="Arial"/>
          <w:i/>
          <w:sz w:val="20"/>
        </w:rPr>
        <w:t xml:space="preserve">: Suprimir o item quando inexistirem outros fornecedores classificados  registrados na ata. </w:t>
      </w:r>
    </w:p>
    <w:p w:rsidR="006C145C" w:rsidRDefault="00C62E5A">
      <w:pPr>
        <w:spacing w:after="129" w:line="270" w:lineRule="auto"/>
        <w:ind w:left="433" w:right="54" w:hanging="8"/>
        <w:jc w:val="both"/>
      </w:pPr>
      <w:r>
        <w:rPr>
          <w:rFonts w:ascii="Arial" w:eastAsia="Arial" w:hAnsi="Arial" w:cs="Arial"/>
          <w:sz w:val="20"/>
        </w:rPr>
        <w:t xml:space="preserve">6.5. Quando o preço de mercado tornar-se superior aos preços registrados e o fornecedor não puder cumprir o compromisso, o órgão gerenciador poderá: </w:t>
      </w:r>
    </w:p>
    <w:p w:rsidR="006C145C" w:rsidRDefault="00C62E5A">
      <w:pPr>
        <w:spacing w:after="129" w:line="270" w:lineRule="auto"/>
        <w:ind w:left="1141" w:right="54" w:hanging="8"/>
        <w:jc w:val="both"/>
      </w:pPr>
      <w:r>
        <w:rPr>
          <w:rFonts w:ascii="Arial" w:eastAsia="Arial" w:hAnsi="Arial" w:cs="Arial"/>
          <w:sz w:val="20"/>
        </w:rPr>
        <w:t xml:space="preserve">6.5.1. liberar o fornecedor do compromisso assumido, caso a comunicação ocorra antes do pedido de fornecimento, e sem aplicação da penalidade se confirmada a veracidade dos motivos e comprovantes apresentados; e </w:t>
      </w:r>
    </w:p>
    <w:p w:rsidR="006C145C" w:rsidRDefault="00C62E5A">
      <w:pPr>
        <w:spacing w:after="129" w:line="270" w:lineRule="auto"/>
        <w:ind w:left="1141" w:right="54" w:hanging="8"/>
        <w:jc w:val="both"/>
      </w:pPr>
      <w:r>
        <w:rPr>
          <w:rFonts w:ascii="Arial" w:eastAsia="Arial" w:hAnsi="Arial" w:cs="Arial"/>
          <w:sz w:val="20"/>
        </w:rPr>
        <w:t xml:space="preserve">6.5.2. </w:t>
      </w:r>
      <w:r>
        <w:rPr>
          <w:rFonts w:ascii="Arial" w:eastAsia="Arial" w:hAnsi="Arial" w:cs="Arial"/>
          <w:sz w:val="20"/>
        </w:rPr>
        <w:tab/>
        <w:t>convocar os demais fornecedores par</w:t>
      </w:r>
      <w:r>
        <w:rPr>
          <w:rFonts w:ascii="Arial" w:eastAsia="Arial" w:hAnsi="Arial" w:cs="Arial"/>
          <w:sz w:val="20"/>
        </w:rPr>
        <w:t xml:space="preserve">a assegurar igual oportunidade de negociação. </w:t>
      </w:r>
    </w:p>
    <w:p w:rsidR="006C145C" w:rsidRDefault="00C62E5A">
      <w:pPr>
        <w:spacing w:after="129" w:line="270" w:lineRule="auto"/>
        <w:ind w:left="433" w:right="54" w:hanging="8"/>
        <w:jc w:val="both"/>
      </w:pPr>
      <w:r>
        <w:rPr>
          <w:rFonts w:ascii="Arial" w:eastAsia="Arial" w:hAnsi="Arial" w:cs="Arial"/>
          <w:sz w:val="20"/>
        </w:rPr>
        <w:t xml:space="preserve">6.6. Não havendo êxito nas negociações, o órgão gerenciador deverá proceder à revogação desta ata de registro de preços, adotando as medidas cabíveis para obtenção da contratação mais vantajosa. </w:t>
      </w:r>
    </w:p>
    <w:p w:rsidR="006C145C" w:rsidRDefault="00C62E5A">
      <w:pPr>
        <w:tabs>
          <w:tab w:val="center" w:pos="3140"/>
        </w:tabs>
        <w:spacing w:after="129" w:line="270" w:lineRule="auto"/>
      </w:pPr>
      <w:r>
        <w:rPr>
          <w:rFonts w:ascii="Arial" w:eastAsia="Arial" w:hAnsi="Arial" w:cs="Arial"/>
          <w:sz w:val="20"/>
        </w:rPr>
        <w:t xml:space="preserve">6.7. </w:t>
      </w:r>
      <w:r>
        <w:rPr>
          <w:rFonts w:ascii="Arial" w:eastAsia="Arial" w:hAnsi="Arial" w:cs="Arial"/>
          <w:sz w:val="20"/>
        </w:rPr>
        <w:tab/>
      </w:r>
      <w:r>
        <w:rPr>
          <w:rFonts w:ascii="Arial" w:eastAsia="Arial" w:hAnsi="Arial" w:cs="Arial"/>
          <w:sz w:val="20"/>
        </w:rPr>
        <w:t xml:space="preserve">O registro do fornecedor será cancelado quando: </w:t>
      </w:r>
    </w:p>
    <w:p w:rsidR="006C145C" w:rsidRDefault="00C62E5A">
      <w:pPr>
        <w:tabs>
          <w:tab w:val="center" w:pos="929"/>
          <w:tab w:val="center" w:pos="4074"/>
        </w:tabs>
        <w:spacing w:after="129" w:line="270" w:lineRule="auto"/>
      </w:pPr>
      <w:r>
        <w:tab/>
      </w:r>
      <w:r>
        <w:rPr>
          <w:rFonts w:ascii="Arial" w:eastAsia="Arial" w:hAnsi="Arial" w:cs="Arial"/>
          <w:sz w:val="20"/>
        </w:rPr>
        <w:t xml:space="preserve">6.7.1. </w:t>
      </w:r>
      <w:r>
        <w:rPr>
          <w:rFonts w:ascii="Arial" w:eastAsia="Arial" w:hAnsi="Arial" w:cs="Arial"/>
          <w:sz w:val="20"/>
        </w:rPr>
        <w:tab/>
        <w:t xml:space="preserve">descumprir as condições da ata de registro de preços; </w:t>
      </w:r>
    </w:p>
    <w:p w:rsidR="006C145C" w:rsidRDefault="00C62E5A">
      <w:pPr>
        <w:tabs>
          <w:tab w:val="center" w:pos="929"/>
          <w:tab w:val="center" w:pos="5140"/>
        </w:tabs>
        <w:spacing w:after="14" w:line="270" w:lineRule="auto"/>
      </w:pPr>
      <w:r>
        <w:tab/>
      </w:r>
      <w:r>
        <w:rPr>
          <w:rFonts w:ascii="Arial" w:eastAsia="Arial" w:hAnsi="Arial" w:cs="Arial"/>
          <w:sz w:val="20"/>
        </w:rPr>
        <w:t xml:space="preserve">6.7.2. </w:t>
      </w:r>
      <w:r>
        <w:rPr>
          <w:rFonts w:ascii="Arial" w:eastAsia="Arial" w:hAnsi="Arial" w:cs="Arial"/>
          <w:sz w:val="20"/>
        </w:rPr>
        <w:tab/>
        <w:t xml:space="preserve">não retirar a nota de empenho ou instrumento equivalente no prazo </w:t>
      </w:r>
    </w:p>
    <w:p w:rsidR="006C145C" w:rsidRDefault="00C62E5A">
      <w:pPr>
        <w:spacing w:after="129" w:line="270" w:lineRule="auto"/>
        <w:ind w:left="1141" w:right="54" w:hanging="8"/>
        <w:jc w:val="both"/>
      </w:pPr>
      <w:r>
        <w:rPr>
          <w:rFonts w:ascii="Arial" w:eastAsia="Arial" w:hAnsi="Arial" w:cs="Arial"/>
          <w:sz w:val="20"/>
        </w:rPr>
        <w:t xml:space="preserve">estabelecido pela Administração, sem justificativa aceitável; </w:t>
      </w:r>
    </w:p>
    <w:p w:rsidR="006C145C" w:rsidRDefault="00C62E5A">
      <w:pPr>
        <w:spacing w:after="129" w:line="270" w:lineRule="auto"/>
        <w:ind w:left="1141" w:right="54" w:hanging="8"/>
        <w:jc w:val="both"/>
      </w:pPr>
      <w:r>
        <w:rPr>
          <w:rFonts w:ascii="Arial" w:eastAsia="Arial" w:hAnsi="Arial" w:cs="Arial"/>
          <w:sz w:val="20"/>
        </w:rPr>
        <w:t xml:space="preserve">6.7.3. não aceitar reduzir o seu preço registrado, na hipótese deste se tornar superior àqueles praticados no mercado; ou </w:t>
      </w:r>
    </w:p>
    <w:p w:rsidR="006C145C" w:rsidRDefault="00C62E5A">
      <w:pPr>
        <w:spacing w:after="129" w:line="270" w:lineRule="auto"/>
        <w:ind w:left="1141" w:right="54" w:hanging="8"/>
        <w:jc w:val="both"/>
      </w:pPr>
      <w:r>
        <w:rPr>
          <w:rFonts w:ascii="Arial" w:eastAsia="Arial" w:hAnsi="Arial" w:cs="Arial"/>
          <w:sz w:val="20"/>
        </w:rPr>
        <w:t xml:space="preserve">6.7.4. sofrer sanção administrativa cujo efeito torne-o proibido de celebrar contrato administrativo, alcançando o órgão gerenciador </w:t>
      </w:r>
      <w:r>
        <w:rPr>
          <w:rFonts w:ascii="Arial" w:eastAsia="Arial" w:hAnsi="Arial" w:cs="Arial"/>
          <w:sz w:val="20"/>
        </w:rPr>
        <w:t xml:space="preserve">e órgão(s) participante(s). </w:t>
      </w:r>
    </w:p>
    <w:p w:rsidR="006C145C" w:rsidRDefault="00C62E5A">
      <w:pPr>
        <w:spacing w:after="129" w:line="270" w:lineRule="auto"/>
        <w:ind w:left="433" w:right="54" w:hanging="8"/>
        <w:jc w:val="both"/>
      </w:pPr>
      <w:r>
        <w:rPr>
          <w:rFonts w:ascii="Arial" w:eastAsia="Arial" w:hAnsi="Arial" w:cs="Arial"/>
          <w:sz w:val="20"/>
        </w:rPr>
        <w:t xml:space="preserve">6.8. O cancelamento de registros nas hipóteses previstas nos itens 5.6.1, 5.6.2 e 5.6.4 será formalizado por despacho do órgão gerenciador, assegurado o contraditório e a ampla defesa. </w:t>
      </w:r>
    </w:p>
    <w:p w:rsidR="006C145C" w:rsidRDefault="00C62E5A">
      <w:pPr>
        <w:spacing w:after="129" w:line="270" w:lineRule="auto"/>
        <w:ind w:left="433" w:right="54" w:hanging="8"/>
        <w:jc w:val="both"/>
      </w:pPr>
      <w:r>
        <w:rPr>
          <w:rFonts w:ascii="Arial" w:eastAsia="Arial" w:hAnsi="Arial" w:cs="Arial"/>
          <w:sz w:val="20"/>
        </w:rPr>
        <w:t>6.9. O cancelamento do registro de preços</w:t>
      </w:r>
      <w:r>
        <w:rPr>
          <w:rFonts w:ascii="Arial" w:eastAsia="Arial" w:hAnsi="Arial" w:cs="Arial"/>
          <w:sz w:val="20"/>
        </w:rPr>
        <w:t xml:space="preserve"> poderá ocorrer por fato superveniente, decorrente de caso fortuito ou força maior, que prejudique o cumprimento da ata, devidamente comprovados e justificados: </w:t>
      </w:r>
    </w:p>
    <w:p w:rsidR="006C145C" w:rsidRDefault="00C62E5A">
      <w:pPr>
        <w:tabs>
          <w:tab w:val="center" w:pos="929"/>
          <w:tab w:val="center" w:pos="3175"/>
        </w:tabs>
        <w:spacing w:after="129" w:line="270" w:lineRule="auto"/>
      </w:pPr>
      <w:r>
        <w:tab/>
      </w:r>
      <w:r>
        <w:rPr>
          <w:rFonts w:ascii="Arial" w:eastAsia="Arial" w:hAnsi="Arial" w:cs="Arial"/>
          <w:sz w:val="20"/>
        </w:rPr>
        <w:t xml:space="preserve">6.9.1. </w:t>
      </w:r>
      <w:r>
        <w:rPr>
          <w:rFonts w:ascii="Arial" w:eastAsia="Arial" w:hAnsi="Arial" w:cs="Arial"/>
          <w:sz w:val="20"/>
        </w:rPr>
        <w:tab/>
        <w:t xml:space="preserve">por razão de interesse público; ou </w:t>
      </w:r>
    </w:p>
    <w:p w:rsidR="006C145C" w:rsidRDefault="00C62E5A">
      <w:pPr>
        <w:tabs>
          <w:tab w:val="center" w:pos="929"/>
          <w:tab w:val="center" w:pos="2724"/>
        </w:tabs>
        <w:spacing w:after="494" w:line="270" w:lineRule="auto"/>
      </w:pPr>
      <w:r>
        <w:tab/>
      </w:r>
      <w:r>
        <w:rPr>
          <w:rFonts w:ascii="Arial" w:eastAsia="Arial" w:hAnsi="Arial" w:cs="Arial"/>
          <w:sz w:val="20"/>
        </w:rPr>
        <w:t xml:space="preserve">6.9.2. </w:t>
      </w:r>
      <w:r>
        <w:rPr>
          <w:rFonts w:ascii="Arial" w:eastAsia="Arial" w:hAnsi="Arial" w:cs="Arial"/>
          <w:sz w:val="20"/>
        </w:rPr>
        <w:tab/>
        <w:t xml:space="preserve">a pedido do fornecedor. </w:t>
      </w:r>
      <w:r>
        <w:rPr>
          <w:rFonts w:ascii="Arial" w:eastAsia="Arial" w:hAnsi="Arial" w:cs="Arial"/>
          <w:i/>
          <w:sz w:val="20"/>
        </w:rPr>
        <w:t xml:space="preserve"> </w:t>
      </w:r>
    </w:p>
    <w:p w:rsidR="006C145C" w:rsidRDefault="00C62E5A">
      <w:pPr>
        <w:pStyle w:val="Ttulo4"/>
        <w:ind w:left="7" w:right="37"/>
      </w:pPr>
      <w:r>
        <w:t>7. DAS PENALID</w:t>
      </w:r>
      <w:r>
        <w:t xml:space="preserve">ADES </w:t>
      </w:r>
    </w:p>
    <w:p w:rsidR="006C145C" w:rsidRDefault="00C62E5A">
      <w:pPr>
        <w:spacing w:after="129" w:line="270" w:lineRule="auto"/>
        <w:ind w:left="433" w:right="54" w:hanging="8"/>
        <w:jc w:val="both"/>
      </w:pPr>
      <w:r>
        <w:rPr>
          <w:rFonts w:ascii="Arial" w:eastAsia="Arial" w:hAnsi="Arial" w:cs="Arial"/>
          <w:sz w:val="20"/>
        </w:rPr>
        <w:t xml:space="preserve">7.1. O descumprimento da Ata de Registro de Preços ensejará aplicação das penalidades estabelecidas no Edital. </w:t>
      </w:r>
    </w:p>
    <w:p w:rsidR="006C145C" w:rsidRDefault="00C62E5A">
      <w:pPr>
        <w:spacing w:after="129" w:line="270" w:lineRule="auto"/>
        <w:ind w:left="433" w:right="54" w:hanging="8"/>
        <w:jc w:val="both"/>
      </w:pPr>
      <w:r>
        <w:rPr>
          <w:rFonts w:ascii="Arial" w:eastAsia="Arial" w:hAnsi="Arial" w:cs="Arial"/>
          <w:sz w:val="20"/>
        </w:rPr>
        <w:t xml:space="preserve">7.2. É da competência do órgão gerenciador a aplicação das penalidades decorrentes do descumprimento do pactuado nesta ata de registro de </w:t>
      </w:r>
      <w:r>
        <w:rPr>
          <w:rFonts w:ascii="Arial" w:eastAsia="Arial" w:hAnsi="Arial" w:cs="Arial"/>
          <w:sz w:val="20"/>
        </w:rPr>
        <w:t>preço (art. 5º, inciso X, do Decreto nº 7.892/2013), exceto nas hipóteses em que o descumprimento disser respeito às contratações dos órgãos participantes, caso no qual caberá ao respectivo órgão participante a aplicação da penalidade (art. 6º, Parágrafo ú</w:t>
      </w:r>
      <w:r>
        <w:rPr>
          <w:rFonts w:ascii="Arial" w:eastAsia="Arial" w:hAnsi="Arial" w:cs="Arial"/>
          <w:sz w:val="20"/>
        </w:rPr>
        <w:t xml:space="preserve">nico, do Decreto nº 7.892/2013). </w:t>
      </w:r>
    </w:p>
    <w:p w:rsidR="006C145C" w:rsidRDefault="00C62E5A">
      <w:pPr>
        <w:spacing w:after="483" w:line="270" w:lineRule="auto"/>
        <w:ind w:left="433" w:right="54" w:hanging="8"/>
        <w:jc w:val="both"/>
      </w:pPr>
      <w:r>
        <w:rPr>
          <w:rFonts w:ascii="Arial" w:eastAsia="Arial" w:hAnsi="Arial" w:cs="Arial"/>
          <w:sz w:val="20"/>
        </w:rPr>
        <w:t>7.3. O órgão participante deverá comunicar ao órgão gerenciador qualquer das ocorrências previstas no art. 20 do Decreto nº 7.892/2013, dada a necessidade de instauração de procedimento para cancelamento do registro do for</w:t>
      </w:r>
      <w:r>
        <w:rPr>
          <w:rFonts w:ascii="Arial" w:eastAsia="Arial" w:hAnsi="Arial" w:cs="Arial"/>
          <w:sz w:val="20"/>
        </w:rPr>
        <w:t xml:space="preserve">necedor. </w:t>
      </w:r>
    </w:p>
    <w:p w:rsidR="006C145C" w:rsidRDefault="00C62E5A">
      <w:pPr>
        <w:pStyle w:val="Ttulo4"/>
        <w:ind w:left="7" w:right="37"/>
      </w:pPr>
      <w:r>
        <w:lastRenderedPageBreak/>
        <w:t xml:space="preserve">8. CONDIÇÕES GERAIS </w:t>
      </w:r>
    </w:p>
    <w:p w:rsidR="006C145C" w:rsidRDefault="00C62E5A">
      <w:pPr>
        <w:spacing w:after="129" w:line="270" w:lineRule="auto"/>
        <w:ind w:left="433" w:right="54" w:hanging="8"/>
        <w:jc w:val="both"/>
      </w:pPr>
      <w:r>
        <w:rPr>
          <w:rFonts w:ascii="Arial" w:eastAsia="Arial" w:hAnsi="Arial" w:cs="Arial"/>
          <w:sz w:val="20"/>
        </w:rPr>
        <w:t>8.1. As condições gerais do fornecimento, tais como os prazos para entrega e recebimento do objeto, as obrigações da Administração e do fornecedor registrado, penalidades e demais condições do ajuste, encontram-se definidos n</w:t>
      </w:r>
      <w:r>
        <w:rPr>
          <w:rFonts w:ascii="Arial" w:eastAsia="Arial" w:hAnsi="Arial" w:cs="Arial"/>
          <w:sz w:val="20"/>
        </w:rPr>
        <w:t xml:space="preserve">o Termo de Referência, ANEXO AO EDITAL. </w:t>
      </w:r>
    </w:p>
    <w:p w:rsidR="006C145C" w:rsidRDefault="00C62E5A">
      <w:pPr>
        <w:spacing w:after="151" w:line="270" w:lineRule="auto"/>
        <w:ind w:left="433" w:right="54" w:hanging="8"/>
        <w:jc w:val="both"/>
      </w:pPr>
      <w:r>
        <w:rPr>
          <w:rFonts w:ascii="Arial" w:eastAsia="Arial" w:hAnsi="Arial" w:cs="Arial"/>
          <w:sz w:val="20"/>
        </w:rPr>
        <w:t>8.2. É vedado efetuar acréscimos nos quantitativos fixados nesta ata de registro de preços, inclusive o acréscimo de que trata o § 1º do art. 65 da Lei nº 8.666/93, nos termos do art. 12, §1º do Decreto nº 7.892/13.</w:t>
      </w:r>
      <w:r>
        <w:rPr>
          <w:rFonts w:ascii="Arial" w:eastAsia="Arial" w:hAnsi="Arial" w:cs="Arial"/>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24" w:line="249" w:lineRule="auto"/>
        <w:ind w:left="-5" w:right="57" w:hanging="10"/>
        <w:jc w:val="both"/>
      </w:pPr>
      <w:r>
        <w:rPr>
          <w:rFonts w:ascii="Arial" w:eastAsia="Arial" w:hAnsi="Arial" w:cs="Arial"/>
          <w:b/>
          <w:i/>
          <w:sz w:val="20"/>
        </w:rPr>
        <w:t>Nota explicativa</w:t>
      </w:r>
      <w:r>
        <w:rPr>
          <w:rFonts w:ascii="Arial" w:eastAsia="Arial" w:hAnsi="Arial" w:cs="Arial"/>
          <w:i/>
          <w:sz w:val="20"/>
        </w:rPr>
        <w:t>: O Decreto n. 7.892/2013, não veda a celebração de termo aditivo contratual para o acréscimo dos quantitativos contratados. Entretanto, a Ata se diferencia do contrato por ser “...documento vinculativo, obrigacional, com característica d</w:t>
      </w:r>
      <w:r>
        <w:rPr>
          <w:rFonts w:ascii="Arial" w:eastAsia="Arial" w:hAnsi="Arial" w:cs="Arial"/>
          <w:i/>
          <w:sz w:val="20"/>
        </w:rPr>
        <w:t xml:space="preserve">e </w:t>
      </w:r>
      <w:r>
        <w:rPr>
          <w:rFonts w:ascii="Arial" w:eastAsia="Arial" w:hAnsi="Arial" w:cs="Arial"/>
          <w:b/>
          <w:i/>
          <w:sz w:val="20"/>
        </w:rPr>
        <w:t>compromisso para futura contratação</w:t>
      </w:r>
      <w:r>
        <w:rPr>
          <w:rFonts w:ascii="Arial" w:eastAsia="Arial" w:hAnsi="Arial" w:cs="Arial"/>
          <w:i/>
          <w:sz w:val="20"/>
        </w:rPr>
        <w:t>, onde se registram os preços, fornecedores, órgãos participantes e condições a serem praticadas, conforme as disposições contidas no instrumento convocatório e propostas apresentadas” (TCU, Acórdão n° 531/2007, Plenári</w:t>
      </w:r>
      <w:r>
        <w:rPr>
          <w:rFonts w:ascii="Arial" w:eastAsia="Arial" w:hAnsi="Arial" w:cs="Arial"/>
          <w:i/>
          <w:sz w:val="20"/>
        </w:rPr>
        <w:t xml:space="preserve">o, Rel. Min. Ubiratan Aguiar, DOU de 10.04.2007). Por essa razão, não é possível o aditamento dos quantitativos da Ata de Registro de Preços, mas sim, apenas, dos contratos firmados. </w:t>
      </w:r>
    </w:p>
    <w:p w:rsidR="006C145C" w:rsidRDefault="00C62E5A">
      <w:pPr>
        <w:spacing w:after="101"/>
      </w:pPr>
      <w:r>
        <w:rPr>
          <w:rFonts w:ascii="Arial" w:eastAsia="Arial" w:hAnsi="Arial" w:cs="Arial"/>
          <w:sz w:val="20"/>
        </w:rPr>
        <w:t xml:space="preserve"> </w:t>
      </w:r>
    </w:p>
    <w:p w:rsidR="006C145C" w:rsidRDefault="00C62E5A">
      <w:pPr>
        <w:spacing w:after="130" w:line="270" w:lineRule="auto"/>
        <w:ind w:left="420" w:right="58" w:hanging="10"/>
        <w:jc w:val="both"/>
      </w:pPr>
      <w:r>
        <w:rPr>
          <w:rFonts w:ascii="Arial" w:eastAsia="Arial" w:hAnsi="Arial" w:cs="Arial"/>
          <w:i/>
          <w:color w:val="FF0000"/>
          <w:sz w:val="20"/>
        </w:rPr>
        <w:t>8.3. No caso de adjudicação por preço global de grupo de itens, só ser</w:t>
      </w:r>
      <w:r>
        <w:rPr>
          <w:rFonts w:ascii="Arial" w:eastAsia="Arial" w:hAnsi="Arial" w:cs="Arial"/>
          <w:i/>
          <w:color w:val="FF0000"/>
          <w:sz w:val="20"/>
        </w:rPr>
        <w:t xml:space="preserve">á admitida a contratação dos itens nas seguintes hipóteses. </w:t>
      </w:r>
    </w:p>
    <w:p w:rsidR="006C145C" w:rsidRDefault="00C62E5A">
      <w:pPr>
        <w:spacing w:after="130" w:line="270" w:lineRule="auto"/>
        <w:ind w:left="1224" w:right="58" w:hanging="504"/>
        <w:jc w:val="both"/>
      </w:pPr>
      <w:r>
        <w:rPr>
          <w:rFonts w:ascii="Arial" w:eastAsia="Arial" w:hAnsi="Arial" w:cs="Arial"/>
          <w:color w:val="FF0000"/>
          <w:sz w:val="20"/>
        </w:rPr>
        <w:t>8.3.1.</w:t>
      </w:r>
      <w:r>
        <w:rPr>
          <w:rFonts w:ascii="Arial" w:eastAsia="Arial" w:hAnsi="Arial" w:cs="Arial"/>
          <w:i/>
          <w:color w:val="FF0000"/>
          <w:sz w:val="20"/>
        </w:rPr>
        <w:t xml:space="preserve"> contratação da totalidade dos itens de grupo, respeitadas as proporções de quantitativos definidos no certame; ou </w:t>
      </w:r>
    </w:p>
    <w:p w:rsidR="006C145C" w:rsidRDefault="00C62E5A">
      <w:pPr>
        <w:spacing w:after="155" w:line="270" w:lineRule="auto"/>
        <w:ind w:left="1224" w:right="58" w:hanging="504"/>
        <w:jc w:val="both"/>
      </w:pPr>
      <w:r>
        <w:rPr>
          <w:rFonts w:ascii="Arial" w:eastAsia="Arial" w:hAnsi="Arial" w:cs="Arial"/>
          <w:color w:val="FF0000"/>
          <w:sz w:val="20"/>
        </w:rPr>
        <w:t>8.3.2.</w:t>
      </w:r>
      <w:r>
        <w:rPr>
          <w:rFonts w:ascii="Arial" w:eastAsia="Arial" w:hAnsi="Arial" w:cs="Arial"/>
          <w:i/>
          <w:color w:val="FF0000"/>
          <w:sz w:val="20"/>
        </w:rPr>
        <w:t xml:space="preserve"> contratação de item isolado para o qual o preço unitário adjudicad</w:t>
      </w:r>
      <w:r>
        <w:rPr>
          <w:rFonts w:ascii="Arial" w:eastAsia="Arial" w:hAnsi="Arial" w:cs="Arial"/>
          <w:i/>
          <w:color w:val="FF0000"/>
          <w:sz w:val="20"/>
        </w:rPr>
        <w:t xml:space="preserve">o ao vencedor seja o menor preço válido ofertado para o mesmo item na fase de lances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5" w:line="250" w:lineRule="auto"/>
        <w:ind w:left="-5" w:right="52" w:hanging="10"/>
        <w:jc w:val="both"/>
      </w:pPr>
      <w:r>
        <w:rPr>
          <w:rFonts w:ascii="Arial" w:eastAsia="Arial" w:hAnsi="Arial" w:cs="Arial"/>
          <w:b/>
          <w:sz w:val="20"/>
        </w:rPr>
        <w:t>Nota Explicativa:</w:t>
      </w:r>
      <w:r>
        <w:rPr>
          <w:rFonts w:ascii="Arial" w:eastAsia="Arial" w:hAnsi="Arial" w:cs="Arial"/>
          <w:sz w:val="20"/>
        </w:rPr>
        <w:t xml:space="preserve"> </w:t>
      </w:r>
      <w:r>
        <w:rPr>
          <w:rFonts w:ascii="Arial" w:eastAsia="Arial" w:hAnsi="Arial" w:cs="Arial"/>
          <w:sz w:val="20"/>
        </w:rPr>
        <w:t xml:space="preserve">Utilizar o subitem acima no caso de licitações por registro de preços com mais de um item, que utilize a modelagem de aquisição por preço global de grupo de itens, </w:t>
      </w:r>
      <w:r>
        <w:rPr>
          <w:rFonts w:ascii="Arial" w:eastAsia="Arial" w:hAnsi="Arial" w:cs="Arial"/>
          <w:b/>
          <w:sz w:val="20"/>
        </w:rPr>
        <w:t>salvo quando, justificadamente, ficar demonstrado pela área demandante no Termo de Referênci</w:t>
      </w:r>
      <w:r>
        <w:rPr>
          <w:rFonts w:ascii="Arial" w:eastAsia="Arial" w:hAnsi="Arial" w:cs="Arial"/>
          <w:b/>
          <w:sz w:val="20"/>
        </w:rPr>
        <w:t>a, de forma expressa, que é inexequível ou inviável, dentro do modelo de execução do contrato, a demanda proporcional ou total de todos os itens do respectivo grupo</w:t>
      </w:r>
      <w:r>
        <w:rPr>
          <w:rFonts w:ascii="Arial" w:eastAsia="Arial" w:hAnsi="Arial" w:cs="Arial"/>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1" w:line="250" w:lineRule="auto"/>
        <w:ind w:left="-5" w:right="52" w:hanging="10"/>
        <w:jc w:val="both"/>
      </w:pPr>
      <w:r>
        <w:rPr>
          <w:rFonts w:ascii="Arial" w:eastAsia="Arial" w:hAnsi="Arial" w:cs="Arial"/>
          <w:sz w:val="20"/>
        </w:rPr>
        <w:t xml:space="preserve">Nesse sentido, atentar para a seguinte orientação da Secretaria de Gestão: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1" w:line="250" w:lineRule="auto"/>
        <w:ind w:left="-5" w:right="52" w:hanging="10"/>
        <w:jc w:val="both"/>
      </w:pPr>
      <w:r>
        <w:rPr>
          <w:rFonts w:ascii="Arial" w:eastAsia="Arial" w:hAnsi="Arial" w:cs="Arial"/>
          <w:sz w:val="20"/>
        </w:rPr>
        <w:t xml:space="preserve">A Secretaria </w:t>
      </w:r>
      <w:r>
        <w:rPr>
          <w:rFonts w:ascii="Arial" w:eastAsia="Arial" w:hAnsi="Arial" w:cs="Arial"/>
          <w:sz w:val="20"/>
        </w:rPr>
        <w:t>de Gestão do Ministério do Planejamento, Desenvolvimento e Gestão (SEGES/MP), em atenção aos Acórdãos 2.977/2012-TCU-Plenário, 2.695/2013-TCU-Plenário, 343/2014-TCU-Plenário, 4.205/2014-TCU-1ª Câmara, 757/2015-TCU-Plenário, 588/2016-TCU-Plenário, 2.901/201</w:t>
      </w:r>
      <w:r>
        <w:rPr>
          <w:rFonts w:ascii="Arial" w:eastAsia="Arial" w:hAnsi="Arial" w:cs="Arial"/>
          <w:sz w:val="20"/>
        </w:rPr>
        <w:t xml:space="preserve">6-TCUPlenário e 3.081/2016-TCU-Plenário orienta os órgãos e entidades integrantes do Sistema de Serviços Gerais (Sisg) que: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1" w:line="250" w:lineRule="auto"/>
        <w:ind w:left="-5" w:right="52" w:hanging="10"/>
        <w:jc w:val="both"/>
      </w:pPr>
      <w:r>
        <w:rPr>
          <w:rFonts w:ascii="Arial" w:eastAsia="Arial" w:hAnsi="Arial" w:cs="Arial"/>
          <w:sz w:val="20"/>
        </w:rPr>
        <w:t>No âmbito das licitações realizadas sob a modelagem de aquisição por preço global de grupo de itens, somente será admitida as segui</w:t>
      </w:r>
      <w:r>
        <w:rPr>
          <w:rFonts w:ascii="Arial" w:eastAsia="Arial" w:hAnsi="Arial" w:cs="Arial"/>
          <w:sz w:val="20"/>
        </w:rPr>
        <w:t xml:space="preserve">ntes hipóteses: </w:t>
      </w:r>
    </w:p>
    <w:p w:rsidR="006C145C" w:rsidRDefault="00C62E5A">
      <w:pPr>
        <w:numPr>
          <w:ilvl w:val="0"/>
          <w:numId w:val="45"/>
        </w:numPr>
        <w:pBdr>
          <w:top w:val="single" w:sz="4" w:space="0" w:color="1F497D"/>
          <w:left w:val="single" w:sz="4" w:space="0" w:color="1F497D"/>
          <w:bottom w:val="single" w:sz="4" w:space="0" w:color="1F497D"/>
          <w:right w:val="single" w:sz="4" w:space="0" w:color="1F497D"/>
        </w:pBdr>
        <w:shd w:val="clear" w:color="auto" w:fill="FFFFCC"/>
        <w:spacing w:after="111" w:line="250" w:lineRule="auto"/>
        <w:ind w:left="-5" w:right="52" w:hanging="10"/>
        <w:jc w:val="both"/>
      </w:pPr>
      <w:r>
        <w:rPr>
          <w:rFonts w:ascii="Arial" w:eastAsia="Arial" w:hAnsi="Arial" w:cs="Arial"/>
          <w:sz w:val="20"/>
        </w:rPr>
        <w:t xml:space="preserve">aquisição da totalidade dos itens de grupo, respeitadas as proporções de quantitativos definidos no certame; ou </w:t>
      </w:r>
    </w:p>
    <w:p w:rsidR="006C145C" w:rsidRDefault="00C62E5A">
      <w:pPr>
        <w:numPr>
          <w:ilvl w:val="0"/>
          <w:numId w:val="45"/>
        </w:numPr>
        <w:pBdr>
          <w:top w:val="single" w:sz="4" w:space="0" w:color="1F497D"/>
          <w:left w:val="single" w:sz="4" w:space="0" w:color="1F497D"/>
          <w:bottom w:val="single" w:sz="4" w:space="0" w:color="1F497D"/>
          <w:right w:val="single" w:sz="4" w:space="0" w:color="1F497D"/>
        </w:pBdr>
        <w:shd w:val="clear" w:color="auto" w:fill="FFFFCC"/>
        <w:spacing w:after="111" w:line="250" w:lineRule="auto"/>
        <w:ind w:left="-5" w:right="52" w:hanging="10"/>
        <w:jc w:val="both"/>
      </w:pPr>
      <w:r>
        <w:rPr>
          <w:rFonts w:ascii="Arial" w:eastAsia="Arial" w:hAnsi="Arial" w:cs="Arial"/>
          <w:sz w:val="20"/>
        </w:rPr>
        <w:t xml:space="preserve">aquisição de item isolado para o qual o preço unitário adjudicado ao vencedor seja o menor preço válido ofertado para o mesmo item na fase de lances.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39" w:line="250" w:lineRule="auto"/>
        <w:ind w:left="-5" w:right="52" w:hanging="10"/>
        <w:jc w:val="both"/>
      </w:pPr>
      <w:r>
        <w:rPr>
          <w:rFonts w:ascii="Arial" w:eastAsia="Arial" w:hAnsi="Arial" w:cs="Arial"/>
          <w:sz w:val="20"/>
        </w:rPr>
        <w:t>Constitui irregularidade a aquisição (emissão de empenho) de item de grupo adjudicado por preço global, de forma isolada, quando o preço unitário adjudicado ao vencedor do lote não for o menor lance válido ofertado na disputa relativo ao item, salvo quando</w:t>
      </w:r>
      <w:r>
        <w:rPr>
          <w:rFonts w:ascii="Arial" w:eastAsia="Arial" w:hAnsi="Arial" w:cs="Arial"/>
          <w:sz w:val="20"/>
        </w:rPr>
        <w:t>, justificadamente, ficar demonstrado que é inexequível ou inviável, dentro do modelo de execução do contrato, a demanda proporcional ou total de todos os itens do respectivo grupo.</w:t>
      </w:r>
      <w:r>
        <w:rPr>
          <w:rFonts w:ascii="Arial" w:eastAsia="Arial" w:hAnsi="Arial" w:cs="Arial"/>
          <w:i/>
          <w:sz w:val="20"/>
        </w:rPr>
        <w:t xml:space="preserve"> </w:t>
      </w:r>
    </w:p>
    <w:p w:rsidR="006C145C" w:rsidRDefault="00C62E5A">
      <w:pPr>
        <w:spacing w:after="248" w:line="270" w:lineRule="auto"/>
        <w:ind w:left="420" w:right="58" w:hanging="10"/>
        <w:jc w:val="both"/>
      </w:pPr>
      <w:r>
        <w:rPr>
          <w:rFonts w:ascii="Arial" w:eastAsia="Arial" w:hAnsi="Arial" w:cs="Arial"/>
          <w:i/>
          <w:color w:val="FF0000"/>
          <w:sz w:val="20"/>
        </w:rPr>
        <w:t xml:space="preserve">8.4. A ata de realização da sessão pública do pregão, contendo a relação </w:t>
      </w:r>
      <w:r>
        <w:rPr>
          <w:rFonts w:ascii="Arial" w:eastAsia="Arial" w:hAnsi="Arial" w:cs="Arial"/>
          <w:i/>
          <w:color w:val="FF0000"/>
          <w:sz w:val="20"/>
        </w:rPr>
        <w:t xml:space="preserve">dos licitantes que aceitarem cotar os bens ou serviços com preços iguais ao do licitante vencedor do certame, será anexada a esta Ata de Registro de Preços, nos termos do art. 11, §4º do Decreto n. 7.892, de 2013.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sz w:val="20"/>
        </w:rPr>
        <w:lastRenderedPageBreak/>
        <w:t xml:space="preserve">Para firmeza e validade do pactuado, a </w:t>
      </w:r>
      <w:r>
        <w:rPr>
          <w:rFonts w:ascii="Arial" w:eastAsia="Arial" w:hAnsi="Arial" w:cs="Arial"/>
          <w:sz w:val="20"/>
        </w:rPr>
        <w:t xml:space="preserve">presente Ata foi lavrada em .... (....) vias de igual teor, que, depois de lida e achada em ordem, vai assinada pelas partes </w:t>
      </w:r>
      <w:r>
        <w:rPr>
          <w:rFonts w:ascii="Arial" w:eastAsia="Arial" w:hAnsi="Arial" w:cs="Arial"/>
          <w:i/>
          <w:color w:val="FF0000"/>
          <w:sz w:val="20"/>
        </w:rPr>
        <w:t xml:space="preserve">e encaminhada cópia aos demais órgãos participantes (se houver).  </w:t>
      </w:r>
    </w:p>
    <w:p w:rsidR="006C145C" w:rsidRDefault="00C62E5A">
      <w:pPr>
        <w:spacing w:after="0"/>
      </w:pPr>
      <w:r>
        <w:rPr>
          <w:rFonts w:ascii="Arial" w:eastAsia="Arial" w:hAnsi="Arial" w:cs="Arial"/>
          <w:i/>
          <w:color w:val="FF0000"/>
          <w:sz w:val="20"/>
        </w:rPr>
        <w:t xml:space="preserve"> </w:t>
      </w:r>
    </w:p>
    <w:p w:rsidR="006C145C" w:rsidRDefault="00C62E5A">
      <w:pPr>
        <w:spacing w:after="0"/>
      </w:pPr>
      <w:r>
        <w:rPr>
          <w:rFonts w:ascii="Arial" w:eastAsia="Arial" w:hAnsi="Arial" w:cs="Arial"/>
          <w:i/>
          <w:color w:val="FF0000"/>
          <w:sz w:val="20"/>
        </w:rPr>
        <w:t xml:space="preserve"> </w:t>
      </w:r>
    </w:p>
    <w:p w:rsidR="006C145C" w:rsidRDefault="00C62E5A">
      <w:pPr>
        <w:spacing w:after="0"/>
      </w:pPr>
      <w:r>
        <w:rPr>
          <w:rFonts w:ascii="Arial" w:eastAsia="Arial" w:hAnsi="Arial" w:cs="Arial"/>
          <w:i/>
          <w:sz w:val="20"/>
        </w:rPr>
        <w:t xml:space="preserve"> </w:t>
      </w:r>
    </w:p>
    <w:p w:rsidR="006C145C" w:rsidRDefault="00C62E5A">
      <w:pPr>
        <w:spacing w:after="2" w:line="254" w:lineRule="auto"/>
        <w:ind w:left="311" w:right="340" w:hanging="10"/>
        <w:jc w:val="center"/>
      </w:pPr>
      <w:r>
        <w:rPr>
          <w:rFonts w:ascii="Arial" w:eastAsia="Arial" w:hAnsi="Arial" w:cs="Arial"/>
          <w:sz w:val="20"/>
        </w:rPr>
        <w:t xml:space="preserve">Local e data </w:t>
      </w:r>
    </w:p>
    <w:p w:rsidR="006C145C" w:rsidRDefault="00C62E5A">
      <w:pPr>
        <w:spacing w:after="2" w:line="254" w:lineRule="auto"/>
        <w:ind w:left="311" w:right="342" w:hanging="10"/>
        <w:jc w:val="center"/>
      </w:pPr>
      <w:r>
        <w:rPr>
          <w:rFonts w:ascii="Arial" w:eastAsia="Arial" w:hAnsi="Arial" w:cs="Arial"/>
          <w:sz w:val="20"/>
        </w:rPr>
        <w:t xml:space="preserve">Assinaturas </w:t>
      </w:r>
    </w:p>
    <w:p w:rsidR="006C145C" w:rsidRDefault="00C62E5A">
      <w:pPr>
        <w:spacing w:after="0"/>
        <w:ind w:left="18"/>
        <w:jc w:val="center"/>
      </w:pPr>
      <w:r>
        <w:rPr>
          <w:rFonts w:ascii="Arial" w:eastAsia="Arial" w:hAnsi="Arial" w:cs="Arial"/>
          <w:sz w:val="20"/>
        </w:rPr>
        <w:t xml:space="preserve"> </w:t>
      </w:r>
    </w:p>
    <w:p w:rsidR="006C145C" w:rsidRDefault="00C62E5A">
      <w:pPr>
        <w:spacing w:after="0"/>
        <w:ind w:left="18"/>
        <w:jc w:val="center"/>
      </w:pPr>
      <w:r>
        <w:rPr>
          <w:rFonts w:ascii="Arial" w:eastAsia="Arial" w:hAnsi="Arial" w:cs="Arial"/>
          <w:sz w:val="20"/>
        </w:rPr>
        <w:t xml:space="preserve"> </w:t>
      </w:r>
    </w:p>
    <w:p w:rsidR="006C145C" w:rsidRDefault="00C62E5A">
      <w:pPr>
        <w:spacing w:after="2" w:line="254" w:lineRule="auto"/>
        <w:ind w:left="311" w:right="301" w:hanging="10"/>
        <w:jc w:val="center"/>
      </w:pPr>
      <w:r>
        <w:rPr>
          <w:rFonts w:ascii="Arial" w:eastAsia="Arial" w:hAnsi="Arial" w:cs="Arial"/>
          <w:sz w:val="20"/>
        </w:rPr>
        <w:t>Representante legal do órgão gerenciador e representante(s) legal(is) do(s) fornecedor(es) registrado(s)</w:t>
      </w:r>
      <w:r>
        <w:rPr>
          <w:rFonts w:ascii="Arial" w:eastAsia="Arial" w:hAnsi="Arial" w:cs="Arial"/>
          <w:color w:val="FF00FF"/>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r>
        <w:rPr>
          <w:rFonts w:ascii="Arial" w:eastAsia="Arial" w:hAnsi="Arial" w:cs="Arial"/>
          <w:sz w:val="20"/>
        </w:rPr>
        <w:tab/>
        <w:t xml:space="preserve"> </w:t>
      </w:r>
      <w:r>
        <w:br w:type="page"/>
      </w:r>
    </w:p>
    <w:p w:rsidR="006C145C" w:rsidRDefault="00C62E5A">
      <w:pPr>
        <w:pStyle w:val="Ttulo2"/>
        <w:ind w:left="10" w:right="64"/>
      </w:pPr>
      <w:r>
        <w:lastRenderedPageBreak/>
        <w:t xml:space="preserve">ANEXO III – MINUTA TERMO DE CONTRATO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tbl>
      <w:tblPr>
        <w:tblStyle w:val="TableGrid"/>
        <w:tblW w:w="9297" w:type="dxa"/>
        <w:tblInd w:w="-112" w:type="dxa"/>
        <w:tblCellMar>
          <w:top w:w="30" w:type="dxa"/>
          <w:left w:w="112" w:type="dxa"/>
          <w:bottom w:w="0" w:type="dxa"/>
          <w:right w:w="56" w:type="dxa"/>
        </w:tblCellMar>
        <w:tblLook w:val="04A0" w:firstRow="1" w:lastRow="0" w:firstColumn="1" w:lastColumn="0" w:noHBand="0" w:noVBand="1"/>
      </w:tblPr>
      <w:tblGrid>
        <w:gridCol w:w="9297"/>
      </w:tblGrid>
      <w:tr w:rsidR="006C145C">
        <w:trPr>
          <w:trHeight w:val="6401"/>
        </w:trPr>
        <w:tc>
          <w:tcPr>
            <w:tcW w:w="9297" w:type="dxa"/>
            <w:tcBorders>
              <w:top w:val="single" w:sz="4" w:space="0" w:color="1F497D"/>
              <w:left w:val="single" w:sz="4" w:space="0" w:color="1F497D"/>
              <w:bottom w:val="single" w:sz="4" w:space="0" w:color="1F497D"/>
              <w:right w:val="single" w:sz="4" w:space="0" w:color="1F497D"/>
            </w:tcBorders>
            <w:shd w:val="clear" w:color="auto" w:fill="FFFFCC"/>
          </w:tcPr>
          <w:p w:rsidR="006C145C" w:rsidRDefault="00C62E5A">
            <w:pPr>
              <w:spacing w:after="101"/>
              <w:ind w:right="61"/>
              <w:jc w:val="center"/>
            </w:pPr>
            <w:r>
              <w:rPr>
                <w:rFonts w:ascii="Arial" w:eastAsia="Arial" w:hAnsi="Arial" w:cs="Arial"/>
                <w:b/>
                <w:i/>
                <w:sz w:val="20"/>
              </w:rPr>
              <w:t xml:space="preserve">NOTAS EXPLICATIVAS </w:t>
            </w:r>
          </w:p>
          <w:p w:rsidR="006C145C" w:rsidRDefault="00C62E5A">
            <w:pPr>
              <w:spacing w:after="120" w:line="241" w:lineRule="auto"/>
              <w:ind w:right="56"/>
              <w:jc w:val="both"/>
            </w:pPr>
            <w:r>
              <w:rPr>
                <w:rFonts w:ascii="Arial" w:eastAsia="Arial" w:hAnsi="Arial" w:cs="Arial"/>
                <w:i/>
                <w:sz w:val="20"/>
              </w:rPr>
              <w:t>Os itens deste modelo de Termo de Contrato, destacados em vermelho itálico, dev</w:t>
            </w:r>
            <w:r>
              <w:rPr>
                <w:rFonts w:ascii="Arial" w:eastAsia="Arial" w:hAnsi="Arial" w:cs="Arial"/>
                <w:i/>
                <w:sz w:val="20"/>
              </w:rPr>
              <w:t>em ser preenchidos ou adotados pelo órgão ou entidade pública licitante, de acordo com as peculiaridades do objeto da licitação e critérios de oportunidade e conveniência, cuidando-se para que sejam reproduzidas as mesmas definições dos demais instrumentos</w:t>
            </w:r>
            <w:r>
              <w:rPr>
                <w:rFonts w:ascii="Arial" w:eastAsia="Arial" w:hAnsi="Arial" w:cs="Arial"/>
                <w:i/>
                <w:sz w:val="20"/>
              </w:rPr>
              <w:t xml:space="preserve"> da licitação, para que não conflitem. </w:t>
            </w:r>
          </w:p>
          <w:p w:rsidR="006C145C" w:rsidRDefault="00C62E5A">
            <w:pPr>
              <w:spacing w:after="121" w:line="240" w:lineRule="auto"/>
              <w:ind w:right="69"/>
              <w:jc w:val="both"/>
            </w:pPr>
            <w:r>
              <w:rPr>
                <w:rFonts w:ascii="Arial" w:eastAsia="Arial" w:hAnsi="Arial" w:cs="Arial"/>
                <w:i/>
                <w:sz w:val="20"/>
              </w:rPr>
              <w:t>Alguns itens receberão notas explicativas destacadas para compreensão do agente ou setor responsável pela elaboração das minutas referentes à licitação, que deverão ser suprimidas quando da finalização do  documento.</w:t>
            </w:r>
            <w:r>
              <w:rPr>
                <w:rFonts w:ascii="Arial" w:eastAsia="Arial" w:hAnsi="Arial" w:cs="Arial"/>
                <w:i/>
                <w:sz w:val="20"/>
              </w:rPr>
              <w:t xml:space="preserve">  </w:t>
            </w:r>
          </w:p>
          <w:p w:rsidR="006C145C" w:rsidRDefault="00C62E5A">
            <w:pPr>
              <w:spacing w:after="121" w:line="241" w:lineRule="auto"/>
              <w:ind w:right="65"/>
              <w:jc w:val="both"/>
            </w:pPr>
            <w:r>
              <w:rPr>
                <w:rFonts w:ascii="Arial" w:eastAsia="Arial" w:hAnsi="Arial" w:cs="Arial"/>
                <w:i/>
                <w:sz w:val="20"/>
              </w:rPr>
              <w:t xml:space="preserve">Trata-se de modelo de contrato e nos termos do art. 35 da Instrução Normativa SEGES/MP n. 5/2017 o referido modelo deverá ser utilizado no que couber. Para as alterações, deve ser apresentada justificativa, nos termos do art. 35, §1º da referida IN.  </w:t>
            </w:r>
          </w:p>
          <w:p w:rsidR="006C145C" w:rsidRDefault="00C62E5A">
            <w:pPr>
              <w:spacing w:after="120" w:line="277" w:lineRule="auto"/>
              <w:ind w:right="64"/>
              <w:jc w:val="both"/>
            </w:pPr>
            <w:r>
              <w:rPr>
                <w:rFonts w:ascii="Arial" w:eastAsia="Arial" w:hAnsi="Arial" w:cs="Arial"/>
                <w:i/>
                <w:sz w:val="20"/>
              </w:rPr>
              <w:t xml:space="preserve">Alguns itens receberam notas explicativas destacadas para compreensão do agente ou setor responsável pela elaboração das minutas referentes à licitação, que deverão ser suprimidas quando da finalização do documento. </w:t>
            </w:r>
          </w:p>
          <w:p w:rsidR="006C145C" w:rsidRDefault="00C62E5A">
            <w:pPr>
              <w:spacing w:after="120" w:line="241" w:lineRule="auto"/>
              <w:ind w:right="58"/>
              <w:jc w:val="both"/>
            </w:pPr>
            <w:r>
              <w:rPr>
                <w:rFonts w:ascii="Arial" w:eastAsia="Arial" w:hAnsi="Arial" w:cs="Arial"/>
                <w:i/>
                <w:sz w:val="20"/>
              </w:rPr>
              <w:t>Os Órgãos Assessorados deverão manter a</w:t>
            </w:r>
            <w:r>
              <w:rPr>
                <w:rFonts w:ascii="Arial" w:eastAsia="Arial" w:hAnsi="Arial" w:cs="Arial"/>
                <w:i/>
                <w:sz w:val="20"/>
              </w:rPr>
              <w:t>s notas de rodapé dos modelos utilizados para a elaboração das minutas e demais anexos, a fim de que os Órgãos Consultivos, ao examinarem os documentos, estejam certos de que dos modelos são os corretos. A versão final do texto, após aprovada pelo órgão co</w:t>
            </w:r>
            <w:r>
              <w:rPr>
                <w:rFonts w:ascii="Arial" w:eastAsia="Arial" w:hAnsi="Arial" w:cs="Arial"/>
                <w:i/>
                <w:sz w:val="20"/>
              </w:rPr>
              <w:t xml:space="preserve">nsultivo, deverá excluir a referida nota. </w:t>
            </w:r>
          </w:p>
          <w:p w:rsidR="006C145C" w:rsidRDefault="00C62E5A">
            <w:pPr>
              <w:spacing w:after="122" w:line="239" w:lineRule="auto"/>
              <w:jc w:val="both"/>
            </w:pPr>
            <w:r>
              <w:rPr>
                <w:rFonts w:ascii="Arial" w:eastAsia="Arial" w:hAnsi="Arial" w:cs="Arial"/>
                <w:b/>
                <w:i/>
                <w:sz w:val="20"/>
              </w:rPr>
              <w:t xml:space="preserve">Sistema de Cores: </w:t>
            </w:r>
            <w:r>
              <w:rPr>
                <w:rFonts w:ascii="Arial" w:eastAsia="Arial" w:hAnsi="Arial" w:cs="Arial"/>
                <w:i/>
                <w:sz w:val="20"/>
              </w:rPr>
              <w:t xml:space="preserve">Para facilitar o ajuste do contrato ao tipo de contratação, algumas cláusulas foram destacadas com cores distintas, devendo ser removidas ou mantidas em cada caso da seguinte forma: </w:t>
            </w:r>
          </w:p>
          <w:tbl>
            <w:tblPr>
              <w:tblStyle w:val="TableGrid"/>
              <w:tblpPr w:vertAnchor="text" w:tblpX="8763" w:tblpY="-5"/>
              <w:tblOverlap w:val="never"/>
              <w:tblW w:w="365" w:type="dxa"/>
              <w:tblInd w:w="0" w:type="dxa"/>
              <w:tblCellMar>
                <w:top w:w="5" w:type="dxa"/>
                <w:left w:w="0" w:type="dxa"/>
                <w:bottom w:w="0" w:type="dxa"/>
                <w:right w:w="0" w:type="dxa"/>
              </w:tblCellMar>
              <w:tblLook w:val="04A0" w:firstRow="1" w:lastRow="0" w:firstColumn="1" w:lastColumn="0" w:noHBand="0" w:noVBand="1"/>
            </w:tblPr>
            <w:tblGrid>
              <w:gridCol w:w="367"/>
            </w:tblGrid>
            <w:tr w:rsidR="006C145C">
              <w:trPr>
                <w:trHeight w:val="230"/>
              </w:trPr>
              <w:tc>
                <w:tcPr>
                  <w:tcW w:w="365" w:type="dxa"/>
                  <w:tcBorders>
                    <w:top w:val="nil"/>
                    <w:left w:val="nil"/>
                    <w:bottom w:val="nil"/>
                    <w:right w:val="nil"/>
                  </w:tcBorders>
                  <w:shd w:val="clear" w:color="auto" w:fill="00FFFF"/>
                </w:tcPr>
                <w:p w:rsidR="006C145C" w:rsidRDefault="00C62E5A">
                  <w:pPr>
                    <w:spacing w:after="0"/>
                    <w:ind w:right="-1"/>
                    <w:jc w:val="both"/>
                  </w:pPr>
                  <w:r>
                    <w:rPr>
                      <w:rFonts w:ascii="Arial" w:eastAsia="Arial" w:hAnsi="Arial" w:cs="Arial"/>
                      <w:i/>
                      <w:sz w:val="20"/>
                    </w:rPr>
                    <w:t>azul</w:t>
                  </w:r>
                </w:p>
              </w:tc>
            </w:tr>
          </w:tbl>
          <w:p w:rsidR="006C145C" w:rsidRDefault="00C62E5A">
            <w:pPr>
              <w:spacing w:after="120" w:line="241" w:lineRule="auto"/>
              <w:jc w:val="both"/>
            </w:pPr>
            <w:r>
              <w:rPr>
                <w:rFonts w:ascii="Arial" w:eastAsia="Arial" w:hAnsi="Arial" w:cs="Arial"/>
                <w:i/>
                <w:sz w:val="20"/>
              </w:rPr>
              <w:t>- Se n</w:t>
            </w:r>
            <w:r>
              <w:rPr>
                <w:rFonts w:ascii="Arial" w:eastAsia="Arial" w:hAnsi="Arial" w:cs="Arial"/>
                <w:i/>
                <w:sz w:val="20"/>
              </w:rPr>
              <w:t xml:space="preserve">ão for utilizado o sistema de registro de preços, exclua todas as disposições destacadas em . Se for adotado o SRP, mantenha tais cláusulas. </w:t>
            </w:r>
          </w:p>
          <w:p w:rsidR="006C145C" w:rsidRDefault="00C62E5A">
            <w:pPr>
              <w:spacing w:after="0"/>
            </w:pPr>
            <w:r>
              <w:rPr>
                <w:rFonts w:ascii="Arial" w:eastAsia="Arial" w:hAnsi="Arial" w:cs="Arial"/>
                <w:i/>
                <w:sz w:val="20"/>
              </w:rPr>
              <w:t xml:space="preserve">As demais cláusulas facultativas estão em </w:t>
            </w:r>
            <w:r>
              <w:rPr>
                <w:rFonts w:ascii="Arial" w:eastAsia="Arial" w:hAnsi="Arial" w:cs="Arial"/>
                <w:i/>
                <w:color w:val="FF0000"/>
                <w:sz w:val="20"/>
              </w:rPr>
              <w:t>vermelho</w:t>
            </w:r>
            <w:r>
              <w:rPr>
                <w:rFonts w:ascii="Arial" w:eastAsia="Arial" w:hAnsi="Arial" w:cs="Arial"/>
                <w:i/>
                <w:sz w:val="20"/>
              </w:rPr>
              <w:t>,</w:t>
            </w:r>
            <w:r>
              <w:rPr>
                <w:rFonts w:ascii="Arial" w:eastAsia="Arial" w:hAnsi="Arial" w:cs="Arial"/>
                <w:i/>
                <w:color w:val="FF0000"/>
                <w:sz w:val="20"/>
              </w:rPr>
              <w:t xml:space="preserve"> </w:t>
            </w:r>
            <w:r>
              <w:rPr>
                <w:rFonts w:ascii="Arial" w:eastAsia="Arial" w:hAnsi="Arial" w:cs="Arial"/>
                <w:i/>
                <w:sz w:val="20"/>
              </w:rPr>
              <w:t xml:space="preserve">devendo ser consideradas individualmente. </w:t>
            </w:r>
          </w:p>
        </w:tc>
      </w:tr>
    </w:tbl>
    <w:p w:rsidR="006C145C" w:rsidRDefault="00C62E5A">
      <w:pPr>
        <w:spacing w:after="129"/>
      </w:pPr>
      <w:r>
        <w:rPr>
          <w:rFonts w:ascii="Arial" w:eastAsia="Arial" w:hAnsi="Arial" w:cs="Arial"/>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03"/>
        <w:ind w:left="-15" w:right="57"/>
        <w:jc w:val="center"/>
      </w:pPr>
      <w:r>
        <w:rPr>
          <w:rFonts w:ascii="Arial" w:eastAsia="Arial" w:hAnsi="Arial" w:cs="Arial"/>
          <w:i/>
          <w:sz w:val="20"/>
        </w:rPr>
        <w:t>NOTA EXPLICATIVA</w:t>
      </w:r>
      <w:r>
        <w:rPr>
          <w:rFonts w:ascii="Arial" w:eastAsia="Arial" w:hAnsi="Arial" w:cs="Arial"/>
          <w:i/>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 xml:space="preserve">Os contratos de prestação de serviços continuados que envolvam disponibilização de pessoal da contratada de forma prolongada ou contínua para consecução do objeto contratual exigirão: </w:t>
      </w:r>
    </w:p>
    <w:p w:rsidR="006C145C" w:rsidRDefault="00C62E5A">
      <w:pPr>
        <w:numPr>
          <w:ilvl w:val="0"/>
          <w:numId w:val="46"/>
        </w:num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 xml:space="preserve">- </w:t>
      </w:r>
      <w:r>
        <w:rPr>
          <w:rFonts w:ascii="Arial" w:eastAsia="Arial" w:hAnsi="Arial" w:cs="Arial"/>
          <w:i/>
          <w:sz w:val="20"/>
        </w:rPr>
        <w:t xml:space="preserve">apresentação pela contratada do quantitativo de empregados vinculados à execução do objeto do contrato de prestação de serviços, a lista de identificação destes empregados e respectivos salários; </w:t>
      </w:r>
    </w:p>
    <w:p w:rsidR="006C145C" w:rsidRDefault="00C62E5A">
      <w:pPr>
        <w:numPr>
          <w:ilvl w:val="0"/>
          <w:numId w:val="46"/>
        </w:num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 o cumprimento das obrigações estabelecidas em acordo, con</w:t>
      </w:r>
      <w:r>
        <w:rPr>
          <w:rFonts w:ascii="Arial" w:eastAsia="Arial" w:hAnsi="Arial" w:cs="Arial"/>
          <w:i/>
          <w:sz w:val="20"/>
        </w:rPr>
        <w:t xml:space="preserve">venção, dissídio coletivo de trabalho ou equivalentes das categorias abrangidas pelo contrato; e </w:t>
      </w:r>
    </w:p>
    <w:p w:rsidR="006C145C" w:rsidRDefault="00C62E5A">
      <w:pPr>
        <w:numPr>
          <w:ilvl w:val="0"/>
          <w:numId w:val="46"/>
        </w:num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 a relação de benefícios a serem concedidos pela contratada a seus empregados, que conterá, no mínimo, o auxílio-transporte e o auxílio-alimentação, quando e</w:t>
      </w:r>
      <w:r>
        <w:rPr>
          <w:rFonts w:ascii="Arial" w:eastAsia="Arial" w:hAnsi="Arial" w:cs="Arial"/>
          <w:i/>
          <w:sz w:val="20"/>
        </w:rPr>
        <w:t xml:space="preserve">sses forem concedidos pela contratante.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12" w:line="249" w:lineRule="auto"/>
        <w:ind w:left="-5" w:right="57" w:hanging="10"/>
        <w:jc w:val="both"/>
      </w:pPr>
      <w:r>
        <w:rPr>
          <w:rFonts w:ascii="Arial" w:eastAsia="Arial" w:hAnsi="Arial" w:cs="Arial"/>
          <w:i/>
          <w:sz w:val="20"/>
        </w:rPr>
        <w:t xml:space="preserve">Parágrafo único. A administração pública não se vincula às disposições estabelecidas em acordos, dissídios ou convenções coletivas de trabalho que tratem de: </w:t>
      </w:r>
    </w:p>
    <w:p w:rsidR="006C145C" w:rsidRDefault="00C62E5A">
      <w:pPr>
        <w:numPr>
          <w:ilvl w:val="0"/>
          <w:numId w:val="47"/>
        </w:numPr>
        <w:pBdr>
          <w:top w:val="single" w:sz="4" w:space="0" w:color="1F497D"/>
          <w:left w:val="single" w:sz="4" w:space="0" w:color="1F497D"/>
          <w:bottom w:val="single" w:sz="4" w:space="0" w:color="1F497D"/>
          <w:right w:val="single" w:sz="4" w:space="0" w:color="1F497D"/>
        </w:pBdr>
        <w:shd w:val="clear" w:color="auto" w:fill="FFFFCC"/>
        <w:spacing w:after="112" w:line="249" w:lineRule="auto"/>
        <w:ind w:left="206" w:right="57" w:hanging="221"/>
        <w:jc w:val="both"/>
      </w:pPr>
      <w:r>
        <w:rPr>
          <w:rFonts w:ascii="Arial" w:eastAsia="Arial" w:hAnsi="Arial" w:cs="Arial"/>
          <w:i/>
          <w:sz w:val="20"/>
        </w:rPr>
        <w:t>- pagamento de participação dos trabalhadores nos lucros</w:t>
      </w:r>
      <w:r>
        <w:rPr>
          <w:rFonts w:ascii="Arial" w:eastAsia="Arial" w:hAnsi="Arial" w:cs="Arial"/>
          <w:i/>
          <w:sz w:val="20"/>
        </w:rPr>
        <w:t xml:space="preserve"> ou nos resultados da empresa contratada; </w:t>
      </w:r>
    </w:p>
    <w:p w:rsidR="006C145C" w:rsidRDefault="00C62E5A">
      <w:pPr>
        <w:numPr>
          <w:ilvl w:val="0"/>
          <w:numId w:val="47"/>
        </w:numPr>
        <w:pBdr>
          <w:top w:val="single" w:sz="4" w:space="0" w:color="1F497D"/>
          <w:left w:val="single" w:sz="4" w:space="0" w:color="1F497D"/>
          <w:bottom w:val="single" w:sz="4" w:space="0" w:color="1F497D"/>
          <w:right w:val="single" w:sz="4" w:space="0" w:color="1F497D"/>
        </w:pBdr>
        <w:shd w:val="clear" w:color="auto" w:fill="FFFFCC"/>
        <w:spacing w:after="112" w:line="249" w:lineRule="auto"/>
        <w:ind w:left="206" w:right="57" w:hanging="221"/>
        <w:jc w:val="both"/>
      </w:pPr>
      <w:r>
        <w:rPr>
          <w:rFonts w:ascii="Arial" w:eastAsia="Arial" w:hAnsi="Arial" w:cs="Arial"/>
          <w:i/>
          <w:sz w:val="20"/>
        </w:rPr>
        <w:t xml:space="preserve">- matéria não trabalhista, ou que estabeleçam direitos não previstos em lei, tais como valores ou índices obrigatórios de encargos sociais ou previdenciários; e </w:t>
      </w:r>
    </w:p>
    <w:p w:rsidR="006C145C" w:rsidRDefault="00C62E5A">
      <w:pPr>
        <w:numPr>
          <w:ilvl w:val="0"/>
          <w:numId w:val="47"/>
        </w:numPr>
        <w:pBdr>
          <w:top w:val="single" w:sz="4" w:space="0" w:color="1F497D"/>
          <w:left w:val="single" w:sz="4" w:space="0" w:color="1F497D"/>
          <w:bottom w:val="single" w:sz="4" w:space="0" w:color="1F497D"/>
          <w:right w:val="single" w:sz="4" w:space="0" w:color="1F497D"/>
        </w:pBdr>
        <w:shd w:val="clear" w:color="auto" w:fill="FFFFCC"/>
        <w:spacing w:after="22" w:line="249" w:lineRule="auto"/>
        <w:ind w:left="206" w:right="57" w:hanging="221"/>
        <w:jc w:val="both"/>
      </w:pPr>
      <w:r>
        <w:rPr>
          <w:rFonts w:ascii="Arial" w:eastAsia="Arial" w:hAnsi="Arial" w:cs="Arial"/>
          <w:i/>
          <w:sz w:val="20"/>
        </w:rPr>
        <w:t xml:space="preserve">- </w:t>
      </w:r>
      <w:r>
        <w:rPr>
          <w:rFonts w:ascii="Arial" w:eastAsia="Arial" w:hAnsi="Arial" w:cs="Arial"/>
          <w:i/>
          <w:sz w:val="20"/>
        </w:rPr>
        <w:t xml:space="preserve">preços para os insumos relacionados ao exercício da atividade. </w:t>
      </w:r>
    </w:p>
    <w:p w:rsidR="006C145C" w:rsidRDefault="00C62E5A">
      <w:pPr>
        <w:spacing w:after="129"/>
        <w:ind w:left="15"/>
        <w:jc w:val="center"/>
      </w:pPr>
      <w:r>
        <w:rPr>
          <w:rFonts w:ascii="Arial" w:eastAsia="Arial" w:hAnsi="Arial" w:cs="Arial"/>
          <w:b/>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05"/>
        <w:ind w:right="49"/>
        <w:jc w:val="center"/>
      </w:pPr>
      <w:r>
        <w:rPr>
          <w:rFonts w:ascii="Arial" w:eastAsia="Arial" w:hAnsi="Arial" w:cs="Arial"/>
          <w:b/>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01"/>
        <w:ind w:left="10" w:right="49" w:hanging="10"/>
        <w:jc w:val="center"/>
      </w:pPr>
      <w:r>
        <w:rPr>
          <w:rFonts w:ascii="Arial" w:eastAsia="Arial" w:hAnsi="Arial" w:cs="Arial"/>
          <w:b/>
          <w:sz w:val="20"/>
        </w:rPr>
        <w:t xml:space="preserve">MODELO DE TERMO DE CONTRATO - SERVIÇOS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27" w:line="250" w:lineRule="auto"/>
        <w:ind w:left="10" w:right="49" w:hanging="10"/>
        <w:jc w:val="both"/>
      </w:pPr>
      <w:r>
        <w:rPr>
          <w:rFonts w:ascii="Arial" w:eastAsia="Arial" w:hAnsi="Arial" w:cs="Arial"/>
          <w:b/>
          <w:sz w:val="20"/>
        </w:rPr>
        <w:t xml:space="preserve">PRESTAÇÃO DE SERVIÇO CONTINUADO COM DISPONIBILIZAÇÃO DE MÃO DE OBRA EM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7"/>
        <w:ind w:left="10" w:right="49" w:hanging="10"/>
        <w:jc w:val="center"/>
      </w:pPr>
      <w:r>
        <w:rPr>
          <w:rFonts w:ascii="Arial" w:eastAsia="Arial" w:hAnsi="Arial" w:cs="Arial"/>
          <w:b/>
          <w:sz w:val="20"/>
        </w:rPr>
        <w:t xml:space="preserve">REGIME DE DEDICAÇÃO EXCLUSIVA </w:t>
      </w:r>
    </w:p>
    <w:p w:rsidR="006C145C" w:rsidRDefault="00C62E5A">
      <w:pPr>
        <w:spacing w:after="0"/>
      </w:pPr>
      <w:r>
        <w:rPr>
          <w:rFonts w:ascii="Arial" w:eastAsia="Arial" w:hAnsi="Arial" w:cs="Arial"/>
          <w:sz w:val="20"/>
        </w:rPr>
        <w:lastRenderedPageBreak/>
        <w:t xml:space="preserve"> </w:t>
      </w:r>
    </w:p>
    <w:p w:rsidR="006C145C" w:rsidRDefault="00C62E5A">
      <w:pPr>
        <w:tabs>
          <w:tab w:val="center" w:pos="4035"/>
        </w:tabs>
        <w:spacing w:after="100"/>
      </w:pPr>
      <w:r>
        <w:rPr>
          <w:rFonts w:ascii="Arial" w:eastAsia="Arial" w:hAnsi="Arial" w:cs="Arial"/>
          <w:b/>
          <w:sz w:val="20"/>
        </w:rPr>
        <w:t xml:space="preserve"> </w:t>
      </w:r>
      <w:r>
        <w:rPr>
          <w:rFonts w:ascii="Arial" w:eastAsia="Arial" w:hAnsi="Arial" w:cs="Arial"/>
          <w:b/>
          <w:sz w:val="20"/>
        </w:rPr>
        <w:tab/>
      </w:r>
      <w:r>
        <w:rPr>
          <w:noProof/>
        </w:rPr>
        <mc:AlternateContent>
          <mc:Choice Requires="wpg">
            <w:drawing>
              <wp:inline distT="0" distB="0" distL="0" distR="0">
                <wp:extent cx="822960" cy="822960"/>
                <wp:effectExtent l="0" t="0" r="0" b="0"/>
                <wp:docPr id="286427" name="Group 286427"/>
                <wp:cNvGraphicFramePr/>
                <a:graphic xmlns:a="http://schemas.openxmlformats.org/drawingml/2006/main">
                  <a:graphicData uri="http://schemas.microsoft.com/office/word/2010/wordprocessingGroup">
                    <wpg:wgp>
                      <wpg:cNvGrpSpPr/>
                      <wpg:grpSpPr>
                        <a:xfrm>
                          <a:off x="0" y="0"/>
                          <a:ext cx="822960" cy="822960"/>
                          <a:chOff x="0" y="0"/>
                          <a:chExt cx="822960" cy="822960"/>
                        </a:xfrm>
                      </wpg:grpSpPr>
                      <pic:pic xmlns:pic="http://schemas.openxmlformats.org/drawingml/2006/picture">
                        <pic:nvPicPr>
                          <pic:cNvPr id="25983" name="Picture 25983"/>
                          <pic:cNvPicPr/>
                        </pic:nvPicPr>
                        <pic:blipFill>
                          <a:blip r:embed="rId47"/>
                          <a:stretch>
                            <a:fillRect/>
                          </a:stretch>
                        </pic:blipFill>
                        <pic:spPr>
                          <a:xfrm>
                            <a:off x="0" y="0"/>
                            <a:ext cx="822960" cy="822960"/>
                          </a:xfrm>
                          <a:prstGeom prst="rect">
                            <a:avLst/>
                          </a:prstGeom>
                        </pic:spPr>
                      </pic:pic>
                      <wps:wsp>
                        <wps:cNvPr id="25984" name="Rectangle 25984"/>
                        <wps:cNvSpPr/>
                        <wps:spPr>
                          <a:xfrm>
                            <a:off x="446405" y="232362"/>
                            <a:ext cx="46741" cy="187581"/>
                          </a:xfrm>
                          <a:prstGeom prst="rect">
                            <a:avLst/>
                          </a:prstGeom>
                          <a:ln>
                            <a:noFill/>
                          </a:ln>
                        </wps:spPr>
                        <wps:txbx>
                          <w:txbxContent>
                            <w:p w:rsidR="006C145C" w:rsidRDefault="00C62E5A">
                              <w:r>
                                <w:rPr>
                                  <w:rFonts w:ascii="Arial" w:eastAsia="Arial" w:hAnsi="Arial" w:cs="Arial"/>
                                  <w:b/>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86427" style="width:64.8pt;height:64.8pt;mso-position-horizontal-relative:char;mso-position-vertical-relative:line" coordsize="8229,8229">
                <v:shape id="Picture 25983" style="position:absolute;width:8229;height:8229;left:0;top:0;" filled="f">
                  <v:imagedata r:id="rId48"/>
                </v:shape>
                <v:rect id="Rectangle 25984" style="position:absolute;width:467;height:1875;left:4464;top:2323;" filled="f" stroked="f">
                  <v:textbox inset="0,0,0,0">
                    <w:txbxContent>
                      <w:p>
                        <w:pPr>
                          <w:spacing w:before="0" w:after="160" w:line="259" w:lineRule="auto"/>
                        </w:pPr>
                        <w:r>
                          <w:rPr>
                            <w:rFonts w:cs="Arial" w:hAnsi="Arial" w:eastAsia="Arial" w:ascii="Arial"/>
                            <w:b w:val="1"/>
                            <w:sz w:val="20"/>
                          </w:rPr>
                          <w:t xml:space="preserve"> </w:t>
                        </w:r>
                      </w:p>
                    </w:txbxContent>
                  </v:textbox>
                </v:rect>
              </v:group>
            </w:pict>
          </mc:Fallback>
        </mc:AlternateContent>
      </w:r>
    </w:p>
    <w:p w:rsidR="006C145C" w:rsidRDefault="00C62E5A">
      <w:pPr>
        <w:spacing w:after="0"/>
        <w:ind w:right="17"/>
        <w:jc w:val="center"/>
      </w:pPr>
      <w:r>
        <w:rPr>
          <w:rFonts w:ascii="Arial" w:eastAsia="Arial" w:hAnsi="Arial" w:cs="Arial"/>
          <w:b/>
          <w:sz w:val="20"/>
        </w:rPr>
        <w:t xml:space="preserve"> </w:t>
      </w:r>
    </w:p>
    <w:p w:rsidR="006C145C" w:rsidRDefault="00C62E5A">
      <w:pPr>
        <w:spacing w:after="0"/>
        <w:ind w:right="17"/>
        <w:jc w:val="center"/>
      </w:pPr>
      <w:r>
        <w:rPr>
          <w:rFonts w:ascii="Arial" w:eastAsia="Arial" w:hAnsi="Arial" w:cs="Arial"/>
          <w:b/>
          <w:sz w:val="20"/>
        </w:rPr>
        <w:t xml:space="preserve"> </w:t>
      </w:r>
    </w:p>
    <w:p w:rsidR="006C145C" w:rsidRDefault="00C62E5A">
      <w:pPr>
        <w:pStyle w:val="Ttulo2"/>
        <w:ind w:left="10" w:right="77"/>
      </w:pPr>
      <w:r>
        <w:t xml:space="preserve">REPÚBLICA FEDERATIVA DO BRASIL </w:t>
      </w:r>
      <w:r>
        <w:t xml:space="preserve">MINISTÉRIO DA INFRAESTRUTURA DEPARTAMENTO NACIONAL DE INFRAESTRUTURA DE TRANSPORTES </w:t>
      </w:r>
    </w:p>
    <w:p w:rsidR="006C145C" w:rsidRDefault="00C62E5A">
      <w:pPr>
        <w:spacing w:after="0" w:line="268" w:lineRule="auto"/>
        <w:ind w:left="351" w:right="422" w:hanging="10"/>
        <w:jc w:val="center"/>
      </w:pPr>
      <w:r>
        <w:rPr>
          <w:rFonts w:ascii="Arial" w:eastAsia="Arial" w:hAnsi="Arial" w:cs="Arial"/>
          <w:b/>
          <w:color w:val="FF0000"/>
          <w:sz w:val="20"/>
        </w:rPr>
        <w:t xml:space="preserve">SUPERINTENDÊNCIA REGIONAL NO ESTADO ________ </w:t>
      </w:r>
    </w:p>
    <w:p w:rsidR="006C145C" w:rsidRDefault="00C62E5A">
      <w:pPr>
        <w:spacing w:after="278"/>
        <w:ind w:right="2"/>
        <w:jc w:val="center"/>
      </w:pPr>
      <w:r>
        <w:rPr>
          <w:rFonts w:ascii="Arial" w:eastAsia="Arial" w:hAnsi="Arial" w:cs="Arial"/>
          <w:b/>
          <w:sz w:val="20"/>
        </w:rPr>
        <w:t xml:space="preserve"> </w:t>
      </w:r>
    </w:p>
    <w:p w:rsidR="006C145C" w:rsidRDefault="00C62E5A">
      <w:pPr>
        <w:spacing w:after="8" w:line="249" w:lineRule="auto"/>
        <w:ind w:left="7" w:right="37" w:hanging="10"/>
        <w:jc w:val="both"/>
      </w:pPr>
      <w:r>
        <w:rPr>
          <w:rFonts w:ascii="Arial" w:eastAsia="Arial" w:hAnsi="Arial" w:cs="Arial"/>
          <w:b/>
          <w:sz w:val="20"/>
        </w:rPr>
        <w:t xml:space="preserve">PROCESSO Nº. </w:t>
      </w:r>
      <w:r>
        <w:rPr>
          <w:rFonts w:ascii="Arial" w:eastAsia="Arial" w:hAnsi="Arial" w:cs="Arial"/>
          <w:b/>
          <w:color w:val="FF0000"/>
          <w:sz w:val="20"/>
        </w:rPr>
        <w:t>XXXX</w:t>
      </w:r>
      <w:r>
        <w:rPr>
          <w:rFonts w:ascii="Arial" w:eastAsia="Arial" w:hAnsi="Arial" w:cs="Arial"/>
          <w:b/>
          <w:sz w:val="20"/>
        </w:rPr>
        <w:t xml:space="preserve"> CONTRATO Nº </w:t>
      </w:r>
      <w:r>
        <w:rPr>
          <w:rFonts w:ascii="Arial" w:eastAsia="Arial" w:hAnsi="Arial" w:cs="Arial"/>
          <w:b/>
          <w:color w:val="FF0000"/>
          <w:sz w:val="20"/>
        </w:rPr>
        <w:t>XXXX/20XX</w:t>
      </w:r>
      <w:r>
        <w:rPr>
          <w:rFonts w:ascii="Arial" w:eastAsia="Arial" w:hAnsi="Arial" w:cs="Arial"/>
          <w:b/>
          <w:sz w:val="20"/>
        </w:rPr>
        <w:t xml:space="preserve"> </w:t>
      </w:r>
    </w:p>
    <w:p w:rsidR="006C145C" w:rsidRDefault="00C62E5A">
      <w:pPr>
        <w:spacing w:after="219"/>
        <w:ind w:right="2"/>
        <w:jc w:val="center"/>
      </w:pPr>
      <w:r>
        <w:rPr>
          <w:rFonts w:ascii="Arial" w:eastAsia="Arial" w:hAnsi="Arial" w:cs="Arial"/>
          <w:b/>
          <w:sz w:val="20"/>
        </w:rPr>
        <w:t xml:space="preserve"> </w:t>
      </w:r>
    </w:p>
    <w:p w:rsidR="006C145C" w:rsidRDefault="00C62E5A">
      <w:pPr>
        <w:spacing w:after="216"/>
        <w:ind w:right="2"/>
        <w:jc w:val="center"/>
      </w:pPr>
      <w:r>
        <w:rPr>
          <w:rFonts w:ascii="Arial" w:eastAsia="Arial" w:hAnsi="Arial" w:cs="Arial"/>
          <w:b/>
          <w:sz w:val="20"/>
        </w:rPr>
        <w:t xml:space="preserve"> </w:t>
      </w:r>
    </w:p>
    <w:p w:rsidR="006C145C" w:rsidRDefault="00C62E5A">
      <w:pPr>
        <w:spacing w:after="218"/>
        <w:ind w:right="2"/>
        <w:jc w:val="center"/>
      </w:pPr>
      <w:r>
        <w:rPr>
          <w:rFonts w:ascii="Arial" w:eastAsia="Arial" w:hAnsi="Arial" w:cs="Arial"/>
          <w:b/>
          <w:sz w:val="20"/>
        </w:rPr>
        <w:t xml:space="preserve"> </w:t>
      </w:r>
    </w:p>
    <w:p w:rsidR="006C145C" w:rsidRDefault="00C62E5A">
      <w:pPr>
        <w:spacing w:after="0"/>
        <w:ind w:left="10" w:right="48" w:hanging="10"/>
        <w:jc w:val="right"/>
      </w:pPr>
      <w:r>
        <w:rPr>
          <w:rFonts w:ascii="Arial" w:eastAsia="Arial" w:hAnsi="Arial" w:cs="Arial"/>
          <w:b/>
          <w:sz w:val="20"/>
        </w:rPr>
        <w:t xml:space="preserve">TERMO DE CONTRATO DE PRESTAÇÃO DE SERVIÇOS DE </w:t>
      </w:r>
    </w:p>
    <w:p w:rsidR="006C145C" w:rsidRDefault="00C62E5A">
      <w:pPr>
        <w:pStyle w:val="Ttulo1"/>
        <w:spacing w:after="0" w:line="259" w:lineRule="auto"/>
        <w:ind w:left="0" w:right="59" w:firstLine="0"/>
        <w:jc w:val="right"/>
      </w:pPr>
      <w:r>
        <w:t>............................................</w:t>
      </w:r>
      <w:r>
        <w:rPr>
          <w:color w:val="000000"/>
        </w:rPr>
        <w:t xml:space="preserve">, QUE FAZEM ENTRE SI O </w:t>
      </w:r>
    </w:p>
    <w:p w:rsidR="006C145C" w:rsidRDefault="00C62E5A">
      <w:pPr>
        <w:pStyle w:val="Ttulo2"/>
        <w:spacing w:line="249" w:lineRule="auto"/>
        <w:ind w:left="3414" w:right="37"/>
        <w:jc w:val="both"/>
      </w:pPr>
      <w:r>
        <w:t xml:space="preserve">DEPARTAMENTO NACIONAL DE INFRAESTRUTURA DE TRANSPORTES, POR INTERMÉDIO DO (A) </w:t>
      </w:r>
      <w:r>
        <w:rPr>
          <w:color w:val="FF0000"/>
        </w:rPr>
        <w:t>...............................................................</w:t>
      </w:r>
      <w:r>
        <w:t xml:space="preserve"> E A EMPRESA </w:t>
      </w:r>
    </w:p>
    <w:p w:rsidR="006C145C" w:rsidRDefault="00C62E5A">
      <w:pPr>
        <w:spacing w:after="136" w:line="367" w:lineRule="auto"/>
        <w:ind w:left="4254" w:right="1462" w:hanging="850"/>
      </w:pPr>
      <w:r>
        <w:rPr>
          <w:rFonts w:ascii="Arial" w:eastAsia="Arial" w:hAnsi="Arial" w:cs="Arial"/>
          <w:b/>
          <w:color w:val="FF0000"/>
          <w:sz w:val="20"/>
        </w:rPr>
        <w:t>.................................</w:t>
      </w:r>
      <w:r>
        <w:rPr>
          <w:rFonts w:ascii="Arial" w:eastAsia="Arial" w:hAnsi="Arial" w:cs="Arial"/>
          <w:b/>
          <w:color w:val="FF0000"/>
          <w:sz w:val="20"/>
        </w:rPr>
        <w:t xml:space="preserve">.........................................    </w:t>
      </w:r>
    </w:p>
    <w:p w:rsidR="006C145C" w:rsidRDefault="00C62E5A">
      <w:pPr>
        <w:tabs>
          <w:tab w:val="center" w:pos="8211"/>
        </w:tabs>
        <w:spacing w:after="0" w:line="270" w:lineRule="auto"/>
        <w:ind w:left="-3"/>
      </w:pPr>
      <w:r>
        <w:rPr>
          <w:rFonts w:ascii="Arial" w:eastAsia="Arial" w:hAnsi="Arial" w:cs="Arial"/>
          <w:sz w:val="20"/>
        </w:rPr>
        <w:t xml:space="preserve">O DEPARTAMENTO NACIONAL DE INFRAESTRUTURA DE TRANSPORTES </w:t>
      </w:r>
      <w:r>
        <w:rPr>
          <w:rFonts w:ascii="Arial" w:eastAsia="Arial" w:hAnsi="Arial" w:cs="Arial"/>
          <w:sz w:val="20"/>
        </w:rPr>
        <w:tab/>
        <w:t>– DNIT/</w:t>
      </w:r>
      <w:r>
        <w:rPr>
          <w:rFonts w:ascii="Arial" w:eastAsia="Arial" w:hAnsi="Arial" w:cs="Arial"/>
          <w:color w:val="FF0000"/>
          <w:sz w:val="20"/>
        </w:rPr>
        <w:t xml:space="preserve"> </w:t>
      </w:r>
    </w:p>
    <w:p w:rsidR="006C145C" w:rsidRDefault="00C62E5A">
      <w:pPr>
        <w:spacing w:after="0" w:line="270" w:lineRule="auto"/>
        <w:ind w:left="5" w:right="54" w:hanging="8"/>
        <w:jc w:val="both"/>
      </w:pPr>
      <w:r>
        <w:rPr>
          <w:rFonts w:ascii="Arial" w:eastAsia="Arial" w:hAnsi="Arial" w:cs="Arial"/>
          <w:color w:val="FF0000"/>
          <w:sz w:val="20"/>
        </w:rPr>
        <w:t>Superintendência Regional do DNIT no Estado de  .......................</w:t>
      </w:r>
      <w:r>
        <w:rPr>
          <w:rFonts w:ascii="Arial" w:eastAsia="Arial" w:hAnsi="Arial" w:cs="Arial"/>
          <w:sz w:val="20"/>
        </w:rPr>
        <w:t xml:space="preserve">, ente autárquico federal vinculado ao Ministério da Infraestrutura - </w:t>
      </w:r>
      <w:r>
        <w:rPr>
          <w:rFonts w:ascii="Arial" w:eastAsia="Arial" w:hAnsi="Arial" w:cs="Arial"/>
          <w:sz w:val="20"/>
        </w:rPr>
        <w:t xml:space="preserve">MI, com sede na capital do Distrito Federal – Setor de Autarquias Norte, Núcleo dos Transportes Q-3, B-A, inscrito no CNPJ/MF sob o nº. </w:t>
      </w:r>
      <w:r>
        <w:rPr>
          <w:rFonts w:ascii="Arial" w:eastAsia="Arial" w:hAnsi="Arial" w:cs="Arial"/>
          <w:color w:val="FF0000"/>
          <w:sz w:val="20"/>
        </w:rPr>
        <w:t xml:space="preserve">........................, </w:t>
      </w:r>
      <w:r>
        <w:rPr>
          <w:rFonts w:ascii="Arial" w:eastAsia="Arial" w:hAnsi="Arial" w:cs="Arial"/>
          <w:sz w:val="20"/>
        </w:rPr>
        <w:t>neste ato representado pelo Diretor Geral/</w:t>
      </w:r>
      <w:r>
        <w:rPr>
          <w:rFonts w:ascii="Arial" w:eastAsia="Arial" w:hAnsi="Arial" w:cs="Arial"/>
          <w:color w:val="FF0000"/>
          <w:sz w:val="20"/>
        </w:rPr>
        <w:t>Superintendente</w:t>
      </w:r>
      <w:r>
        <w:rPr>
          <w:rFonts w:ascii="Arial" w:eastAsia="Arial" w:hAnsi="Arial" w:cs="Arial"/>
          <w:sz w:val="20"/>
        </w:rPr>
        <w:t xml:space="preserve"> </w:t>
      </w:r>
      <w:r>
        <w:rPr>
          <w:rFonts w:ascii="Arial" w:eastAsia="Arial" w:hAnsi="Arial" w:cs="Arial"/>
          <w:b/>
          <w:sz w:val="20"/>
        </w:rPr>
        <w:t>(NOME DA AUTORIDADE E CARGO),</w:t>
      </w:r>
      <w:r>
        <w:rPr>
          <w:rFonts w:ascii="Arial" w:eastAsia="Arial" w:hAnsi="Arial" w:cs="Arial"/>
          <w:sz w:val="20"/>
        </w:rPr>
        <w:t xml:space="preserve"> nomead</w:t>
      </w:r>
      <w:r>
        <w:rPr>
          <w:rFonts w:ascii="Arial" w:eastAsia="Arial" w:hAnsi="Arial" w:cs="Arial"/>
          <w:sz w:val="20"/>
        </w:rPr>
        <w:t xml:space="preserve">o pela </w:t>
      </w:r>
    </w:p>
    <w:p w:rsidR="006C145C" w:rsidRDefault="00C62E5A">
      <w:pPr>
        <w:spacing w:after="0" w:line="270" w:lineRule="auto"/>
        <w:ind w:left="5" w:right="54" w:hanging="8"/>
        <w:jc w:val="both"/>
      </w:pPr>
      <w:r>
        <w:rPr>
          <w:rFonts w:ascii="Arial" w:eastAsia="Arial" w:hAnsi="Arial" w:cs="Arial"/>
          <w:sz w:val="20"/>
        </w:rPr>
        <w:t xml:space="preserve">Portaria nº. </w:t>
      </w:r>
      <w:r>
        <w:rPr>
          <w:rFonts w:ascii="Arial" w:eastAsia="Arial" w:hAnsi="Arial" w:cs="Arial"/>
          <w:color w:val="FF0000"/>
          <w:sz w:val="20"/>
        </w:rPr>
        <w:t>.....................,</w:t>
      </w:r>
      <w:r>
        <w:rPr>
          <w:rFonts w:ascii="Arial" w:eastAsia="Arial" w:hAnsi="Arial" w:cs="Arial"/>
          <w:sz w:val="20"/>
        </w:rPr>
        <w:t xml:space="preserve"> de </w:t>
      </w:r>
      <w:r>
        <w:rPr>
          <w:rFonts w:ascii="Arial" w:eastAsia="Arial" w:hAnsi="Arial" w:cs="Arial"/>
          <w:color w:val="FF0000"/>
          <w:sz w:val="20"/>
        </w:rPr>
        <w:t>......./....../...........</w:t>
      </w:r>
      <w:r>
        <w:rPr>
          <w:rFonts w:ascii="Arial" w:eastAsia="Arial" w:hAnsi="Arial" w:cs="Arial"/>
          <w:sz w:val="20"/>
        </w:rPr>
        <w:t xml:space="preserve">, e em conformidade com as atribuições que lhe foram delegadas pela Portaria nº </w:t>
      </w:r>
      <w:r>
        <w:rPr>
          <w:rFonts w:ascii="Arial" w:eastAsia="Arial" w:hAnsi="Arial" w:cs="Arial"/>
          <w:color w:val="FF0000"/>
          <w:sz w:val="20"/>
        </w:rPr>
        <w:t>..................,</w:t>
      </w:r>
      <w:r>
        <w:rPr>
          <w:rFonts w:ascii="Arial" w:eastAsia="Arial" w:hAnsi="Arial" w:cs="Arial"/>
          <w:sz w:val="20"/>
        </w:rPr>
        <w:t xml:space="preserve"> de </w:t>
      </w:r>
      <w:r>
        <w:rPr>
          <w:rFonts w:ascii="Arial" w:eastAsia="Arial" w:hAnsi="Arial" w:cs="Arial"/>
          <w:color w:val="FF0000"/>
          <w:sz w:val="20"/>
        </w:rPr>
        <w:t>......./....../...........,</w:t>
      </w:r>
      <w:r>
        <w:rPr>
          <w:rFonts w:ascii="Arial" w:eastAsia="Arial" w:hAnsi="Arial" w:cs="Arial"/>
          <w:sz w:val="20"/>
        </w:rPr>
        <w:t xml:space="preserve"> publicada em </w:t>
      </w:r>
      <w:r>
        <w:rPr>
          <w:rFonts w:ascii="Arial" w:eastAsia="Arial" w:hAnsi="Arial" w:cs="Arial"/>
          <w:color w:val="FF0000"/>
          <w:sz w:val="20"/>
        </w:rPr>
        <w:t>......./....../...........</w:t>
      </w:r>
      <w:r>
        <w:rPr>
          <w:rFonts w:ascii="Arial" w:eastAsia="Arial" w:hAnsi="Arial" w:cs="Arial"/>
          <w:sz w:val="20"/>
        </w:rPr>
        <w:t>, doravante d</w:t>
      </w:r>
      <w:r>
        <w:rPr>
          <w:rFonts w:ascii="Arial" w:eastAsia="Arial" w:hAnsi="Arial" w:cs="Arial"/>
          <w:sz w:val="20"/>
        </w:rPr>
        <w:t xml:space="preserve">enominada CONTRATANTE, e o(a) </w:t>
      </w:r>
      <w:r>
        <w:rPr>
          <w:rFonts w:ascii="Arial" w:eastAsia="Arial" w:hAnsi="Arial" w:cs="Arial"/>
          <w:color w:val="FF0000"/>
          <w:sz w:val="20"/>
        </w:rPr>
        <w:t>..............................</w:t>
      </w:r>
      <w:r>
        <w:rPr>
          <w:rFonts w:ascii="Arial" w:eastAsia="Arial" w:hAnsi="Arial" w:cs="Arial"/>
          <w:sz w:val="20"/>
        </w:rPr>
        <w:t xml:space="preserve"> inscrito(a) no CNPJ/MF sob o nº </w:t>
      </w:r>
    </w:p>
    <w:p w:rsidR="006C145C" w:rsidRDefault="00C62E5A">
      <w:pPr>
        <w:spacing w:after="0" w:line="269" w:lineRule="auto"/>
        <w:ind w:left="-5" w:right="54" w:hanging="10"/>
        <w:jc w:val="both"/>
      </w:pPr>
      <w:r>
        <w:rPr>
          <w:rFonts w:ascii="Arial" w:eastAsia="Arial" w:hAnsi="Arial" w:cs="Arial"/>
          <w:color w:val="FF0000"/>
          <w:sz w:val="20"/>
        </w:rPr>
        <w:t>............................</w:t>
      </w:r>
      <w:r>
        <w:rPr>
          <w:rFonts w:ascii="Arial" w:eastAsia="Arial" w:hAnsi="Arial" w:cs="Arial"/>
          <w:sz w:val="20"/>
        </w:rPr>
        <w:t xml:space="preserve">, sediado(a) na </w:t>
      </w:r>
      <w:r>
        <w:rPr>
          <w:rFonts w:ascii="Arial" w:eastAsia="Arial" w:hAnsi="Arial" w:cs="Arial"/>
          <w:color w:val="FF0000"/>
          <w:sz w:val="20"/>
        </w:rPr>
        <w:t>...................................</w:t>
      </w:r>
      <w:r>
        <w:rPr>
          <w:rFonts w:ascii="Arial" w:eastAsia="Arial" w:hAnsi="Arial" w:cs="Arial"/>
          <w:sz w:val="20"/>
        </w:rPr>
        <w:t xml:space="preserve">, em </w:t>
      </w:r>
      <w:r>
        <w:rPr>
          <w:rFonts w:ascii="Arial" w:eastAsia="Arial" w:hAnsi="Arial" w:cs="Arial"/>
          <w:color w:val="FF0000"/>
          <w:sz w:val="20"/>
        </w:rPr>
        <w:t xml:space="preserve">............................. </w:t>
      </w:r>
      <w:r>
        <w:rPr>
          <w:rFonts w:ascii="Arial" w:eastAsia="Arial" w:hAnsi="Arial" w:cs="Arial"/>
          <w:sz w:val="20"/>
        </w:rPr>
        <w:t xml:space="preserve">doravante designada </w:t>
      </w:r>
    </w:p>
    <w:p w:rsidR="006C145C" w:rsidRDefault="00C62E5A">
      <w:pPr>
        <w:spacing w:after="0" w:line="270" w:lineRule="auto"/>
        <w:ind w:left="5" w:right="54" w:hanging="8"/>
        <w:jc w:val="both"/>
      </w:pPr>
      <w:r>
        <w:rPr>
          <w:rFonts w:ascii="Arial" w:eastAsia="Arial" w:hAnsi="Arial" w:cs="Arial"/>
          <w:sz w:val="20"/>
        </w:rPr>
        <w:t>CONTRATADA, neste ato repre</w:t>
      </w:r>
      <w:r>
        <w:rPr>
          <w:rFonts w:ascii="Arial" w:eastAsia="Arial" w:hAnsi="Arial" w:cs="Arial"/>
          <w:sz w:val="20"/>
        </w:rPr>
        <w:t xml:space="preserve">sentada pelo(a) Sr.(a) </w:t>
      </w:r>
      <w:r>
        <w:rPr>
          <w:rFonts w:ascii="Arial" w:eastAsia="Arial" w:hAnsi="Arial" w:cs="Arial"/>
          <w:color w:val="FF0000"/>
          <w:sz w:val="20"/>
        </w:rPr>
        <w:t>.....................</w:t>
      </w:r>
      <w:r>
        <w:rPr>
          <w:rFonts w:ascii="Arial" w:eastAsia="Arial" w:hAnsi="Arial" w:cs="Arial"/>
          <w:sz w:val="20"/>
        </w:rPr>
        <w:t xml:space="preserve">, portador(a) da Carteira de </w:t>
      </w:r>
    </w:p>
    <w:p w:rsidR="006C145C" w:rsidRDefault="00C62E5A">
      <w:pPr>
        <w:spacing w:after="97" w:line="270" w:lineRule="auto"/>
        <w:ind w:left="5" w:right="54" w:hanging="8"/>
        <w:jc w:val="both"/>
      </w:pPr>
      <w:r>
        <w:rPr>
          <w:noProof/>
        </w:rPr>
        <mc:AlternateContent>
          <mc:Choice Requires="wpg">
            <w:drawing>
              <wp:anchor distT="0" distB="0" distL="114300" distR="114300" simplePos="0" relativeHeight="251663360" behindDoc="1" locked="0" layoutInCell="1" allowOverlap="1">
                <wp:simplePos x="0" y="0"/>
                <wp:positionH relativeFrom="column">
                  <wp:posOffset>0</wp:posOffset>
                </wp:positionH>
                <wp:positionV relativeFrom="paragraph">
                  <wp:posOffset>579296</wp:posOffset>
                </wp:positionV>
                <wp:extent cx="5772532" cy="438911"/>
                <wp:effectExtent l="0" t="0" r="0" b="0"/>
                <wp:wrapNone/>
                <wp:docPr id="286428" name="Group 286428"/>
                <wp:cNvGraphicFramePr/>
                <a:graphic xmlns:a="http://schemas.openxmlformats.org/drawingml/2006/main">
                  <a:graphicData uri="http://schemas.microsoft.com/office/word/2010/wordprocessingGroup">
                    <wpg:wgp>
                      <wpg:cNvGrpSpPr/>
                      <wpg:grpSpPr>
                        <a:xfrm>
                          <a:off x="0" y="0"/>
                          <a:ext cx="5772532" cy="438911"/>
                          <a:chOff x="0" y="0"/>
                          <a:chExt cx="5772532" cy="438911"/>
                        </a:xfrm>
                      </wpg:grpSpPr>
                      <wps:wsp>
                        <wps:cNvPr id="311323" name="Shape 311323"/>
                        <wps:cNvSpPr/>
                        <wps:spPr>
                          <a:xfrm>
                            <a:off x="999998" y="0"/>
                            <a:ext cx="4772533" cy="146303"/>
                          </a:xfrm>
                          <a:custGeom>
                            <a:avLst/>
                            <a:gdLst/>
                            <a:ahLst/>
                            <a:cxnLst/>
                            <a:rect l="0" t="0" r="0" b="0"/>
                            <a:pathLst>
                              <a:path w="4772533" h="146303">
                                <a:moveTo>
                                  <a:pt x="0" y="0"/>
                                </a:moveTo>
                                <a:lnTo>
                                  <a:pt x="4772533" y="0"/>
                                </a:lnTo>
                                <a:lnTo>
                                  <a:pt x="4772533" y="146303"/>
                                </a:lnTo>
                                <a:lnTo>
                                  <a:pt x="0" y="14630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1324" name="Shape 311324"/>
                        <wps:cNvSpPr/>
                        <wps:spPr>
                          <a:xfrm>
                            <a:off x="0" y="146303"/>
                            <a:ext cx="2207387" cy="146304"/>
                          </a:xfrm>
                          <a:custGeom>
                            <a:avLst/>
                            <a:gdLst/>
                            <a:ahLst/>
                            <a:cxnLst/>
                            <a:rect l="0" t="0" r="0" b="0"/>
                            <a:pathLst>
                              <a:path w="2207387" h="146304">
                                <a:moveTo>
                                  <a:pt x="0" y="0"/>
                                </a:moveTo>
                                <a:lnTo>
                                  <a:pt x="2207387" y="0"/>
                                </a:lnTo>
                                <a:lnTo>
                                  <a:pt x="2207387" y="146304"/>
                                </a:lnTo>
                                <a:lnTo>
                                  <a:pt x="0" y="146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1325" name="Shape 311325"/>
                        <wps:cNvSpPr/>
                        <wps:spPr>
                          <a:xfrm>
                            <a:off x="643382" y="292608"/>
                            <a:ext cx="2028698" cy="146303"/>
                          </a:xfrm>
                          <a:custGeom>
                            <a:avLst/>
                            <a:gdLst/>
                            <a:ahLst/>
                            <a:cxnLst/>
                            <a:rect l="0" t="0" r="0" b="0"/>
                            <a:pathLst>
                              <a:path w="2028698" h="146303">
                                <a:moveTo>
                                  <a:pt x="0" y="0"/>
                                </a:moveTo>
                                <a:lnTo>
                                  <a:pt x="2028698" y="0"/>
                                </a:lnTo>
                                <a:lnTo>
                                  <a:pt x="2028698" y="146303"/>
                                </a:lnTo>
                                <a:lnTo>
                                  <a:pt x="0" y="146303"/>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g:wgp>
                  </a:graphicData>
                </a:graphic>
              </wp:anchor>
            </w:drawing>
          </mc:Choice>
          <mc:Fallback xmlns:a="http://schemas.openxmlformats.org/drawingml/2006/main">
            <w:pict>
              <v:group id="Group 286428" style="width:454.53pt;height:34.5599pt;position:absolute;z-index:-2147483505;mso-position-horizontal-relative:text;mso-position-horizontal:absolute;margin-left:0pt;mso-position-vertical-relative:text;margin-top:45.6138pt;" coordsize="57725,4389">
                <v:shape id="Shape 311326" style="position:absolute;width:47725;height:1463;left:9999;top:0;" coordsize="4772533,146303" path="m0,0l4772533,0l4772533,146303l0,146303l0,0">
                  <v:stroke weight="0pt" endcap="flat" joinstyle="miter" miterlimit="10" on="false" color="#000000" opacity="0"/>
                  <v:fill on="true" color="#ffff00"/>
                </v:shape>
                <v:shape id="Shape 311327" style="position:absolute;width:22073;height:1463;left:0;top:1463;" coordsize="2207387,146304" path="m0,0l2207387,0l2207387,146304l0,146304l0,0">
                  <v:stroke weight="0pt" endcap="flat" joinstyle="miter" miterlimit="10" on="false" color="#000000" opacity="0"/>
                  <v:fill on="true" color="#ffff00"/>
                </v:shape>
                <v:shape id="Shape 311328" style="position:absolute;width:20286;height:1463;left:6433;top:2926;" coordsize="2028698,146303" path="m0,0l2028698,0l2028698,146303l0,146303l0,0">
                  <v:stroke weight="0pt" endcap="flat" joinstyle="miter" miterlimit="10" on="false" color="#000000" opacity="0"/>
                  <v:fill on="true" color="#00ffff"/>
                </v:shape>
              </v:group>
            </w:pict>
          </mc:Fallback>
        </mc:AlternateContent>
      </w:r>
      <w:r>
        <w:rPr>
          <w:rFonts w:ascii="Arial" w:eastAsia="Arial" w:hAnsi="Arial" w:cs="Arial"/>
          <w:sz w:val="20"/>
        </w:rPr>
        <w:t xml:space="preserve">Identidade nº </w:t>
      </w:r>
      <w:r>
        <w:rPr>
          <w:rFonts w:ascii="Arial" w:eastAsia="Arial" w:hAnsi="Arial" w:cs="Arial"/>
          <w:color w:val="FF0000"/>
          <w:sz w:val="20"/>
        </w:rPr>
        <w:t>.................</w:t>
      </w:r>
      <w:r>
        <w:rPr>
          <w:rFonts w:ascii="Arial" w:eastAsia="Arial" w:hAnsi="Arial" w:cs="Arial"/>
          <w:sz w:val="20"/>
        </w:rPr>
        <w:t xml:space="preserve">, expedida pela (o) </w:t>
      </w:r>
      <w:r>
        <w:rPr>
          <w:rFonts w:ascii="Arial" w:eastAsia="Arial" w:hAnsi="Arial" w:cs="Arial"/>
          <w:color w:val="FF0000"/>
          <w:sz w:val="20"/>
        </w:rPr>
        <w:t>..................</w:t>
      </w:r>
      <w:r>
        <w:rPr>
          <w:rFonts w:ascii="Arial" w:eastAsia="Arial" w:hAnsi="Arial" w:cs="Arial"/>
          <w:sz w:val="20"/>
        </w:rPr>
        <w:t xml:space="preserve">, e CPF nº </w:t>
      </w:r>
      <w:r>
        <w:rPr>
          <w:rFonts w:ascii="Arial" w:eastAsia="Arial" w:hAnsi="Arial" w:cs="Arial"/>
          <w:color w:val="FF0000"/>
          <w:sz w:val="20"/>
        </w:rPr>
        <w:t>.........................</w:t>
      </w:r>
      <w:r>
        <w:rPr>
          <w:rFonts w:ascii="Arial" w:eastAsia="Arial" w:hAnsi="Arial" w:cs="Arial"/>
          <w:sz w:val="20"/>
        </w:rPr>
        <w:t xml:space="preserve">, tendo em vista o que consta no Processo nº </w:t>
      </w:r>
      <w:r>
        <w:rPr>
          <w:rFonts w:ascii="Arial" w:eastAsia="Arial" w:hAnsi="Arial" w:cs="Arial"/>
          <w:color w:val="FF0000"/>
          <w:sz w:val="20"/>
        </w:rPr>
        <w:t xml:space="preserve">.............................. </w:t>
      </w:r>
      <w:r>
        <w:rPr>
          <w:rFonts w:ascii="Arial" w:eastAsia="Arial" w:hAnsi="Arial" w:cs="Arial"/>
          <w:sz w:val="20"/>
        </w:rPr>
        <w:t xml:space="preserve">e em observância às disposições da Lei nº 8.666, de 21 de junho de 1993, da Lei nº 10.520, de 17 de julho de 2002, </w:t>
      </w:r>
      <w:r>
        <w:rPr>
          <w:rFonts w:ascii="Arial" w:eastAsia="Arial" w:hAnsi="Arial" w:cs="Arial"/>
          <w:i/>
          <w:color w:val="FF0000"/>
          <w:sz w:val="20"/>
          <w:shd w:val="clear" w:color="auto" w:fill="00FFFF"/>
        </w:rPr>
        <w:t>do Decreto nº 7.892, de 23 de janeiro de 2013</w:t>
      </w:r>
      <w:r>
        <w:rPr>
          <w:rFonts w:ascii="Arial" w:eastAsia="Arial" w:hAnsi="Arial" w:cs="Arial"/>
          <w:sz w:val="20"/>
          <w:shd w:val="clear" w:color="auto" w:fill="00FFFF"/>
        </w:rPr>
        <w:t>,</w:t>
      </w:r>
      <w:r>
        <w:rPr>
          <w:rFonts w:ascii="Arial" w:eastAsia="Arial" w:hAnsi="Arial" w:cs="Arial"/>
          <w:sz w:val="20"/>
        </w:rPr>
        <w:t xml:space="preserve"> do Decreto nº 9.507, de 21 de setembro de 2018 e da Instrução Normativa SEGES/MP nº 5, de 26 d</w:t>
      </w:r>
      <w:r>
        <w:rPr>
          <w:rFonts w:ascii="Arial" w:eastAsia="Arial" w:hAnsi="Arial" w:cs="Arial"/>
          <w:sz w:val="20"/>
        </w:rPr>
        <w:t xml:space="preserve">e maio de 2017, da Instrução Normativa Vigente de Processo de Apuração de Responsabilidade – PAAR e da Lei Anticorrupção nº </w:t>
      </w:r>
      <w:hyperlink r:id="rId49">
        <w:r>
          <w:rPr>
            <w:rFonts w:ascii="Arial" w:eastAsia="Arial" w:hAnsi="Arial" w:cs="Arial"/>
            <w:sz w:val="20"/>
          </w:rPr>
          <w:t>12.846/2013,</w:t>
        </w:r>
      </w:hyperlink>
      <w:r>
        <w:rPr>
          <w:rFonts w:ascii="Arial" w:eastAsia="Arial" w:hAnsi="Arial" w:cs="Arial"/>
          <w:sz w:val="20"/>
        </w:rPr>
        <w:t xml:space="preserve"> resolvem celebrar o presente</w:t>
      </w:r>
      <w:r>
        <w:rPr>
          <w:rFonts w:ascii="Arial" w:eastAsia="Arial" w:hAnsi="Arial" w:cs="Arial"/>
          <w:sz w:val="20"/>
        </w:rPr>
        <w:t xml:space="preserve"> Termo de Contrato, decorrente do Pregão</w:t>
      </w:r>
      <w:r>
        <w:rPr>
          <w:rFonts w:ascii="Arial" w:eastAsia="Arial" w:hAnsi="Arial" w:cs="Arial"/>
          <w:i/>
          <w:color w:val="FF0000"/>
          <w:sz w:val="20"/>
        </w:rPr>
        <w:t xml:space="preserve"> por Sistema de Registro de Preços</w:t>
      </w:r>
      <w:r>
        <w:rPr>
          <w:rFonts w:ascii="Arial" w:eastAsia="Arial" w:hAnsi="Arial" w:cs="Arial"/>
          <w:color w:val="FF0000"/>
          <w:sz w:val="20"/>
        </w:rPr>
        <w:t xml:space="preserve"> </w:t>
      </w:r>
      <w:r>
        <w:rPr>
          <w:rFonts w:ascii="Arial" w:eastAsia="Arial" w:hAnsi="Arial" w:cs="Arial"/>
          <w:sz w:val="20"/>
        </w:rPr>
        <w:t xml:space="preserve">nº </w:t>
      </w:r>
      <w:r>
        <w:rPr>
          <w:rFonts w:ascii="Arial" w:eastAsia="Arial" w:hAnsi="Arial" w:cs="Arial"/>
          <w:color w:val="FF0000"/>
          <w:sz w:val="20"/>
        </w:rPr>
        <w:t>..........</w:t>
      </w:r>
      <w:r>
        <w:rPr>
          <w:rFonts w:ascii="Arial" w:eastAsia="Arial" w:hAnsi="Arial" w:cs="Arial"/>
          <w:sz w:val="20"/>
        </w:rPr>
        <w:t>/20</w:t>
      </w:r>
      <w:r>
        <w:rPr>
          <w:rFonts w:ascii="Arial" w:eastAsia="Arial" w:hAnsi="Arial" w:cs="Arial"/>
          <w:color w:val="FF0000"/>
          <w:sz w:val="20"/>
        </w:rPr>
        <w:t>....</w:t>
      </w:r>
      <w:r>
        <w:rPr>
          <w:rFonts w:ascii="Arial" w:eastAsia="Arial" w:hAnsi="Arial" w:cs="Arial"/>
          <w:sz w:val="20"/>
        </w:rPr>
        <w:t xml:space="preserve">, mediante as cláusulas e condições a seguir enunciadas. </w:t>
      </w:r>
    </w:p>
    <w:p w:rsidR="006C145C" w:rsidRDefault="00C62E5A">
      <w:pPr>
        <w:spacing w:after="45"/>
      </w:pPr>
      <w:r>
        <w:rPr>
          <w:rFonts w:ascii="Arial" w:eastAsia="Arial" w:hAnsi="Arial" w:cs="Arial"/>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76" w:line="249" w:lineRule="auto"/>
        <w:ind w:left="-5" w:right="57" w:hanging="10"/>
        <w:jc w:val="both"/>
      </w:pPr>
      <w:r>
        <w:rPr>
          <w:rFonts w:ascii="Arial" w:eastAsia="Arial" w:hAnsi="Arial" w:cs="Arial"/>
          <w:b/>
          <w:sz w:val="20"/>
        </w:rPr>
        <w:t xml:space="preserve">Nota explicativa: </w:t>
      </w:r>
      <w:r>
        <w:rPr>
          <w:rFonts w:ascii="Arial" w:eastAsia="Arial" w:hAnsi="Arial" w:cs="Arial"/>
          <w:i/>
          <w:sz w:val="20"/>
        </w:rPr>
        <w:t>Ajustar o Preâmbulo caso se trate de Registro de Preços ou não</w:t>
      </w:r>
      <w:r>
        <w:rPr>
          <w:rFonts w:ascii="Arial" w:eastAsia="Arial" w:hAnsi="Arial" w:cs="Arial"/>
          <w:sz w:val="20"/>
        </w:rPr>
        <w:t>.</w:t>
      </w:r>
      <w:r>
        <w:rPr>
          <w:rFonts w:ascii="Arial" w:eastAsia="Arial" w:hAnsi="Arial" w:cs="Arial"/>
          <w:i/>
          <w:sz w:val="20"/>
        </w:rPr>
        <w:t xml:space="preserve"> </w:t>
      </w:r>
    </w:p>
    <w:p w:rsidR="006C145C" w:rsidRDefault="00C62E5A">
      <w:pPr>
        <w:spacing w:after="255"/>
      </w:pPr>
      <w:r>
        <w:rPr>
          <w:rFonts w:ascii="Arial" w:eastAsia="Arial" w:hAnsi="Arial" w:cs="Arial"/>
          <w:sz w:val="20"/>
        </w:rPr>
        <w:t xml:space="preserve"> </w:t>
      </w:r>
    </w:p>
    <w:p w:rsidR="006C145C" w:rsidRDefault="00C62E5A">
      <w:pPr>
        <w:pStyle w:val="Ttulo3"/>
        <w:spacing w:after="114" w:line="249" w:lineRule="auto"/>
        <w:ind w:left="7" w:right="37"/>
        <w:jc w:val="both"/>
      </w:pPr>
      <w:r>
        <w:lastRenderedPageBreak/>
        <w:t xml:space="preserve">1. </w:t>
      </w:r>
      <w:r>
        <w:t xml:space="preserve">CLÁUSULA PRIMEIRA – OBJETO </w:t>
      </w:r>
    </w:p>
    <w:p w:rsidR="006C145C" w:rsidRDefault="00C62E5A">
      <w:pPr>
        <w:spacing w:after="129" w:line="270" w:lineRule="auto"/>
        <w:ind w:left="433" w:right="54" w:hanging="8"/>
        <w:jc w:val="both"/>
      </w:pPr>
      <w:r>
        <w:rPr>
          <w:rFonts w:ascii="Arial" w:eastAsia="Arial" w:hAnsi="Arial" w:cs="Arial"/>
          <w:sz w:val="20"/>
        </w:rPr>
        <w:t xml:space="preserve">1.1. O objeto do presente instrumento é a contratação de serviços continuados de </w:t>
      </w:r>
      <w:r>
        <w:rPr>
          <w:rFonts w:ascii="Arial" w:eastAsia="Arial" w:hAnsi="Arial" w:cs="Arial"/>
          <w:color w:val="FF0000"/>
          <w:sz w:val="20"/>
        </w:rPr>
        <w:t>..........................</w:t>
      </w:r>
      <w:r>
        <w:rPr>
          <w:rFonts w:ascii="Arial" w:eastAsia="Arial" w:hAnsi="Arial" w:cs="Arial"/>
          <w:sz w:val="20"/>
        </w:rPr>
        <w:t>, com disponibilização de mão de obra em regime de dedicação exclusiva, que serão prestados nas condições estabelecidas n</w:t>
      </w:r>
      <w:r>
        <w:rPr>
          <w:rFonts w:ascii="Arial" w:eastAsia="Arial" w:hAnsi="Arial" w:cs="Arial"/>
          <w:sz w:val="20"/>
        </w:rPr>
        <w:t xml:space="preserve">o Termo de Referência, anexo do Edital. </w:t>
      </w:r>
    </w:p>
    <w:p w:rsidR="006C145C" w:rsidRDefault="00C62E5A">
      <w:pPr>
        <w:spacing w:after="129" w:line="270" w:lineRule="auto"/>
        <w:ind w:left="433" w:right="54" w:hanging="8"/>
        <w:jc w:val="both"/>
      </w:pPr>
      <w:r>
        <w:rPr>
          <w:rFonts w:ascii="Arial" w:eastAsia="Arial" w:hAnsi="Arial" w:cs="Arial"/>
          <w:sz w:val="20"/>
        </w:rPr>
        <w:t xml:space="preserve">1.2.  Este Termo de Contrato vincula-se ao Edital do Pregão, identificado no preâmbulo, e à proposta vencedora, independentemente de transcrição. </w:t>
      </w:r>
    </w:p>
    <w:p w:rsidR="006C145C" w:rsidRDefault="00C62E5A">
      <w:pPr>
        <w:spacing w:after="0" w:line="270" w:lineRule="auto"/>
        <w:ind w:left="433" w:right="54" w:hanging="8"/>
        <w:jc w:val="both"/>
      </w:pPr>
      <w:r>
        <w:rPr>
          <w:rFonts w:ascii="Arial" w:eastAsia="Arial" w:hAnsi="Arial" w:cs="Arial"/>
          <w:sz w:val="20"/>
        </w:rPr>
        <w:t xml:space="preserve">1.3. Objeto da contratação: </w:t>
      </w:r>
    </w:p>
    <w:tbl>
      <w:tblPr>
        <w:tblStyle w:val="TableGrid"/>
        <w:tblW w:w="8462" w:type="dxa"/>
        <w:tblInd w:w="113" w:type="dxa"/>
        <w:tblCellMar>
          <w:top w:w="12" w:type="dxa"/>
          <w:left w:w="108" w:type="dxa"/>
          <w:bottom w:w="0" w:type="dxa"/>
          <w:right w:w="81" w:type="dxa"/>
        </w:tblCellMar>
        <w:tblLook w:val="04A0" w:firstRow="1" w:lastRow="0" w:firstColumn="1" w:lastColumn="0" w:noHBand="0" w:noVBand="1"/>
      </w:tblPr>
      <w:tblGrid>
        <w:gridCol w:w="1620"/>
        <w:gridCol w:w="1621"/>
        <w:gridCol w:w="1440"/>
        <w:gridCol w:w="1260"/>
        <w:gridCol w:w="1261"/>
        <w:gridCol w:w="1260"/>
      </w:tblGrid>
      <w:tr w:rsidR="006C145C">
        <w:trPr>
          <w:trHeight w:val="701"/>
        </w:trPr>
        <w:tc>
          <w:tcPr>
            <w:tcW w:w="1620" w:type="dxa"/>
            <w:tcBorders>
              <w:top w:val="single" w:sz="4" w:space="0" w:color="000000"/>
              <w:left w:val="single" w:sz="4" w:space="0" w:color="000000"/>
              <w:bottom w:val="single" w:sz="4" w:space="0" w:color="000000"/>
              <w:right w:val="single" w:sz="4" w:space="0" w:color="000000"/>
            </w:tcBorders>
          </w:tcPr>
          <w:p w:rsidR="006C145C" w:rsidRDefault="00C62E5A">
            <w:pPr>
              <w:spacing w:after="0"/>
              <w:jc w:val="center"/>
            </w:pPr>
            <w:r>
              <w:rPr>
                <w:rFonts w:ascii="Arial" w:eastAsia="Arial" w:hAnsi="Arial" w:cs="Arial"/>
                <w:color w:val="FF0000"/>
                <w:sz w:val="20"/>
              </w:rPr>
              <w:t xml:space="preserve">ITEM (SERVIÇO) </w:t>
            </w:r>
          </w:p>
        </w:tc>
        <w:tc>
          <w:tcPr>
            <w:tcW w:w="1621" w:type="dxa"/>
            <w:tcBorders>
              <w:top w:val="single" w:sz="4" w:space="0" w:color="000000"/>
              <w:left w:val="single" w:sz="4" w:space="0" w:color="000000"/>
              <w:bottom w:val="single" w:sz="4" w:space="0" w:color="000000"/>
              <w:right w:val="single" w:sz="4" w:space="0" w:color="000000"/>
            </w:tcBorders>
          </w:tcPr>
          <w:p w:rsidR="006C145C" w:rsidRDefault="00C62E5A">
            <w:pPr>
              <w:spacing w:after="0"/>
              <w:jc w:val="center"/>
            </w:pPr>
            <w:r>
              <w:rPr>
                <w:rFonts w:ascii="Arial" w:eastAsia="Arial" w:hAnsi="Arial" w:cs="Arial"/>
                <w:color w:val="FF0000"/>
                <w:sz w:val="20"/>
              </w:rPr>
              <w:t>LOCAL DE EXECUÇÃO</w:t>
            </w:r>
            <w:r>
              <w:rPr>
                <w:rFonts w:ascii="Arial" w:eastAsia="Arial" w:hAnsi="Arial" w:cs="Arial"/>
                <w:i/>
                <w:color w:val="FF0000"/>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22"/>
            </w:pPr>
            <w:r>
              <w:rPr>
                <w:rFonts w:ascii="Arial" w:eastAsia="Arial" w:hAnsi="Arial" w:cs="Arial"/>
                <w:color w:val="FF0000"/>
                <w:sz w:val="20"/>
              </w:rPr>
              <w:t>QUAN</w:t>
            </w:r>
            <w:r>
              <w:rPr>
                <w:rFonts w:ascii="Arial" w:eastAsia="Arial" w:hAnsi="Arial" w:cs="Arial"/>
                <w:color w:val="FF0000"/>
                <w:sz w:val="20"/>
              </w:rPr>
              <w:t>TIDAD</w:t>
            </w:r>
          </w:p>
          <w:p w:rsidR="006C145C" w:rsidRDefault="00C62E5A">
            <w:pPr>
              <w:spacing w:after="0"/>
              <w:ind w:right="32"/>
              <w:jc w:val="center"/>
            </w:pPr>
            <w:r>
              <w:rPr>
                <w:rFonts w:ascii="Arial" w:eastAsia="Arial" w:hAnsi="Arial" w:cs="Arial"/>
                <w:color w:val="FF0000"/>
                <w:sz w:val="20"/>
              </w:rPr>
              <w:t xml:space="preserve">E/ </w:t>
            </w:r>
          </w:p>
          <w:p w:rsidR="006C145C" w:rsidRDefault="00C62E5A">
            <w:pPr>
              <w:spacing w:after="0"/>
              <w:ind w:right="29"/>
              <w:jc w:val="center"/>
            </w:pPr>
            <w:r>
              <w:rPr>
                <w:rFonts w:ascii="Arial" w:eastAsia="Arial" w:hAnsi="Arial" w:cs="Arial"/>
                <w:color w:val="FF0000"/>
                <w:sz w:val="20"/>
              </w:rPr>
              <w:t xml:space="preserve">POSTOS </w:t>
            </w:r>
          </w:p>
        </w:tc>
        <w:tc>
          <w:tcPr>
            <w:tcW w:w="1260" w:type="dxa"/>
            <w:tcBorders>
              <w:top w:val="single" w:sz="4" w:space="0" w:color="000000"/>
              <w:left w:val="single" w:sz="4" w:space="0" w:color="000000"/>
              <w:bottom w:val="single" w:sz="4" w:space="0" w:color="000000"/>
              <w:right w:val="single" w:sz="4" w:space="0" w:color="000000"/>
            </w:tcBorders>
          </w:tcPr>
          <w:p w:rsidR="006C145C" w:rsidRDefault="00C62E5A">
            <w:pPr>
              <w:spacing w:after="0"/>
              <w:jc w:val="center"/>
            </w:pPr>
            <w:r>
              <w:rPr>
                <w:rFonts w:ascii="Arial" w:eastAsia="Arial" w:hAnsi="Arial" w:cs="Arial"/>
                <w:color w:val="FF0000"/>
                <w:sz w:val="20"/>
              </w:rPr>
              <w:t xml:space="preserve">HORÁRIO/ PERÍODO </w:t>
            </w:r>
          </w:p>
        </w:tc>
        <w:tc>
          <w:tcPr>
            <w:tcW w:w="1261" w:type="dxa"/>
            <w:tcBorders>
              <w:top w:val="single" w:sz="4" w:space="0" w:color="000000"/>
              <w:left w:val="single" w:sz="4" w:space="0" w:color="000000"/>
              <w:bottom w:val="single" w:sz="4" w:space="0" w:color="000000"/>
              <w:right w:val="single" w:sz="4" w:space="0" w:color="000000"/>
            </w:tcBorders>
          </w:tcPr>
          <w:p w:rsidR="006C145C" w:rsidRDefault="00C62E5A">
            <w:pPr>
              <w:spacing w:after="0"/>
              <w:jc w:val="center"/>
            </w:pPr>
            <w:r>
              <w:rPr>
                <w:rFonts w:ascii="Arial" w:eastAsia="Arial" w:hAnsi="Arial" w:cs="Arial"/>
                <w:color w:val="FF0000"/>
                <w:sz w:val="20"/>
              </w:rPr>
              <w:t xml:space="preserve">CARGA HORÁRIA </w:t>
            </w:r>
          </w:p>
        </w:tc>
        <w:tc>
          <w:tcPr>
            <w:tcW w:w="1260"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48"/>
            </w:pPr>
            <w:r>
              <w:rPr>
                <w:rFonts w:ascii="Arial" w:eastAsia="Arial" w:hAnsi="Arial" w:cs="Arial"/>
                <w:color w:val="FF0000"/>
                <w:sz w:val="20"/>
              </w:rPr>
              <w:t xml:space="preserve">VALORES </w:t>
            </w:r>
          </w:p>
        </w:tc>
      </w:tr>
      <w:tr w:rsidR="006C145C">
        <w:trPr>
          <w:trHeight w:val="360"/>
        </w:trPr>
        <w:tc>
          <w:tcPr>
            <w:tcW w:w="1620"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c>
          <w:tcPr>
            <w:tcW w:w="1261"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r>
      <w:tr w:rsidR="006C145C">
        <w:trPr>
          <w:trHeight w:val="360"/>
        </w:trPr>
        <w:tc>
          <w:tcPr>
            <w:tcW w:w="1620"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c>
          <w:tcPr>
            <w:tcW w:w="1261"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r>
      <w:tr w:rsidR="006C145C">
        <w:trPr>
          <w:trHeight w:val="360"/>
        </w:trPr>
        <w:tc>
          <w:tcPr>
            <w:tcW w:w="1620"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c>
          <w:tcPr>
            <w:tcW w:w="1261"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r>
      <w:tr w:rsidR="006C145C">
        <w:trPr>
          <w:trHeight w:val="360"/>
        </w:trPr>
        <w:tc>
          <w:tcPr>
            <w:tcW w:w="1620"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c>
          <w:tcPr>
            <w:tcW w:w="1261"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t xml:space="preserve"> </w:t>
            </w:r>
          </w:p>
        </w:tc>
      </w:tr>
    </w:tbl>
    <w:p w:rsidR="006C145C" w:rsidRDefault="00C62E5A">
      <w:pPr>
        <w:spacing w:after="163"/>
      </w:pPr>
      <w:r>
        <w:rPr>
          <w:rFonts w:ascii="Arial" w:eastAsia="Arial" w:hAnsi="Arial" w:cs="Arial"/>
          <w:color w:val="FF0000"/>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266" w:line="249" w:lineRule="auto"/>
        <w:ind w:left="-5" w:right="57" w:hanging="10"/>
        <w:jc w:val="both"/>
      </w:pPr>
      <w:r>
        <w:rPr>
          <w:rFonts w:ascii="Arial" w:eastAsia="Arial" w:hAnsi="Arial" w:cs="Arial"/>
          <w:b/>
          <w:i/>
          <w:sz w:val="20"/>
        </w:rPr>
        <w:t xml:space="preserve">Nota explicativa: </w:t>
      </w:r>
      <w:r>
        <w:rPr>
          <w:rFonts w:ascii="Arial" w:eastAsia="Arial" w:hAnsi="Arial" w:cs="Arial"/>
          <w:i/>
          <w:sz w:val="20"/>
        </w:rPr>
        <w:t>A tabela acima é meramente ilustrativa, aplicável na hipótese em que a licitação tenha sido dividida em itens ou grupos, devendo compatibilizar-se com as especificações dos serviços estabelecidas no Termo de Referência e reproduzir o preço e demais condiçõ</w:t>
      </w:r>
      <w:r>
        <w:rPr>
          <w:rFonts w:ascii="Arial" w:eastAsia="Arial" w:hAnsi="Arial" w:cs="Arial"/>
          <w:i/>
          <w:sz w:val="20"/>
        </w:rPr>
        <w:t xml:space="preserve">es ofertadas na proposta vencedora. </w:t>
      </w:r>
      <w:r>
        <w:rPr>
          <w:rFonts w:ascii="Arial" w:eastAsia="Arial" w:hAnsi="Arial" w:cs="Arial"/>
          <w:b/>
          <w:i/>
          <w:sz w:val="20"/>
        </w:rPr>
        <w:t xml:space="preserve"> </w:t>
      </w:r>
    </w:p>
    <w:p w:rsidR="006C145C" w:rsidRDefault="00C62E5A">
      <w:pPr>
        <w:pStyle w:val="Ttulo3"/>
        <w:spacing w:after="114" w:line="249" w:lineRule="auto"/>
        <w:ind w:left="7" w:right="37"/>
        <w:jc w:val="both"/>
      </w:pPr>
      <w:r>
        <w:t xml:space="preserve">2. CLÁUSULA SEGUNDA – VIGÊNCIA </w:t>
      </w:r>
    </w:p>
    <w:p w:rsidR="006C145C" w:rsidRDefault="00C62E5A">
      <w:pPr>
        <w:spacing w:after="130" w:line="270" w:lineRule="auto"/>
        <w:ind w:left="420" w:right="58" w:hanging="10"/>
        <w:jc w:val="both"/>
      </w:pPr>
      <w:r>
        <w:rPr>
          <w:rFonts w:ascii="Arial" w:eastAsia="Arial" w:hAnsi="Arial" w:cs="Arial"/>
          <w:sz w:val="20"/>
        </w:rPr>
        <w:t xml:space="preserve">2.1. O prazo de vigência deste Termo de Contrato é aquele fixado no Edital, com início na data de </w:t>
      </w:r>
      <w:r>
        <w:rPr>
          <w:rFonts w:ascii="Arial" w:eastAsia="Arial" w:hAnsi="Arial" w:cs="Arial"/>
          <w:color w:val="FF0000"/>
          <w:sz w:val="20"/>
        </w:rPr>
        <w:t>.........../......../........</w:t>
      </w:r>
      <w:r>
        <w:rPr>
          <w:rFonts w:ascii="Arial" w:eastAsia="Arial" w:hAnsi="Arial" w:cs="Arial"/>
          <w:sz w:val="20"/>
        </w:rPr>
        <w:t xml:space="preserve"> e encerramento em </w:t>
      </w:r>
      <w:r>
        <w:rPr>
          <w:rFonts w:ascii="Arial" w:eastAsia="Arial" w:hAnsi="Arial" w:cs="Arial"/>
          <w:color w:val="FF0000"/>
          <w:sz w:val="20"/>
        </w:rPr>
        <w:t>.........../........./..........</w:t>
      </w:r>
      <w:r>
        <w:rPr>
          <w:rFonts w:ascii="Arial" w:eastAsia="Arial" w:hAnsi="Arial" w:cs="Arial"/>
          <w:sz w:val="20"/>
        </w:rPr>
        <w:t xml:space="preserve">, </w:t>
      </w:r>
      <w:r>
        <w:rPr>
          <w:rFonts w:ascii="Arial" w:eastAsia="Arial" w:hAnsi="Arial" w:cs="Arial"/>
          <w:i/>
          <w:color w:val="FF0000"/>
          <w:sz w:val="20"/>
        </w:rPr>
        <w:t xml:space="preserve">podendo ser prorrogado por interesse das partes até o  limite de 60 (sessenta) meses, desde que haja autorização formal da autoridade competente e seja observado o disposto no Anexo IX da IN SEGES/MP n.º 05/2017, atentando, em especial, para o cumprimento </w:t>
      </w:r>
      <w:r>
        <w:rPr>
          <w:rFonts w:ascii="Arial" w:eastAsia="Arial" w:hAnsi="Arial" w:cs="Arial"/>
          <w:i/>
          <w:color w:val="FF0000"/>
          <w:sz w:val="20"/>
        </w:rPr>
        <w:t xml:space="preserve">dos seguintes requisitos:  </w:t>
      </w:r>
    </w:p>
    <w:p w:rsidR="006C145C" w:rsidRDefault="00C62E5A">
      <w:pPr>
        <w:spacing w:after="130" w:line="270" w:lineRule="auto"/>
        <w:ind w:left="1145" w:right="58" w:hanging="10"/>
        <w:jc w:val="both"/>
      </w:pPr>
      <w:r>
        <w:rPr>
          <w:rFonts w:ascii="Arial" w:eastAsia="Arial" w:hAnsi="Arial" w:cs="Arial"/>
          <w:color w:val="FF0000"/>
          <w:sz w:val="20"/>
        </w:rPr>
        <w:t xml:space="preserve">2.1.1. </w:t>
      </w:r>
      <w:r>
        <w:rPr>
          <w:rFonts w:ascii="Arial" w:eastAsia="Arial" w:hAnsi="Arial" w:cs="Arial"/>
          <w:i/>
          <w:color w:val="FF0000"/>
          <w:sz w:val="20"/>
        </w:rPr>
        <w:t xml:space="preserve">Esteja formalmente demonstrado que a forma de prestação dos serviços tem natureza continuada;   </w:t>
      </w:r>
    </w:p>
    <w:p w:rsidR="006C145C" w:rsidRDefault="00C62E5A">
      <w:pPr>
        <w:spacing w:after="130" w:line="270" w:lineRule="auto"/>
        <w:ind w:left="1145" w:right="58" w:hanging="10"/>
        <w:jc w:val="both"/>
      </w:pPr>
      <w:r>
        <w:rPr>
          <w:rFonts w:ascii="Arial" w:eastAsia="Arial" w:hAnsi="Arial" w:cs="Arial"/>
          <w:color w:val="FF0000"/>
          <w:sz w:val="20"/>
        </w:rPr>
        <w:t xml:space="preserve">2.1.2. </w:t>
      </w:r>
      <w:r>
        <w:rPr>
          <w:rFonts w:ascii="Arial" w:eastAsia="Arial" w:hAnsi="Arial" w:cs="Arial"/>
          <w:i/>
          <w:color w:val="FF0000"/>
          <w:sz w:val="20"/>
        </w:rPr>
        <w:t>Seja juntado relatório que discorra sobre a execução do contrato, com informações de que os serviços tenham sido pres</w:t>
      </w:r>
      <w:r>
        <w:rPr>
          <w:rFonts w:ascii="Arial" w:eastAsia="Arial" w:hAnsi="Arial" w:cs="Arial"/>
          <w:i/>
          <w:color w:val="FF0000"/>
          <w:sz w:val="20"/>
        </w:rPr>
        <w:t xml:space="preserve">tados regularmente;   </w:t>
      </w:r>
    </w:p>
    <w:p w:rsidR="006C145C" w:rsidRDefault="00C62E5A">
      <w:pPr>
        <w:spacing w:after="130" w:line="270" w:lineRule="auto"/>
        <w:ind w:left="1145" w:right="58" w:hanging="10"/>
        <w:jc w:val="both"/>
      </w:pPr>
      <w:r>
        <w:rPr>
          <w:rFonts w:ascii="Arial" w:eastAsia="Arial" w:hAnsi="Arial" w:cs="Arial"/>
          <w:color w:val="FF0000"/>
          <w:sz w:val="20"/>
        </w:rPr>
        <w:t xml:space="preserve">2.1.3. </w:t>
      </w:r>
      <w:r>
        <w:rPr>
          <w:rFonts w:ascii="Arial" w:eastAsia="Arial" w:hAnsi="Arial" w:cs="Arial"/>
          <w:i/>
          <w:color w:val="FF0000"/>
          <w:sz w:val="20"/>
        </w:rPr>
        <w:t xml:space="preserve">Seja juntada justificativa e motivo, por escrito, de que a Administração mantém interesse na realização do serviço;   </w:t>
      </w:r>
    </w:p>
    <w:p w:rsidR="006C145C" w:rsidRDefault="00C62E5A">
      <w:pPr>
        <w:spacing w:after="130" w:line="270" w:lineRule="auto"/>
        <w:ind w:left="1145" w:right="58" w:hanging="10"/>
        <w:jc w:val="both"/>
      </w:pPr>
      <w:r>
        <w:rPr>
          <w:rFonts w:ascii="Arial" w:eastAsia="Arial" w:hAnsi="Arial" w:cs="Arial"/>
          <w:color w:val="FF0000"/>
          <w:sz w:val="20"/>
        </w:rPr>
        <w:t xml:space="preserve">2.1.4. </w:t>
      </w:r>
      <w:r>
        <w:rPr>
          <w:rFonts w:ascii="Arial" w:eastAsia="Arial" w:hAnsi="Arial" w:cs="Arial"/>
          <w:i/>
          <w:color w:val="FF0000"/>
          <w:sz w:val="20"/>
        </w:rPr>
        <w:t xml:space="preserve">Seja comprovado que o valor do contrato permanece economicamente vantajoso para a Administração;   </w:t>
      </w:r>
    </w:p>
    <w:p w:rsidR="006C145C" w:rsidRDefault="00C62E5A">
      <w:pPr>
        <w:spacing w:after="130" w:line="270" w:lineRule="auto"/>
        <w:ind w:left="1145" w:right="58" w:hanging="10"/>
        <w:jc w:val="both"/>
      </w:pPr>
      <w:r>
        <w:rPr>
          <w:rFonts w:ascii="Arial" w:eastAsia="Arial" w:hAnsi="Arial" w:cs="Arial"/>
          <w:color w:val="FF0000"/>
          <w:sz w:val="20"/>
        </w:rPr>
        <w:t xml:space="preserve">2.1.5. </w:t>
      </w:r>
      <w:r>
        <w:rPr>
          <w:rFonts w:ascii="Arial" w:eastAsia="Arial" w:hAnsi="Arial" w:cs="Arial"/>
          <w:i/>
          <w:color w:val="FF0000"/>
          <w:sz w:val="20"/>
        </w:rPr>
        <w:t xml:space="preserve">Haja manifestação expressa da contratada informando o interesse na prorrogação;  </w:t>
      </w:r>
    </w:p>
    <w:p w:rsidR="006C145C" w:rsidRDefault="00C62E5A">
      <w:pPr>
        <w:spacing w:after="130" w:line="270" w:lineRule="auto"/>
        <w:ind w:left="1145" w:right="58" w:hanging="10"/>
        <w:jc w:val="both"/>
      </w:pPr>
      <w:r>
        <w:rPr>
          <w:rFonts w:ascii="Arial" w:eastAsia="Arial" w:hAnsi="Arial" w:cs="Arial"/>
          <w:color w:val="FF0000"/>
          <w:sz w:val="20"/>
        </w:rPr>
        <w:t xml:space="preserve">2.1.6. </w:t>
      </w:r>
      <w:r>
        <w:rPr>
          <w:rFonts w:ascii="Arial" w:eastAsia="Arial" w:hAnsi="Arial" w:cs="Arial"/>
          <w:i/>
          <w:color w:val="FF0000"/>
          <w:sz w:val="20"/>
        </w:rPr>
        <w:t xml:space="preserve">Seja comprovado que a contratada mantém as condições iniciais de habilitação. </w:t>
      </w:r>
    </w:p>
    <w:p w:rsidR="006C145C" w:rsidRDefault="00C62E5A">
      <w:pPr>
        <w:spacing w:after="130" w:line="270" w:lineRule="auto"/>
        <w:ind w:left="420" w:right="58" w:hanging="10"/>
        <w:jc w:val="both"/>
      </w:pPr>
      <w:r>
        <w:rPr>
          <w:rFonts w:ascii="Arial" w:eastAsia="Arial" w:hAnsi="Arial" w:cs="Arial"/>
          <w:sz w:val="20"/>
        </w:rPr>
        <w:t xml:space="preserve">2.2. </w:t>
      </w:r>
      <w:r>
        <w:rPr>
          <w:rFonts w:ascii="Arial" w:eastAsia="Arial" w:hAnsi="Arial" w:cs="Arial"/>
          <w:i/>
          <w:color w:val="FF0000"/>
          <w:sz w:val="20"/>
        </w:rPr>
        <w:t xml:space="preserve">A CONTRATADA não tem direito subjetivo à prorrogação contratual. </w:t>
      </w:r>
    </w:p>
    <w:p w:rsidR="006C145C" w:rsidRDefault="00C62E5A">
      <w:pPr>
        <w:spacing w:after="157" w:line="270" w:lineRule="auto"/>
        <w:ind w:left="420" w:right="58" w:hanging="10"/>
        <w:jc w:val="both"/>
      </w:pPr>
      <w:r>
        <w:rPr>
          <w:rFonts w:ascii="Arial" w:eastAsia="Arial" w:hAnsi="Arial" w:cs="Arial"/>
          <w:sz w:val="20"/>
        </w:rPr>
        <w:t xml:space="preserve">2.3. </w:t>
      </w:r>
      <w:r>
        <w:rPr>
          <w:rFonts w:ascii="Arial" w:eastAsia="Arial" w:hAnsi="Arial" w:cs="Arial"/>
          <w:i/>
          <w:color w:val="FF0000"/>
          <w:sz w:val="20"/>
        </w:rPr>
        <w:t>A pro</w:t>
      </w:r>
      <w:r>
        <w:rPr>
          <w:rFonts w:ascii="Arial" w:eastAsia="Arial" w:hAnsi="Arial" w:cs="Arial"/>
          <w:i/>
          <w:color w:val="FF0000"/>
          <w:sz w:val="20"/>
        </w:rPr>
        <w:t xml:space="preserve">rrogação de contrato deverá ser promovida mediante celebração de termo aditivo.  </w:t>
      </w:r>
    </w:p>
    <w:p w:rsidR="006C145C" w:rsidRDefault="00C62E5A">
      <w:pPr>
        <w:pBdr>
          <w:top w:val="single" w:sz="4" w:space="0" w:color="000000"/>
          <w:left w:val="single" w:sz="4" w:space="0" w:color="000000"/>
          <w:right w:val="single" w:sz="4" w:space="0" w:color="000000"/>
        </w:pBdr>
        <w:shd w:val="clear" w:color="auto" w:fill="FFFFCC"/>
        <w:spacing w:after="88" w:line="279" w:lineRule="auto"/>
        <w:ind w:left="-5" w:right="46" w:hanging="10"/>
        <w:jc w:val="both"/>
      </w:pPr>
      <w:r>
        <w:rPr>
          <w:rFonts w:ascii="Arial" w:eastAsia="Arial" w:hAnsi="Arial" w:cs="Arial"/>
          <w:b/>
          <w:i/>
          <w:sz w:val="20"/>
        </w:rPr>
        <w:t>Nota Explicativa</w:t>
      </w:r>
      <w:r>
        <w:rPr>
          <w:rFonts w:ascii="Arial" w:eastAsia="Arial" w:hAnsi="Arial" w:cs="Arial"/>
          <w:i/>
          <w:sz w:val="20"/>
        </w:rPr>
        <w:t>: No modelo de Edital há campo específico para que o órgão ou entidade licitante indique o prazo inicial de vigência contratual (como por exemplo o prazo inic</w:t>
      </w:r>
      <w:r>
        <w:rPr>
          <w:rFonts w:ascii="Arial" w:eastAsia="Arial" w:hAnsi="Arial" w:cs="Arial"/>
          <w:i/>
          <w:sz w:val="20"/>
        </w:rPr>
        <w:t xml:space="preserve">ial de 12 meses), devendo estar de acordo com o acima.  </w:t>
      </w:r>
    </w:p>
    <w:p w:rsidR="006C145C" w:rsidRDefault="00C62E5A">
      <w:pPr>
        <w:pBdr>
          <w:top w:val="single" w:sz="4" w:space="0" w:color="000000"/>
          <w:left w:val="single" w:sz="4" w:space="0" w:color="000000"/>
          <w:right w:val="single" w:sz="4" w:space="0" w:color="000000"/>
        </w:pBdr>
        <w:shd w:val="clear" w:color="auto" w:fill="FFFFCC"/>
        <w:spacing w:after="88" w:line="279" w:lineRule="auto"/>
        <w:ind w:left="-5" w:right="46" w:hanging="10"/>
        <w:jc w:val="both"/>
      </w:pPr>
      <w:r>
        <w:rPr>
          <w:rFonts w:ascii="Arial" w:eastAsia="Arial" w:hAnsi="Arial" w:cs="Arial"/>
          <w:i/>
          <w:sz w:val="20"/>
        </w:rPr>
        <w:t xml:space="preserve">Acaso se trate de contrato em que haja previsão de possibilidade de prorrogação contratual, o trecho em vermelho deve ser utilizado.  </w:t>
      </w:r>
    </w:p>
    <w:p w:rsidR="006C145C" w:rsidRDefault="00C62E5A">
      <w:pPr>
        <w:pBdr>
          <w:top w:val="single" w:sz="4" w:space="0" w:color="000000"/>
          <w:left w:val="single" w:sz="4" w:space="0" w:color="000000"/>
          <w:right w:val="single" w:sz="4" w:space="0" w:color="000000"/>
        </w:pBdr>
        <w:shd w:val="clear" w:color="auto" w:fill="FFFFCC"/>
        <w:spacing w:after="88" w:line="279" w:lineRule="auto"/>
        <w:ind w:left="-5" w:right="46" w:hanging="10"/>
        <w:jc w:val="both"/>
      </w:pPr>
      <w:r>
        <w:rPr>
          <w:rFonts w:ascii="Arial" w:eastAsia="Arial" w:hAnsi="Arial" w:cs="Arial"/>
          <w:i/>
          <w:sz w:val="20"/>
        </w:rPr>
        <w:lastRenderedPageBreak/>
        <w:t>A vigência do Termo de Contrato de prestação de serviços contínu</w:t>
      </w:r>
      <w:r>
        <w:rPr>
          <w:rFonts w:ascii="Arial" w:eastAsia="Arial" w:hAnsi="Arial" w:cs="Arial"/>
          <w:i/>
          <w:sz w:val="20"/>
        </w:rPr>
        <w:t>os pode ultrapassar o exercício financeiro, como no exemplo a seguir, totalizando 60 (sessenta) meses, no entanto, conforme entendimento esposado no Parecer n. 035/2013/DECOR/CGU/AGU, aprovado pelo então ConsultorGeral da União – Substituto, nos autos do p</w:t>
      </w:r>
      <w:r>
        <w:rPr>
          <w:rFonts w:ascii="Arial" w:eastAsia="Arial" w:hAnsi="Arial" w:cs="Arial"/>
          <w:i/>
          <w:sz w:val="20"/>
        </w:rPr>
        <w:t>rocesso n. 00400.007093/2013-13, a contagem dos prazos contratuais fixados em meses ou anos deve ser de data a data, conforme art. 132, §3°do CC c/c art. 54 da Lei n. 8.666/93. A prorrogação de contrato deverá ser promovida mediante a celebração de termo a</w:t>
      </w:r>
      <w:r>
        <w:rPr>
          <w:rFonts w:ascii="Arial" w:eastAsia="Arial" w:hAnsi="Arial" w:cs="Arial"/>
          <w:i/>
          <w:sz w:val="20"/>
        </w:rPr>
        <w:t xml:space="preserve">ditivo. Ademais, no caso de prorrogação da vigência devem ser observadas as regras previstas no Anexo IV da IN SEGES/MP n. 5/2017.  </w:t>
      </w:r>
    </w:p>
    <w:p w:rsidR="006C145C" w:rsidRDefault="00C62E5A">
      <w:pPr>
        <w:pBdr>
          <w:left w:val="single" w:sz="4" w:space="0" w:color="000000"/>
          <w:bottom w:val="single" w:sz="4" w:space="0" w:color="000000"/>
          <w:right w:val="single" w:sz="4" w:space="0" w:color="000000"/>
        </w:pBdr>
        <w:shd w:val="clear" w:color="auto" w:fill="FFFFCC"/>
        <w:spacing w:after="91" w:line="278" w:lineRule="auto"/>
        <w:ind w:left="-5" w:right="55" w:hanging="10"/>
        <w:jc w:val="both"/>
      </w:pPr>
      <w:r>
        <w:rPr>
          <w:rFonts w:ascii="Arial" w:eastAsia="Arial" w:hAnsi="Arial" w:cs="Arial"/>
          <w:i/>
          <w:sz w:val="20"/>
        </w:rPr>
        <w:t xml:space="preserve">Cabe mencionar, ainda, que o TCU flexibilizou o entendimento </w:t>
      </w:r>
      <w:r>
        <w:rPr>
          <w:rFonts w:ascii="Arial" w:eastAsia="Arial" w:hAnsi="Arial" w:cs="Arial"/>
          <w:i/>
          <w:sz w:val="20"/>
        </w:rPr>
        <w:t>de que os contratos de serviços continuados devem ter seu prazo inicial fixado em 12 meses, podendo a autoridade justificar a vantajosidade de um prazo inicial maior. Veja-se o seguinte trecho do Acórdão nº 1214/2013-Plenário: "Considerando que a legislaçã</w:t>
      </w:r>
      <w:r>
        <w:rPr>
          <w:rFonts w:ascii="Arial" w:eastAsia="Arial" w:hAnsi="Arial" w:cs="Arial"/>
          <w:i/>
          <w:sz w:val="20"/>
        </w:rPr>
        <w:t>o não determina expressamente que esse tipo de contrato deve ter prazo inicial de vigência de 12 meses, levando em conta os aspectos mencionados nos parágrafos anteriores, entendo que não se deva fixar uma orientação geral de que a administração deve ou nã</w:t>
      </w:r>
      <w:r>
        <w:rPr>
          <w:rFonts w:ascii="Arial" w:eastAsia="Arial" w:hAnsi="Arial" w:cs="Arial"/>
          <w:i/>
          <w:sz w:val="20"/>
        </w:rPr>
        <w:t>o fazer contratos para prestação de serviços continuados com prazo de 12, 24 ou 60 meses. É uma avaliação que deve ser feita a cada caso concreto, tendo em conta as características específicas daquela contratação. Cabe à administração justificar no procedi</w:t>
      </w:r>
      <w:r>
        <w:rPr>
          <w:rFonts w:ascii="Arial" w:eastAsia="Arial" w:hAnsi="Arial" w:cs="Arial"/>
          <w:i/>
          <w:sz w:val="20"/>
        </w:rPr>
        <w:t xml:space="preserve">mento administrativo o porquê da escolha de um ou outro prazo, levando-se em conta os aspectos aqui discutidos e outros porventura pertinentes para aquele tipo de serviço".  </w:t>
      </w:r>
    </w:p>
    <w:p w:rsidR="006C145C" w:rsidRDefault="00C62E5A">
      <w:pPr>
        <w:pBdr>
          <w:left w:val="single" w:sz="4" w:space="0" w:color="000000"/>
          <w:bottom w:val="single" w:sz="4" w:space="0" w:color="000000"/>
          <w:right w:val="single" w:sz="4" w:space="0" w:color="000000"/>
        </w:pBdr>
        <w:shd w:val="clear" w:color="auto" w:fill="FFFFCC"/>
        <w:spacing w:after="239" w:line="278" w:lineRule="auto"/>
        <w:ind w:left="-5" w:right="55" w:hanging="10"/>
        <w:jc w:val="both"/>
      </w:pPr>
      <w:r>
        <w:rPr>
          <w:rFonts w:ascii="Arial" w:eastAsia="Arial" w:hAnsi="Arial" w:cs="Arial"/>
          <w:i/>
          <w:sz w:val="20"/>
        </w:rPr>
        <w:t>Necessário também atentar para a Orientação Normativa AGU nº 38/2011, segundo a q</w:t>
      </w:r>
      <w:r>
        <w:rPr>
          <w:rFonts w:ascii="Arial" w:eastAsia="Arial" w:hAnsi="Arial" w:cs="Arial"/>
          <w:i/>
          <w:sz w:val="20"/>
        </w:rPr>
        <w:t>ual: “Nos contratos de prestação de serviços de natureza continuada deve-se observar que: a) o prazo de vigência originário, de regra, é de até 12 meses; b) excepcionalmente, este prazo poderá ser fixado por período superior a 12 meses nos casos em que, di</w:t>
      </w:r>
      <w:r>
        <w:rPr>
          <w:rFonts w:ascii="Arial" w:eastAsia="Arial" w:hAnsi="Arial" w:cs="Arial"/>
          <w:i/>
          <w:sz w:val="20"/>
        </w:rPr>
        <w:t xml:space="preserve">ante da peculiaridade e/ou complexidade do objeto, fique tecnicamente demonstrado o benefício advindo para a administração; e c) é juridicamente possível a prorrogação do contrato por prazo diverso do contratado originariamente.” </w:t>
      </w:r>
    </w:p>
    <w:p w:rsidR="006C145C" w:rsidRDefault="00C62E5A">
      <w:pPr>
        <w:pStyle w:val="Ttulo3"/>
        <w:spacing w:after="114" w:line="249" w:lineRule="auto"/>
        <w:ind w:left="7" w:right="37"/>
        <w:jc w:val="both"/>
      </w:pPr>
      <w:r>
        <w:t>3. CLÁUSULA TERCEIRA – PR</w:t>
      </w:r>
      <w:r>
        <w:t xml:space="preserve">EÇO </w:t>
      </w:r>
    </w:p>
    <w:p w:rsidR="006C145C" w:rsidRDefault="00C62E5A">
      <w:pPr>
        <w:spacing w:after="154" w:line="270" w:lineRule="auto"/>
        <w:ind w:left="433" w:right="54" w:hanging="8"/>
        <w:jc w:val="both"/>
      </w:pPr>
      <w:r>
        <w:rPr>
          <w:rFonts w:ascii="Arial" w:eastAsia="Arial" w:hAnsi="Arial" w:cs="Arial"/>
          <w:sz w:val="20"/>
        </w:rPr>
        <w:t xml:space="preserve">3.1. O valor mensal da contratação é de R$ </w:t>
      </w:r>
      <w:r>
        <w:rPr>
          <w:rFonts w:ascii="Arial" w:eastAsia="Arial" w:hAnsi="Arial" w:cs="Arial"/>
          <w:color w:val="FF0000"/>
          <w:sz w:val="20"/>
        </w:rPr>
        <w:t>.......... (.....)</w:t>
      </w:r>
      <w:r>
        <w:rPr>
          <w:rFonts w:ascii="Arial" w:eastAsia="Arial" w:hAnsi="Arial" w:cs="Arial"/>
          <w:sz w:val="20"/>
        </w:rPr>
        <w:t xml:space="preserve">, perfazendo o valor total de R$ </w:t>
      </w:r>
      <w:r>
        <w:rPr>
          <w:rFonts w:ascii="Arial" w:eastAsia="Arial" w:hAnsi="Arial" w:cs="Arial"/>
          <w:color w:val="FF0000"/>
          <w:sz w:val="20"/>
        </w:rPr>
        <w:t>....... (....)</w:t>
      </w:r>
      <w:r>
        <w:rPr>
          <w:rFonts w:ascii="Arial" w:eastAsia="Arial" w:hAnsi="Arial" w:cs="Arial"/>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47" w:line="249" w:lineRule="auto"/>
        <w:ind w:left="-5" w:right="57" w:hanging="10"/>
        <w:jc w:val="both"/>
      </w:pPr>
      <w:r>
        <w:rPr>
          <w:rFonts w:ascii="Arial" w:eastAsia="Arial" w:hAnsi="Arial" w:cs="Arial"/>
          <w:b/>
          <w:i/>
          <w:sz w:val="20"/>
        </w:rPr>
        <w:t>Nota Explicativa</w:t>
      </w:r>
      <w:r>
        <w:rPr>
          <w:rFonts w:ascii="Arial" w:eastAsia="Arial" w:hAnsi="Arial" w:cs="Arial"/>
          <w:i/>
          <w:sz w:val="20"/>
        </w:rPr>
        <w:t xml:space="preserve">. O cômputo do valor total do Termo de Contrato levará em conta o período inicial de vigência estabelecido. </w:t>
      </w:r>
    </w:p>
    <w:p w:rsidR="006C145C" w:rsidRDefault="00C62E5A">
      <w:pPr>
        <w:spacing w:after="129" w:line="270" w:lineRule="auto"/>
        <w:ind w:left="433" w:right="54" w:hanging="8"/>
        <w:jc w:val="both"/>
      </w:pPr>
      <w:r>
        <w:rPr>
          <w:rFonts w:ascii="Arial" w:eastAsia="Arial" w:hAnsi="Arial" w:cs="Arial"/>
          <w:sz w:val="20"/>
        </w:rPr>
        <w:t xml:space="preserve">3.2.  </w:t>
      </w:r>
      <w:r>
        <w:rPr>
          <w:rFonts w:ascii="Arial" w:eastAsia="Arial" w:hAnsi="Arial" w:cs="Arial"/>
          <w:sz w:val="20"/>
        </w:rPr>
        <w:t>No valor acima estão incluídas todas as despesas ordinárias diretas e indiretas decorrentes da execução do objeto, inclusive tributos e/ou impostos, encargos sociais, trabalhistas, previdenciários, fiscais e comerciais incidentes, taxa de administração, fr</w:t>
      </w:r>
      <w:r>
        <w:rPr>
          <w:rFonts w:ascii="Arial" w:eastAsia="Arial" w:hAnsi="Arial" w:cs="Arial"/>
          <w:sz w:val="20"/>
        </w:rPr>
        <w:t xml:space="preserve">ete, seguro e outros necessários ao cumprimento integral do objeto da contratação. </w:t>
      </w:r>
    </w:p>
    <w:p w:rsidR="006C145C" w:rsidRDefault="00C62E5A">
      <w:pPr>
        <w:spacing w:after="154" w:line="270" w:lineRule="auto"/>
        <w:ind w:left="410" w:right="58" w:firstLine="58"/>
        <w:jc w:val="both"/>
      </w:pPr>
      <w:r>
        <w:rPr>
          <w:rFonts w:ascii="Arial" w:eastAsia="Arial" w:hAnsi="Arial" w:cs="Arial"/>
          <w:i/>
          <w:color w:val="FF0000"/>
          <w:sz w:val="20"/>
        </w:rPr>
        <w:t xml:space="preserve">3.3. O valor acima é meramente estimativo, de forma que os pagamentos devidos à CONTRATADA dependerão dos quantitativos de serviços efetivamente prestados.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263" w:line="249" w:lineRule="auto"/>
        <w:ind w:left="-5" w:right="57" w:hanging="10"/>
        <w:jc w:val="both"/>
      </w:pPr>
      <w:r>
        <w:rPr>
          <w:rFonts w:ascii="Arial" w:eastAsia="Arial" w:hAnsi="Arial" w:cs="Arial"/>
          <w:b/>
          <w:i/>
          <w:sz w:val="20"/>
        </w:rPr>
        <w:t>Nota explicativ</w:t>
      </w:r>
      <w:r>
        <w:rPr>
          <w:rFonts w:ascii="Arial" w:eastAsia="Arial" w:hAnsi="Arial" w:cs="Arial"/>
          <w:b/>
          <w:i/>
          <w:sz w:val="20"/>
        </w:rPr>
        <w:t>a</w:t>
      </w:r>
      <w:r>
        <w:rPr>
          <w:rFonts w:ascii="Arial" w:eastAsia="Arial" w:hAnsi="Arial" w:cs="Arial"/>
          <w:i/>
          <w:sz w:val="20"/>
        </w:rPr>
        <w:t xml:space="preserve">: Caso se trate de contrato de valor estimativo, em que a própria demanda pelos serviços é variável, cabe inserir o subitem 3.3  acima.  </w:t>
      </w:r>
    </w:p>
    <w:p w:rsidR="006C145C" w:rsidRDefault="00C62E5A">
      <w:pPr>
        <w:pStyle w:val="Ttulo3"/>
        <w:spacing w:after="114" w:line="249" w:lineRule="auto"/>
        <w:ind w:left="7" w:right="37"/>
        <w:jc w:val="both"/>
      </w:pPr>
      <w:r>
        <w:t xml:space="preserve">4. CLÁUSULA QUARTA – DOTAÇÃO ORÇAMENTÁRIA </w:t>
      </w:r>
    </w:p>
    <w:p w:rsidR="006C145C" w:rsidRDefault="00C62E5A">
      <w:pPr>
        <w:spacing w:after="129" w:line="270" w:lineRule="auto"/>
        <w:ind w:left="433" w:right="54" w:hanging="8"/>
        <w:jc w:val="both"/>
      </w:pPr>
      <w:r>
        <w:rPr>
          <w:rFonts w:ascii="Arial" w:eastAsia="Arial" w:hAnsi="Arial" w:cs="Arial"/>
          <w:sz w:val="20"/>
        </w:rPr>
        <w:t>4.1. As despesas decorrentes desta contratação estão programadas em dotaçã</w:t>
      </w:r>
      <w:r>
        <w:rPr>
          <w:rFonts w:ascii="Arial" w:eastAsia="Arial" w:hAnsi="Arial" w:cs="Arial"/>
          <w:sz w:val="20"/>
        </w:rPr>
        <w:t xml:space="preserve">o orçamentária própria, prevista no orçamento da União, para o exercício de </w:t>
      </w:r>
      <w:r>
        <w:rPr>
          <w:rFonts w:ascii="Arial" w:eastAsia="Arial" w:hAnsi="Arial" w:cs="Arial"/>
          <w:color w:val="FF0000"/>
          <w:sz w:val="20"/>
        </w:rPr>
        <w:t>20...</w:t>
      </w:r>
      <w:r>
        <w:rPr>
          <w:rFonts w:ascii="Arial" w:eastAsia="Arial" w:hAnsi="Arial" w:cs="Arial"/>
          <w:sz w:val="20"/>
        </w:rPr>
        <w:t xml:space="preserve">., na classificação abaixo: </w:t>
      </w:r>
    </w:p>
    <w:p w:rsidR="006C145C" w:rsidRDefault="00C62E5A">
      <w:pPr>
        <w:spacing w:after="129" w:line="270" w:lineRule="auto"/>
        <w:ind w:left="1141" w:right="54" w:hanging="8"/>
        <w:jc w:val="both"/>
      </w:pPr>
      <w:r>
        <w:rPr>
          <w:rFonts w:ascii="Arial" w:eastAsia="Arial" w:hAnsi="Arial" w:cs="Arial"/>
          <w:sz w:val="20"/>
        </w:rPr>
        <w:t xml:space="preserve">Gestão/Unidade:   </w:t>
      </w:r>
    </w:p>
    <w:p w:rsidR="006C145C" w:rsidRDefault="00C62E5A">
      <w:pPr>
        <w:spacing w:after="129" w:line="270" w:lineRule="auto"/>
        <w:ind w:left="1141" w:right="54" w:hanging="8"/>
        <w:jc w:val="both"/>
      </w:pPr>
      <w:r>
        <w:rPr>
          <w:rFonts w:ascii="Arial" w:eastAsia="Arial" w:hAnsi="Arial" w:cs="Arial"/>
          <w:sz w:val="20"/>
        </w:rPr>
        <w:t xml:space="preserve">Fonte:  </w:t>
      </w:r>
    </w:p>
    <w:p w:rsidR="006C145C" w:rsidRDefault="00C62E5A">
      <w:pPr>
        <w:spacing w:after="129" w:line="270" w:lineRule="auto"/>
        <w:ind w:left="1141" w:right="54" w:hanging="8"/>
        <w:jc w:val="both"/>
      </w:pPr>
      <w:r>
        <w:rPr>
          <w:rFonts w:ascii="Arial" w:eastAsia="Arial" w:hAnsi="Arial" w:cs="Arial"/>
          <w:sz w:val="20"/>
        </w:rPr>
        <w:t xml:space="preserve">Programa de Trabalho:   </w:t>
      </w:r>
    </w:p>
    <w:p w:rsidR="006C145C" w:rsidRDefault="00C62E5A">
      <w:pPr>
        <w:spacing w:after="129" w:line="270" w:lineRule="auto"/>
        <w:ind w:left="1141" w:right="54" w:hanging="8"/>
        <w:jc w:val="both"/>
      </w:pPr>
      <w:r>
        <w:rPr>
          <w:rFonts w:ascii="Arial" w:eastAsia="Arial" w:hAnsi="Arial" w:cs="Arial"/>
          <w:sz w:val="20"/>
        </w:rPr>
        <w:t xml:space="preserve">Elemento de Despesa:   </w:t>
      </w:r>
    </w:p>
    <w:p w:rsidR="006C145C" w:rsidRDefault="00C62E5A">
      <w:pPr>
        <w:spacing w:after="129" w:line="270" w:lineRule="auto"/>
        <w:ind w:left="1141" w:right="54" w:hanging="8"/>
        <w:jc w:val="both"/>
      </w:pPr>
      <w:r>
        <w:rPr>
          <w:rFonts w:ascii="Arial" w:eastAsia="Arial" w:hAnsi="Arial" w:cs="Arial"/>
          <w:sz w:val="20"/>
        </w:rPr>
        <w:t xml:space="preserve">PI: </w:t>
      </w:r>
    </w:p>
    <w:p w:rsidR="006C145C" w:rsidRDefault="00C62E5A">
      <w:pPr>
        <w:spacing w:after="244" w:line="270" w:lineRule="auto"/>
        <w:ind w:left="433" w:right="54" w:hanging="8"/>
        <w:jc w:val="both"/>
      </w:pPr>
      <w:r>
        <w:rPr>
          <w:rFonts w:ascii="Arial" w:eastAsia="Arial" w:hAnsi="Arial" w:cs="Arial"/>
          <w:sz w:val="20"/>
        </w:rPr>
        <w:lastRenderedPageBreak/>
        <w:t xml:space="preserve">4.2. </w:t>
      </w:r>
      <w:r>
        <w:rPr>
          <w:rFonts w:ascii="Arial" w:eastAsia="Arial" w:hAnsi="Arial" w:cs="Arial"/>
          <w:sz w:val="20"/>
        </w:rPr>
        <w:t>No(s) exercício(s) seguinte(s), as despesas correspondentes correrão à conta dos recursos próprios para atender às despesas da mesma natureza, cuja alocação será feita no início de cada exercício financeiro.</w:t>
      </w:r>
      <w:r>
        <w:rPr>
          <w:rFonts w:ascii="Arial" w:eastAsia="Arial" w:hAnsi="Arial" w:cs="Arial"/>
          <w:b/>
          <w:sz w:val="20"/>
        </w:rPr>
        <w:t xml:space="preserve"> </w:t>
      </w:r>
      <w:r>
        <w:rPr>
          <w:rFonts w:ascii="Arial" w:eastAsia="Arial" w:hAnsi="Arial" w:cs="Arial"/>
          <w:sz w:val="20"/>
        </w:rPr>
        <w:t xml:space="preserve"> </w:t>
      </w:r>
    </w:p>
    <w:p w:rsidR="006C145C" w:rsidRDefault="00C62E5A">
      <w:pPr>
        <w:pStyle w:val="Ttulo3"/>
        <w:spacing w:after="114" w:line="249" w:lineRule="auto"/>
        <w:ind w:left="7" w:right="37"/>
        <w:jc w:val="both"/>
      </w:pPr>
      <w:r>
        <w:t xml:space="preserve">5. CLÁUSULA QUINTA – PAGAMENTO </w:t>
      </w:r>
    </w:p>
    <w:p w:rsidR="006C145C" w:rsidRDefault="00C62E5A">
      <w:pPr>
        <w:spacing w:after="129" w:line="270" w:lineRule="auto"/>
        <w:ind w:left="433" w:right="54" w:hanging="8"/>
        <w:jc w:val="both"/>
      </w:pPr>
      <w:r>
        <w:rPr>
          <w:rFonts w:ascii="Arial" w:eastAsia="Arial" w:hAnsi="Arial" w:cs="Arial"/>
          <w:sz w:val="20"/>
        </w:rPr>
        <w:t>5.1. O prazo p</w:t>
      </w:r>
      <w:r>
        <w:rPr>
          <w:rFonts w:ascii="Arial" w:eastAsia="Arial" w:hAnsi="Arial" w:cs="Arial"/>
          <w:sz w:val="20"/>
        </w:rPr>
        <w:t xml:space="preserve">ara pagamento à CONTRATADA e demais condições a ele referentes encontramse definidos no Termo de Referência e no Anexo XI da IN SEGES/MP n. 5/2017.  </w:t>
      </w:r>
    </w:p>
    <w:p w:rsidR="006C145C" w:rsidRDefault="00C62E5A">
      <w:pPr>
        <w:spacing w:after="137"/>
        <w:ind w:left="425"/>
      </w:pPr>
      <w:r>
        <w:rPr>
          <w:rFonts w:ascii="Arial" w:eastAsia="Arial" w:hAnsi="Arial" w:cs="Arial"/>
          <w:sz w:val="20"/>
        </w:rPr>
        <w:t xml:space="preserve"> </w:t>
      </w:r>
    </w:p>
    <w:p w:rsidR="006C145C" w:rsidRDefault="00C62E5A">
      <w:pPr>
        <w:spacing w:after="129" w:line="270" w:lineRule="auto"/>
        <w:ind w:left="433" w:right="54" w:hanging="8"/>
        <w:jc w:val="both"/>
      </w:pPr>
      <w:r>
        <w:rPr>
          <w:rFonts w:ascii="Arial" w:eastAsia="Arial" w:hAnsi="Arial" w:cs="Arial"/>
          <w:sz w:val="20"/>
        </w:rPr>
        <w:t xml:space="preserve">5.2. O pagamento fica condicionado à satisfação de todas as condições estabelecidas neste contrato e da </w:t>
      </w:r>
      <w:r>
        <w:rPr>
          <w:rFonts w:ascii="Arial" w:eastAsia="Arial" w:hAnsi="Arial" w:cs="Arial"/>
          <w:sz w:val="20"/>
        </w:rPr>
        <w:t xml:space="preserve">comprovação de regularidade para com os encargos previdenciários, trabalhistas e fiscais; </w:t>
      </w:r>
    </w:p>
    <w:p w:rsidR="006C145C" w:rsidRDefault="00C62E5A">
      <w:pPr>
        <w:spacing w:after="152" w:line="270" w:lineRule="auto"/>
        <w:ind w:left="433" w:right="54" w:hanging="8"/>
        <w:jc w:val="both"/>
      </w:pPr>
      <w:r>
        <w:rPr>
          <w:rFonts w:ascii="Arial" w:eastAsia="Arial" w:hAnsi="Arial" w:cs="Arial"/>
          <w:sz w:val="20"/>
        </w:rPr>
        <w:t>5.3. Os valores destinados ao pagamento das férias, décimo terceiro salário e verbas rescisórias dos empregados da contratada que participarem da execução dos serviç</w:t>
      </w:r>
      <w:r>
        <w:rPr>
          <w:rFonts w:ascii="Arial" w:eastAsia="Arial" w:hAnsi="Arial" w:cs="Arial"/>
          <w:sz w:val="20"/>
        </w:rPr>
        <w:t xml:space="preserve">os contratados serão depositados pela contratante em conta vinculada específica, aberta em nome da contratada e com movimentação autorizada pela contratante.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243" w:line="249" w:lineRule="auto"/>
        <w:ind w:left="-5" w:right="57" w:hanging="10"/>
        <w:jc w:val="both"/>
      </w:pPr>
      <w:r>
        <w:rPr>
          <w:rFonts w:ascii="Arial" w:eastAsia="Arial" w:hAnsi="Arial" w:cs="Arial"/>
          <w:b/>
          <w:i/>
          <w:sz w:val="20"/>
        </w:rPr>
        <w:t xml:space="preserve">Nota Explicativa: </w:t>
      </w:r>
      <w:r>
        <w:rPr>
          <w:rFonts w:ascii="Arial" w:eastAsia="Arial" w:hAnsi="Arial" w:cs="Arial"/>
          <w:i/>
          <w:sz w:val="20"/>
        </w:rPr>
        <w:t xml:space="preserve">Os itens 5.2 e 5.3 foram inseridos para dar cumprimento ao Decreto </w:t>
      </w:r>
      <w:r>
        <w:rPr>
          <w:rFonts w:ascii="Arial" w:eastAsia="Arial" w:hAnsi="Arial" w:cs="Arial"/>
          <w:i/>
          <w:sz w:val="20"/>
        </w:rPr>
        <w:t xml:space="preserve">nº 9.507, de 21 de setembro de 2018, publicado na Seção 1 do D.O.U. em 24/09/2018. </w:t>
      </w:r>
    </w:p>
    <w:p w:rsidR="006C145C" w:rsidRDefault="00C62E5A">
      <w:pPr>
        <w:numPr>
          <w:ilvl w:val="0"/>
          <w:numId w:val="48"/>
        </w:numPr>
        <w:spacing w:after="114" w:line="249" w:lineRule="auto"/>
        <w:ind w:right="37" w:hanging="360"/>
        <w:jc w:val="both"/>
      </w:pPr>
      <w:r>
        <w:rPr>
          <w:rFonts w:ascii="Arial" w:eastAsia="Arial" w:hAnsi="Arial" w:cs="Arial"/>
          <w:b/>
          <w:sz w:val="20"/>
        </w:rPr>
        <w:t xml:space="preserve">CLÁUSULA SEXTA – REAJUSTAMENTO DE PREÇOS EM SENTIDO AMPLO. </w:t>
      </w:r>
    </w:p>
    <w:p w:rsidR="006C145C" w:rsidRDefault="00C62E5A">
      <w:pPr>
        <w:spacing w:after="236" w:line="280" w:lineRule="auto"/>
        <w:ind w:left="420" w:hanging="10"/>
      </w:pPr>
      <w:r>
        <w:rPr>
          <w:rFonts w:ascii="Arial" w:eastAsia="Arial" w:hAnsi="Arial" w:cs="Arial"/>
          <w:sz w:val="20"/>
        </w:rPr>
        <w:t>6.1. As regras acerca do reajustamento de preços em sentido amplo do valor contratual (reajuste em sentido estri</w:t>
      </w:r>
      <w:r>
        <w:rPr>
          <w:rFonts w:ascii="Arial" w:eastAsia="Arial" w:hAnsi="Arial" w:cs="Arial"/>
          <w:sz w:val="20"/>
        </w:rPr>
        <w:t>to e/ou repactuação) são as estabelecidas no Termo de Referência, anexo deste Contrato.</w:t>
      </w:r>
      <w:r>
        <w:rPr>
          <w:rFonts w:ascii="Arial" w:eastAsia="Arial" w:hAnsi="Arial" w:cs="Arial"/>
          <w:color w:val="FF0000"/>
          <w:sz w:val="20"/>
        </w:rPr>
        <w:t xml:space="preserve">  </w:t>
      </w:r>
    </w:p>
    <w:p w:rsidR="006C145C" w:rsidRDefault="00C62E5A">
      <w:pPr>
        <w:pStyle w:val="Ttulo3"/>
        <w:spacing w:after="114" w:line="249" w:lineRule="auto"/>
        <w:ind w:left="7" w:right="37"/>
        <w:jc w:val="both"/>
      </w:pPr>
      <w:r>
        <w:t xml:space="preserve">7. CLÁUSULA SÉTIMA – GARANTIA DE EXECUÇÃO </w:t>
      </w:r>
    </w:p>
    <w:p w:rsidR="006C145C" w:rsidRDefault="00C62E5A">
      <w:pPr>
        <w:spacing w:after="129" w:line="270" w:lineRule="auto"/>
        <w:ind w:left="150" w:right="54" w:hanging="8"/>
        <w:jc w:val="both"/>
      </w:pPr>
      <w:r>
        <w:rPr>
          <w:rFonts w:ascii="Arial" w:eastAsia="Arial" w:hAnsi="Arial" w:cs="Arial"/>
          <w:sz w:val="20"/>
        </w:rPr>
        <w:t>7.1. Será exigida a prestação de garantia na presente contratação, conforme regras constantes do Termo de Referência e aind</w:t>
      </w:r>
      <w:r>
        <w:rPr>
          <w:rFonts w:ascii="Arial" w:eastAsia="Arial" w:hAnsi="Arial" w:cs="Arial"/>
          <w:sz w:val="20"/>
        </w:rPr>
        <w:t xml:space="preserve">a: </w:t>
      </w:r>
    </w:p>
    <w:p w:rsidR="006C145C" w:rsidRDefault="00C62E5A">
      <w:pPr>
        <w:spacing w:after="154" w:line="270" w:lineRule="auto"/>
        <w:ind w:left="150" w:right="54" w:hanging="8"/>
        <w:jc w:val="both"/>
      </w:pPr>
      <w:r>
        <w:rPr>
          <w:rFonts w:ascii="Arial" w:eastAsia="Arial" w:hAnsi="Arial" w:cs="Arial"/>
          <w:sz w:val="20"/>
        </w:rPr>
        <w:t>7.2. A garantia da contratação somente será liberada ante a comprovação de que a empresa pagou todas as verbas rescisórias decorrentes da contratação, e que, caso esse pagamento não ocorra até o fim do segundo mês após o encerramento da vigência contra</w:t>
      </w:r>
      <w:r>
        <w:rPr>
          <w:rFonts w:ascii="Arial" w:eastAsia="Arial" w:hAnsi="Arial" w:cs="Arial"/>
          <w:sz w:val="20"/>
        </w:rPr>
        <w:t xml:space="preserve">tual, a garantia será utilizada para o pagamento dessas verbas trabalhistas, incluindo suas repercussões previdenciárias e relativas ao FGTS, conforme estabelecido no art. 8º, VI do Decreto nº 9.507, de 2018, observada a legislação que rege a matéria.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262" w:line="249" w:lineRule="auto"/>
        <w:ind w:left="-5" w:right="57" w:hanging="10"/>
        <w:jc w:val="both"/>
      </w:pPr>
      <w:r>
        <w:rPr>
          <w:rFonts w:ascii="Arial" w:eastAsia="Arial" w:hAnsi="Arial" w:cs="Arial"/>
          <w:b/>
          <w:i/>
          <w:sz w:val="20"/>
        </w:rPr>
        <w:t>Nota Explicativa:</w:t>
      </w:r>
      <w:r>
        <w:rPr>
          <w:rFonts w:ascii="Arial" w:eastAsia="Arial" w:hAnsi="Arial" w:cs="Arial"/>
          <w:i/>
          <w:sz w:val="20"/>
        </w:rPr>
        <w:t xml:space="preserve"> O item 7.2 foi inserido para dar cumprimento ao Decreto nº 9.507, de 21 de setembro de 2018, publicado na Seção 1 do D.O.U. em 24/09/2018 e a Instrução Normativa nº 6 de 06/07/2018 do MPOG. </w:t>
      </w:r>
    </w:p>
    <w:p w:rsidR="006C145C" w:rsidRDefault="00C62E5A">
      <w:pPr>
        <w:spacing w:after="147"/>
        <w:ind w:left="360"/>
      </w:pPr>
      <w:r>
        <w:rPr>
          <w:rFonts w:ascii="Arial" w:eastAsia="Arial" w:hAnsi="Arial" w:cs="Arial"/>
          <w:b/>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263" w:line="249" w:lineRule="auto"/>
        <w:ind w:left="-5" w:right="57" w:hanging="10"/>
        <w:jc w:val="both"/>
      </w:pPr>
      <w:r>
        <w:rPr>
          <w:rFonts w:ascii="Arial" w:eastAsia="Arial" w:hAnsi="Arial" w:cs="Arial"/>
          <w:b/>
          <w:i/>
          <w:sz w:val="20"/>
        </w:rPr>
        <w:t xml:space="preserve">Nota Explicativa: </w:t>
      </w:r>
      <w:r>
        <w:rPr>
          <w:rFonts w:ascii="Arial" w:eastAsia="Arial" w:hAnsi="Arial" w:cs="Arial"/>
          <w:i/>
          <w:sz w:val="20"/>
        </w:rPr>
        <w:t>Conforme o item 3.1, “a”, d</w:t>
      </w:r>
      <w:r>
        <w:rPr>
          <w:rFonts w:ascii="Arial" w:eastAsia="Arial" w:hAnsi="Arial" w:cs="Arial"/>
          <w:i/>
          <w:sz w:val="20"/>
        </w:rPr>
        <w:t xml:space="preserve">o ANEXO VII-F, da IN SEGES/MP n.º 05/2017, a comprovação da prestação da garantia será feita pela contratada após a assinatura do Termo de Contrato, no prazo máximo de 10 (dez) dias úteis, prorrogáveis por igual período, a critério do órgão contratante, e </w:t>
      </w:r>
      <w:r>
        <w:rPr>
          <w:rFonts w:ascii="Arial" w:eastAsia="Arial" w:hAnsi="Arial" w:cs="Arial"/>
          <w:i/>
          <w:sz w:val="20"/>
        </w:rPr>
        <w:t xml:space="preserve">não como condição para a assinatura do instrumento.  </w:t>
      </w:r>
    </w:p>
    <w:p w:rsidR="006C145C" w:rsidRDefault="00C62E5A">
      <w:pPr>
        <w:pStyle w:val="Ttulo3"/>
        <w:spacing w:after="114" w:line="249" w:lineRule="auto"/>
        <w:ind w:left="7" w:right="37"/>
        <w:jc w:val="both"/>
      </w:pPr>
      <w:r>
        <w:t xml:space="preserve">8. CLÁUSULA OITAVA – MODELO DE EXECUÇÃO DOS SERVIÇOS E FISCALIZAÇÃO </w:t>
      </w:r>
    </w:p>
    <w:p w:rsidR="006C145C" w:rsidRDefault="00C62E5A">
      <w:pPr>
        <w:spacing w:after="244" w:line="270" w:lineRule="auto"/>
        <w:ind w:left="433" w:right="54" w:hanging="8"/>
        <w:jc w:val="both"/>
      </w:pPr>
      <w:r>
        <w:rPr>
          <w:rFonts w:ascii="Arial" w:eastAsia="Arial" w:hAnsi="Arial" w:cs="Arial"/>
          <w:sz w:val="20"/>
        </w:rPr>
        <w:t xml:space="preserve">8.1. </w:t>
      </w:r>
      <w:r>
        <w:rPr>
          <w:rFonts w:ascii="Arial" w:eastAsia="Arial" w:hAnsi="Arial" w:cs="Arial"/>
          <w:sz w:val="20"/>
        </w:rPr>
        <w:t xml:space="preserve">O modelo de execução dos serviços a serem executados pela CONTRATADA, os materiais que serão empregados, a disciplina do recebimento do objeto e a fiscalização pela CONTRATANTE são aqueles previstos no Termo de Referência, anexo do Edital. </w:t>
      </w:r>
    </w:p>
    <w:p w:rsidR="006C145C" w:rsidRDefault="00C62E5A">
      <w:pPr>
        <w:pStyle w:val="Ttulo3"/>
        <w:spacing w:after="114" w:line="249" w:lineRule="auto"/>
        <w:ind w:left="7" w:right="37"/>
        <w:jc w:val="both"/>
      </w:pPr>
      <w:r>
        <w:t>9. CLÁUSULA NON</w:t>
      </w:r>
      <w:r>
        <w:t xml:space="preserve">A – DAS OBRIGAÇÕES DA CONTRATANTE </w:t>
      </w:r>
    </w:p>
    <w:p w:rsidR="006C145C" w:rsidRDefault="00C62E5A">
      <w:pPr>
        <w:spacing w:after="129" w:line="270" w:lineRule="auto"/>
        <w:ind w:left="150" w:right="54" w:hanging="8"/>
        <w:jc w:val="both"/>
      </w:pPr>
      <w:r>
        <w:rPr>
          <w:rFonts w:ascii="Arial" w:eastAsia="Arial" w:hAnsi="Arial" w:cs="Arial"/>
          <w:sz w:val="20"/>
        </w:rPr>
        <w:t>9.1. Além das obrigações estabelecidas no Termo de Referência, anexo do Edital, a Contratante:</w:t>
      </w:r>
      <w:r>
        <w:rPr>
          <w:rFonts w:ascii="Arial" w:eastAsia="Arial" w:hAnsi="Arial" w:cs="Arial"/>
          <w:b/>
          <w:sz w:val="20"/>
        </w:rPr>
        <w:t xml:space="preserve"> </w:t>
      </w:r>
    </w:p>
    <w:p w:rsidR="006C145C" w:rsidRDefault="00C62E5A">
      <w:pPr>
        <w:spacing w:after="129" w:line="270" w:lineRule="auto"/>
        <w:ind w:left="150" w:right="54" w:hanging="8"/>
        <w:jc w:val="both"/>
      </w:pPr>
      <w:r>
        <w:rPr>
          <w:rFonts w:ascii="Arial" w:eastAsia="Arial" w:hAnsi="Arial" w:cs="Arial"/>
          <w:sz w:val="20"/>
        </w:rPr>
        <w:lastRenderedPageBreak/>
        <w:t xml:space="preserve">9.2. </w:t>
      </w:r>
      <w:r>
        <w:rPr>
          <w:rFonts w:ascii="Arial" w:eastAsia="Arial" w:hAnsi="Arial" w:cs="Arial"/>
          <w:sz w:val="20"/>
        </w:rPr>
        <w:t xml:space="preserve">Deverá fiscalizar mensalmente, por amostragem, o cumprimento das obrigações trabalhistas, previdenciárias e para com o FGTS, em relação aos empregados que efetivamente participarem da execução do contrato, especialmente: </w:t>
      </w:r>
    </w:p>
    <w:p w:rsidR="006C145C" w:rsidRDefault="00C62E5A">
      <w:pPr>
        <w:spacing w:after="11" w:line="270" w:lineRule="auto"/>
        <w:ind w:left="862" w:right="54" w:hanging="720"/>
        <w:jc w:val="both"/>
      </w:pPr>
      <w:r>
        <w:rPr>
          <w:rFonts w:ascii="Arial" w:eastAsia="Arial" w:hAnsi="Arial" w:cs="Arial"/>
          <w:sz w:val="20"/>
        </w:rPr>
        <w:t xml:space="preserve">9.2.1 </w:t>
      </w:r>
      <w:r>
        <w:rPr>
          <w:rFonts w:ascii="Arial" w:eastAsia="Arial" w:hAnsi="Arial" w:cs="Arial"/>
          <w:sz w:val="20"/>
        </w:rPr>
        <w:tab/>
        <w:t>Ao pagamento de salários, a</w:t>
      </w:r>
      <w:r>
        <w:rPr>
          <w:rFonts w:ascii="Arial" w:eastAsia="Arial" w:hAnsi="Arial" w:cs="Arial"/>
          <w:sz w:val="20"/>
        </w:rPr>
        <w:t xml:space="preserve">dicionais, horas extras, repouso semanal remunerado e décimo terceiro salário; </w:t>
      </w:r>
    </w:p>
    <w:p w:rsidR="006C145C" w:rsidRDefault="00C62E5A">
      <w:pPr>
        <w:spacing w:after="129" w:line="270" w:lineRule="auto"/>
        <w:ind w:left="862" w:right="54" w:hanging="720"/>
        <w:jc w:val="both"/>
      </w:pPr>
      <w:r>
        <w:rPr>
          <w:rFonts w:ascii="Arial" w:eastAsia="Arial" w:hAnsi="Arial" w:cs="Arial"/>
          <w:sz w:val="20"/>
        </w:rPr>
        <w:t xml:space="preserve">9.2.2 A concessão de férias remuneradas e o pagamento do respectivo adicional, bem como de auxílio-transporte, auxílio-alimentação e auxílio-saúde, quando for devido; </w:t>
      </w:r>
    </w:p>
    <w:p w:rsidR="006C145C" w:rsidRDefault="00C62E5A">
      <w:pPr>
        <w:tabs>
          <w:tab w:val="center" w:pos="1552"/>
        </w:tabs>
        <w:spacing w:after="14" w:line="270" w:lineRule="auto"/>
      </w:pPr>
      <w:r>
        <w:rPr>
          <w:rFonts w:ascii="Arial" w:eastAsia="Arial" w:hAnsi="Arial" w:cs="Arial"/>
          <w:sz w:val="20"/>
        </w:rPr>
        <w:t xml:space="preserve">9.2.3 </w:t>
      </w:r>
      <w:r>
        <w:rPr>
          <w:rFonts w:ascii="Arial" w:eastAsia="Arial" w:hAnsi="Arial" w:cs="Arial"/>
          <w:sz w:val="20"/>
        </w:rPr>
        <w:tab/>
        <w:t>A</w:t>
      </w:r>
      <w:r>
        <w:rPr>
          <w:rFonts w:ascii="Arial" w:eastAsia="Arial" w:hAnsi="Arial" w:cs="Arial"/>
          <w:sz w:val="20"/>
        </w:rPr>
        <w:t xml:space="preserve">os depósitos do FGTS;e </w:t>
      </w:r>
    </w:p>
    <w:p w:rsidR="006C145C" w:rsidRDefault="00C62E5A">
      <w:pPr>
        <w:spacing w:after="11" w:line="270" w:lineRule="auto"/>
        <w:ind w:left="862" w:right="54" w:hanging="720"/>
        <w:jc w:val="both"/>
      </w:pPr>
      <w:r>
        <w:rPr>
          <w:rFonts w:ascii="Arial" w:eastAsia="Arial" w:hAnsi="Arial" w:cs="Arial"/>
          <w:sz w:val="20"/>
        </w:rPr>
        <w:t xml:space="preserve">9.2.4 </w:t>
      </w:r>
      <w:r>
        <w:rPr>
          <w:rFonts w:ascii="Arial" w:eastAsia="Arial" w:hAnsi="Arial" w:cs="Arial"/>
          <w:sz w:val="20"/>
        </w:rPr>
        <w:tab/>
        <w:t xml:space="preserve">O pagamento de obrigações trabalhistas e previdenciárias dos empregados dispensados até a data da extinção do contrato. </w:t>
      </w:r>
    </w:p>
    <w:p w:rsidR="006C145C" w:rsidRDefault="00C62E5A">
      <w:pPr>
        <w:spacing w:after="168"/>
        <w:ind w:left="785"/>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294" w:line="250" w:lineRule="auto"/>
        <w:ind w:left="-5" w:right="56" w:hanging="10"/>
        <w:jc w:val="both"/>
      </w:pPr>
      <w:r>
        <w:rPr>
          <w:rFonts w:ascii="Arial" w:eastAsia="Arial" w:hAnsi="Arial" w:cs="Arial"/>
          <w:b/>
          <w:i/>
          <w:sz w:val="20"/>
        </w:rPr>
        <w:t>Nota Explicativa</w:t>
      </w:r>
      <w:r>
        <w:rPr>
          <w:rFonts w:ascii="Arial" w:eastAsia="Arial" w:hAnsi="Arial" w:cs="Arial"/>
          <w:i/>
          <w:sz w:val="20"/>
        </w:rPr>
        <w:t>: As obrigações da Contratante e Contratada são as estabelecidas no Termo de Referênci</w:t>
      </w:r>
      <w:r>
        <w:rPr>
          <w:rFonts w:ascii="Arial" w:eastAsia="Arial" w:hAnsi="Arial" w:cs="Arial"/>
          <w:i/>
          <w:sz w:val="20"/>
        </w:rPr>
        <w:t>a, contudo, por força de Ação Civil Pública intentada pelo Ministério Público do Trabalho contra o DNIT - Departamento Nacional de Infraestrutura de Transportes, na qual pleiteou-se que o DNIT observasse, em seus editais de contratações relacionadas a obra</w:t>
      </w:r>
      <w:r>
        <w:rPr>
          <w:rFonts w:ascii="Arial" w:eastAsia="Arial" w:hAnsi="Arial" w:cs="Arial"/>
          <w:i/>
          <w:sz w:val="20"/>
        </w:rPr>
        <w:t>s públicas e à execução ou fornecimento de serviços, o contido na Convenção nº 94 da OIT, bem como em atendimento a Instrução Normativa nº 6, de 6 de julho de 2018, as cláusulas acima deverão estar expressamente previstas no campo OBRIGAÇÕES DA CONTRATANTE</w:t>
      </w:r>
      <w:r>
        <w:rPr>
          <w:rFonts w:ascii="Arial" w:eastAsia="Arial" w:hAnsi="Arial" w:cs="Arial"/>
          <w:i/>
          <w:sz w:val="20"/>
        </w:rPr>
        <w:t xml:space="preserve">. </w:t>
      </w:r>
    </w:p>
    <w:p w:rsidR="006C145C" w:rsidRDefault="00C62E5A">
      <w:pPr>
        <w:spacing w:after="224"/>
        <w:ind w:left="360"/>
      </w:pPr>
      <w:r>
        <w:rPr>
          <w:rFonts w:ascii="Arial" w:eastAsia="Arial" w:hAnsi="Arial" w:cs="Arial"/>
          <w:b/>
          <w:sz w:val="20"/>
        </w:rPr>
        <w:t xml:space="preserve"> </w:t>
      </w:r>
    </w:p>
    <w:p w:rsidR="006C145C" w:rsidRDefault="00C62E5A">
      <w:pPr>
        <w:pStyle w:val="Ttulo3"/>
        <w:spacing w:after="114" w:line="249" w:lineRule="auto"/>
        <w:ind w:left="7" w:right="37"/>
        <w:jc w:val="both"/>
      </w:pPr>
      <w:r>
        <w:t xml:space="preserve">10. CLÁUSULA DÉCIMA - DAS OBRIGAÇÕES DA CONTRATADA </w:t>
      </w:r>
    </w:p>
    <w:p w:rsidR="006C145C" w:rsidRDefault="00C62E5A">
      <w:pPr>
        <w:spacing w:after="129" w:line="270" w:lineRule="auto"/>
        <w:ind w:left="150" w:right="54" w:hanging="8"/>
        <w:jc w:val="both"/>
      </w:pPr>
      <w:r>
        <w:rPr>
          <w:rFonts w:ascii="Arial" w:eastAsia="Arial" w:hAnsi="Arial" w:cs="Arial"/>
          <w:sz w:val="20"/>
        </w:rPr>
        <w:t>10.1. Além das obrigações estabelecidas no Termo de Referência, anexo do Edital, a Contratada:</w:t>
      </w:r>
      <w:r>
        <w:rPr>
          <w:rFonts w:ascii="Arial" w:eastAsia="Arial" w:hAnsi="Arial" w:cs="Arial"/>
          <w:b/>
          <w:sz w:val="20"/>
        </w:rPr>
        <w:t xml:space="preserve"> </w:t>
      </w:r>
    </w:p>
    <w:p w:rsidR="006C145C" w:rsidRDefault="00C62E5A">
      <w:pPr>
        <w:spacing w:after="6" w:line="270" w:lineRule="auto"/>
        <w:ind w:left="862" w:right="54" w:hanging="720"/>
        <w:jc w:val="both"/>
      </w:pPr>
      <w:r>
        <w:rPr>
          <w:rFonts w:ascii="Arial" w:eastAsia="Arial" w:hAnsi="Arial" w:cs="Arial"/>
          <w:sz w:val="20"/>
        </w:rPr>
        <w:t>10.1.1 Deverá Responsabilizar-</w:t>
      </w:r>
      <w:r>
        <w:rPr>
          <w:rFonts w:ascii="Arial" w:eastAsia="Arial" w:hAnsi="Arial" w:cs="Arial"/>
          <w:sz w:val="20"/>
        </w:rPr>
        <w:t>se, durante a execução contratual, pelo cumprimento das obrigações previstas em Acordo, Dissídio, Convenção Coletiva ou equivalente, relativo à categoria profissional abrangidas pelo contrato, bem como da legislação em vigor, por todas as obrigações trabal</w:t>
      </w:r>
      <w:r>
        <w:rPr>
          <w:rFonts w:ascii="Arial" w:eastAsia="Arial" w:hAnsi="Arial" w:cs="Arial"/>
          <w:sz w:val="20"/>
        </w:rPr>
        <w:t xml:space="preserve">histas, sociais, previdenciárias, tributárias e as demais previstas em legislação específica, cuja inadimplência não transfere a responsabilidade à CONTRATANTE;  </w:t>
      </w:r>
    </w:p>
    <w:p w:rsidR="006C145C" w:rsidRDefault="00C62E5A">
      <w:pPr>
        <w:spacing w:after="8" w:line="270" w:lineRule="auto"/>
        <w:ind w:left="862" w:right="54" w:hanging="720"/>
        <w:jc w:val="both"/>
      </w:pPr>
      <w:r>
        <w:rPr>
          <w:rFonts w:ascii="Arial" w:eastAsia="Arial" w:hAnsi="Arial" w:cs="Arial"/>
          <w:sz w:val="20"/>
        </w:rPr>
        <w:t>10.1.2 Deverá responsabilizar-se pelos encargos trabalhistas, previdenciários, fiscais e come</w:t>
      </w:r>
      <w:r>
        <w:rPr>
          <w:rFonts w:ascii="Arial" w:eastAsia="Arial" w:hAnsi="Arial" w:cs="Arial"/>
          <w:sz w:val="20"/>
        </w:rPr>
        <w:t xml:space="preserve">rciais, resultantes da execução do Contrato, conforme dispõe o art. 71, Parágrafos 1° e 2°, da Lei n.º 8.666/93. </w:t>
      </w:r>
    </w:p>
    <w:p w:rsidR="006C145C" w:rsidRDefault="00C62E5A">
      <w:pPr>
        <w:spacing w:after="6" w:line="270" w:lineRule="auto"/>
        <w:ind w:left="862" w:right="54" w:hanging="720"/>
        <w:jc w:val="both"/>
      </w:pPr>
      <w:r>
        <w:rPr>
          <w:rFonts w:ascii="Arial" w:eastAsia="Arial" w:hAnsi="Arial" w:cs="Arial"/>
          <w:sz w:val="20"/>
        </w:rPr>
        <w:t>10.1.3 Deverá apresentar declaração de responsabilidade exclusiva sobre a quitação dos encargos trabalhistas e sociais decorrentes do contrato</w:t>
      </w:r>
      <w:r>
        <w:rPr>
          <w:rFonts w:ascii="Arial" w:eastAsia="Arial" w:hAnsi="Arial" w:cs="Arial"/>
          <w:sz w:val="20"/>
        </w:rPr>
        <w:t xml:space="preserve">;   </w:t>
      </w:r>
    </w:p>
    <w:p w:rsidR="006C145C" w:rsidRDefault="00C62E5A">
      <w:pPr>
        <w:spacing w:after="8" w:line="270" w:lineRule="auto"/>
        <w:ind w:left="862" w:right="54" w:hanging="720"/>
        <w:jc w:val="both"/>
      </w:pPr>
      <w:r>
        <w:rPr>
          <w:rFonts w:ascii="Arial" w:eastAsia="Arial" w:hAnsi="Arial" w:cs="Arial"/>
          <w:sz w:val="20"/>
        </w:rPr>
        <w:t xml:space="preserve">10.1.4 Deverá apresentar declaração de que garante aos seus trabalhadores ambiente de trabalho, inclusive equipamentos e instalações, em condições adequadas ao cumprimento das normas de saúde, segurança e bem-estar no trabalho;  </w:t>
      </w:r>
    </w:p>
    <w:p w:rsidR="006C145C" w:rsidRDefault="00C62E5A">
      <w:pPr>
        <w:spacing w:after="5" w:line="270" w:lineRule="auto"/>
        <w:ind w:left="862" w:right="54" w:hanging="720"/>
        <w:jc w:val="both"/>
      </w:pPr>
      <w:r>
        <w:rPr>
          <w:rFonts w:ascii="Arial" w:eastAsia="Arial" w:hAnsi="Arial" w:cs="Arial"/>
          <w:sz w:val="20"/>
        </w:rPr>
        <w:t>10.1.5 Deverá apresen</w:t>
      </w:r>
      <w:r>
        <w:rPr>
          <w:rFonts w:ascii="Arial" w:eastAsia="Arial" w:hAnsi="Arial" w:cs="Arial"/>
          <w:sz w:val="20"/>
        </w:rPr>
        <w:t xml:space="preserve">tar declaração de que cumpre a observância dos preceitos da legislação sobre a jornada de trabalho, conforme a categoria profissional. </w:t>
      </w:r>
    </w:p>
    <w:p w:rsidR="006C145C" w:rsidRDefault="00C62E5A">
      <w:pPr>
        <w:spacing w:after="6" w:line="270" w:lineRule="auto"/>
        <w:ind w:left="862" w:right="54" w:hanging="720"/>
        <w:jc w:val="both"/>
      </w:pPr>
      <w:r>
        <w:rPr>
          <w:rFonts w:ascii="Arial" w:eastAsia="Arial" w:hAnsi="Arial" w:cs="Arial"/>
          <w:sz w:val="20"/>
        </w:rPr>
        <w:t>10.1.6 Deverá fornecer, sempre que solicitados pela Contratante, os comprovantes do cumprimento das obrigações trabalhis</w:t>
      </w:r>
      <w:r>
        <w:rPr>
          <w:rFonts w:ascii="Arial" w:eastAsia="Arial" w:hAnsi="Arial" w:cs="Arial"/>
          <w:sz w:val="20"/>
        </w:rPr>
        <w:t xml:space="preserve">tas, previdenciárias e para com o Fundo de Garantia do Tempo de Serviço - FGTS, e do pagamento dos salários e demais benefícios trabalhistas dos empregados que efetivamente participarem da execução do contrato; </w:t>
      </w:r>
    </w:p>
    <w:p w:rsidR="006C145C" w:rsidRDefault="00C62E5A">
      <w:pPr>
        <w:spacing w:after="8" w:line="270" w:lineRule="auto"/>
        <w:ind w:left="862" w:right="54" w:hanging="720"/>
        <w:jc w:val="both"/>
      </w:pPr>
      <w:r>
        <w:rPr>
          <w:rFonts w:ascii="Arial" w:eastAsia="Arial" w:hAnsi="Arial" w:cs="Arial"/>
          <w:sz w:val="20"/>
        </w:rPr>
        <w:t>10.1.7 A ausência da documentação pertinente</w:t>
      </w:r>
      <w:r>
        <w:rPr>
          <w:rFonts w:ascii="Arial" w:eastAsia="Arial" w:hAnsi="Arial" w:cs="Arial"/>
          <w:sz w:val="20"/>
        </w:rPr>
        <w:t xml:space="preserve"> ou da comprovação do cumprimento das obrigações trabalhistas, previdenciárias e relativas ao FGTS implicará a retenção do pagamento da fatura mensal, em valor proporcional ao inadimplemento, mediante prévia comunicação, até que a situação seja regularizad</w:t>
      </w:r>
      <w:r>
        <w:rPr>
          <w:rFonts w:ascii="Arial" w:eastAsia="Arial" w:hAnsi="Arial" w:cs="Arial"/>
          <w:sz w:val="20"/>
        </w:rPr>
        <w:t xml:space="preserve">a, sem prejuízo das demais sanções cabíveis. </w:t>
      </w:r>
    </w:p>
    <w:p w:rsidR="006C145C" w:rsidRDefault="00C62E5A">
      <w:pPr>
        <w:spacing w:after="129" w:line="270" w:lineRule="auto"/>
        <w:ind w:left="862" w:right="54" w:hanging="720"/>
        <w:jc w:val="both"/>
      </w:pPr>
      <w:r>
        <w:rPr>
          <w:rFonts w:ascii="Arial" w:eastAsia="Arial" w:hAnsi="Arial" w:cs="Arial"/>
          <w:sz w:val="20"/>
        </w:rPr>
        <w:t>10.1.8 Ultrapassado o prazo de 15 (quinze) dias, contados na comunicação mencionada no subitem anterior, sem a regularização da falta, a Administração poderá efetuar o pagamento das obrigações diretamente aos e</w:t>
      </w:r>
      <w:r>
        <w:rPr>
          <w:rFonts w:ascii="Arial" w:eastAsia="Arial" w:hAnsi="Arial" w:cs="Arial"/>
          <w:sz w:val="20"/>
        </w:rPr>
        <w:t xml:space="preserve">mpregados da contratada que tenham participado da execução dos serviços objeto do contrato, sem prejuízo das demais sanções cabíveis. </w:t>
      </w:r>
    </w:p>
    <w:p w:rsidR="006C145C" w:rsidRDefault="00C62E5A">
      <w:pPr>
        <w:spacing w:after="129" w:line="270" w:lineRule="auto"/>
        <w:ind w:left="934" w:right="54" w:hanging="720"/>
        <w:jc w:val="both"/>
      </w:pPr>
      <w:r>
        <w:rPr>
          <w:rFonts w:ascii="Arial" w:eastAsia="Arial" w:hAnsi="Arial" w:cs="Arial"/>
          <w:sz w:val="20"/>
        </w:rPr>
        <w:lastRenderedPageBreak/>
        <w:t>10.1.8.1 O sindicato representante da categoria do trabalhador deverá ser notificado pela contratante para acompanhar o p</w:t>
      </w:r>
      <w:r>
        <w:rPr>
          <w:rFonts w:ascii="Arial" w:eastAsia="Arial" w:hAnsi="Arial" w:cs="Arial"/>
          <w:sz w:val="20"/>
        </w:rPr>
        <w:t xml:space="preserve">agamento das respectivas verbas. </w:t>
      </w:r>
    </w:p>
    <w:p w:rsidR="006C145C" w:rsidRDefault="00C62E5A">
      <w:pPr>
        <w:spacing w:after="129" w:line="270" w:lineRule="auto"/>
        <w:ind w:left="934" w:right="54" w:hanging="720"/>
        <w:jc w:val="both"/>
      </w:pPr>
      <w:r>
        <w:rPr>
          <w:rFonts w:ascii="Arial" w:eastAsia="Arial" w:hAnsi="Arial" w:cs="Arial"/>
          <w:sz w:val="20"/>
        </w:rPr>
        <w:t xml:space="preserve">10.1.8.2 Tais pagamentos não configuram vínculo empregatício ou implicam a assunção de responsabilidade por quaisquer obrigações dele decorrentes entre a contratante e os empregados da contratada.  </w:t>
      </w:r>
    </w:p>
    <w:p w:rsidR="006C145C" w:rsidRDefault="00C62E5A">
      <w:pPr>
        <w:spacing w:after="5" w:line="270" w:lineRule="auto"/>
        <w:ind w:left="977" w:right="54" w:hanging="720"/>
        <w:jc w:val="both"/>
      </w:pPr>
      <w:r>
        <w:rPr>
          <w:rFonts w:ascii="Arial" w:eastAsia="Arial" w:hAnsi="Arial" w:cs="Arial"/>
          <w:sz w:val="20"/>
        </w:rPr>
        <w:t xml:space="preserve">10.1.9 </w:t>
      </w:r>
      <w:r>
        <w:rPr>
          <w:rFonts w:ascii="Arial" w:eastAsia="Arial" w:hAnsi="Arial" w:cs="Arial"/>
          <w:sz w:val="20"/>
        </w:rPr>
        <w:t xml:space="preserve">Deverá manter preposto nos locais de prestação de serviço, aceito pela Administração, para representá-la na execução do contrato, nos termos do art. 68 da Lei n° 8.666, de 21 de junho de 1993; </w:t>
      </w:r>
    </w:p>
    <w:p w:rsidR="006C145C" w:rsidRDefault="00C62E5A">
      <w:pPr>
        <w:spacing w:after="129" w:line="270" w:lineRule="auto"/>
        <w:ind w:left="977" w:right="54" w:hanging="720"/>
        <w:jc w:val="both"/>
      </w:pPr>
      <w:r>
        <w:rPr>
          <w:rFonts w:ascii="Arial" w:eastAsia="Arial" w:hAnsi="Arial" w:cs="Arial"/>
          <w:sz w:val="20"/>
        </w:rPr>
        <w:t>10.1.10 Deverá observar as cláusulas assecuratórias de direito</w:t>
      </w:r>
      <w:r>
        <w:rPr>
          <w:rFonts w:ascii="Arial" w:eastAsia="Arial" w:hAnsi="Arial" w:cs="Arial"/>
          <w:sz w:val="20"/>
        </w:rPr>
        <w:t xml:space="preserve">s trabalhistas disposto na Instrução Normativa nº 6, de 6 de julho de 2018, do Ministério do Planejamento Orçamento e Gestão. </w:t>
      </w:r>
    </w:p>
    <w:p w:rsidR="006C145C" w:rsidRDefault="00C62E5A">
      <w:pPr>
        <w:spacing w:after="163"/>
        <w:ind w:left="2537"/>
      </w:pPr>
      <w:r>
        <w:rPr>
          <w:rFonts w:ascii="Arial" w:eastAsia="Arial" w:hAnsi="Arial" w:cs="Arial"/>
          <w:sz w:val="20"/>
        </w:rPr>
        <w:t xml:space="preserve">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244" w:line="249" w:lineRule="auto"/>
        <w:ind w:left="125" w:right="57" w:hanging="10"/>
        <w:jc w:val="both"/>
      </w:pPr>
      <w:r>
        <w:rPr>
          <w:rFonts w:ascii="Arial" w:eastAsia="Arial" w:hAnsi="Arial" w:cs="Arial"/>
          <w:b/>
          <w:i/>
          <w:sz w:val="20"/>
        </w:rPr>
        <w:t>Nota Explicativa:</w:t>
      </w:r>
      <w:r>
        <w:rPr>
          <w:rFonts w:ascii="Arial" w:eastAsia="Arial" w:hAnsi="Arial" w:cs="Arial"/>
          <w:i/>
          <w:sz w:val="20"/>
        </w:rPr>
        <w:t xml:space="preserve"> As obrigações da Contratante e Contratada são as estabelecidas no Termo de Referência, contudo, por força de </w:t>
      </w:r>
      <w:r>
        <w:rPr>
          <w:rFonts w:ascii="Arial" w:eastAsia="Arial" w:hAnsi="Arial" w:cs="Arial"/>
          <w:i/>
          <w:sz w:val="20"/>
        </w:rPr>
        <w:t>Ação Civil Pública intentada pelo Ministério Público do Trabalho contra o DNIT - Departamento Nacional de Infraestrutura de Transportes, na qual pleiteou-se que o DNIT observasse, em seus editais de contratações relacionadas a obras públicas e à execução o</w:t>
      </w:r>
      <w:r>
        <w:rPr>
          <w:rFonts w:ascii="Arial" w:eastAsia="Arial" w:hAnsi="Arial" w:cs="Arial"/>
          <w:i/>
          <w:sz w:val="20"/>
        </w:rPr>
        <w:t xml:space="preserve">u fornecimento de serviços, o contido na Convenção nº 94 da OIT, bem como em atendimento a Instrução Normativa nº 6, de 6 de julho de 2018, as cláusulas acima deverão estar expressamente previstas no campo OBRIGAÇÕES DA CONTRATADA. </w:t>
      </w:r>
    </w:p>
    <w:p w:rsidR="006C145C" w:rsidRDefault="00C62E5A">
      <w:pPr>
        <w:spacing w:after="114" w:line="249" w:lineRule="auto"/>
        <w:ind w:left="125" w:right="37" w:hanging="10"/>
        <w:jc w:val="both"/>
      </w:pPr>
      <w:r>
        <w:rPr>
          <w:rFonts w:ascii="Arial" w:eastAsia="Arial" w:hAnsi="Arial" w:cs="Arial"/>
          <w:b/>
          <w:sz w:val="20"/>
        </w:rPr>
        <w:t>11. CLÁUSULA DÉCIMA PRI</w:t>
      </w:r>
      <w:r>
        <w:rPr>
          <w:rFonts w:ascii="Arial" w:eastAsia="Arial" w:hAnsi="Arial" w:cs="Arial"/>
          <w:b/>
          <w:sz w:val="20"/>
        </w:rPr>
        <w:t xml:space="preserve">MEIRA – SANÇÕES ADMINISTRATIVAS. </w:t>
      </w:r>
    </w:p>
    <w:p w:rsidR="006C145C" w:rsidRDefault="00C62E5A">
      <w:pPr>
        <w:spacing w:after="246" w:line="270" w:lineRule="auto"/>
        <w:ind w:left="537" w:right="54" w:hanging="540"/>
        <w:jc w:val="both"/>
      </w:pPr>
      <w:r>
        <w:rPr>
          <w:rFonts w:ascii="Arial" w:eastAsia="Arial" w:hAnsi="Arial" w:cs="Arial"/>
          <w:sz w:val="20"/>
        </w:rPr>
        <w:t xml:space="preserve">10.2 As sanções relacionadas à execução do contrato são aquelas previstas no Termo de Referência, anexo do Edital. </w:t>
      </w:r>
    </w:p>
    <w:p w:rsidR="006C145C" w:rsidRDefault="00C62E5A">
      <w:pPr>
        <w:pStyle w:val="Ttulo3"/>
        <w:tabs>
          <w:tab w:val="center" w:pos="2787"/>
        </w:tabs>
        <w:spacing w:after="120" w:line="249" w:lineRule="auto"/>
        <w:ind w:left="0" w:firstLine="0"/>
        <w:jc w:val="left"/>
      </w:pPr>
      <w:r>
        <w:t xml:space="preserve">11 </w:t>
      </w:r>
      <w:r>
        <w:tab/>
        <w:t xml:space="preserve">CLÁUSULA DÉCIMA SEGUNDA – RESCISÃO </w:t>
      </w:r>
    </w:p>
    <w:p w:rsidR="006C145C" w:rsidRDefault="00C62E5A">
      <w:pPr>
        <w:spacing w:after="129" w:line="270" w:lineRule="auto"/>
        <w:ind w:left="5" w:right="54" w:hanging="8"/>
        <w:jc w:val="both"/>
      </w:pPr>
      <w:r>
        <w:rPr>
          <w:rFonts w:ascii="Arial" w:eastAsia="Arial" w:hAnsi="Arial" w:cs="Arial"/>
          <w:sz w:val="20"/>
        </w:rPr>
        <w:t xml:space="preserve">11.1 O presente Termo de Contrato poderá ser rescindido: </w:t>
      </w:r>
    </w:p>
    <w:p w:rsidR="006C145C" w:rsidRDefault="00C62E5A">
      <w:pPr>
        <w:spacing w:after="129" w:line="270" w:lineRule="auto"/>
        <w:ind w:left="1248" w:right="54" w:hanging="720"/>
        <w:jc w:val="both"/>
      </w:pPr>
      <w:r>
        <w:rPr>
          <w:rFonts w:ascii="Arial" w:eastAsia="Arial" w:hAnsi="Arial" w:cs="Arial"/>
          <w:sz w:val="20"/>
        </w:rPr>
        <w:t xml:space="preserve">11.1.1 </w:t>
      </w:r>
      <w:r>
        <w:rPr>
          <w:rFonts w:ascii="Arial" w:eastAsia="Arial" w:hAnsi="Arial" w:cs="Arial"/>
          <w:sz w:val="20"/>
        </w:rPr>
        <w:t>por ato unilateral e escrito da Administração, nas situações previstas nos incisos I a XII e XVII do art. 78 da Lei nº 8.666, de 1993, e com as consequências indicadas no art. 80 da mesma Lei, sem prejuízo da aplicação das sanções previstas no Termo de Ref</w:t>
      </w:r>
      <w:r>
        <w:rPr>
          <w:rFonts w:ascii="Arial" w:eastAsia="Arial" w:hAnsi="Arial" w:cs="Arial"/>
          <w:sz w:val="20"/>
        </w:rPr>
        <w:t xml:space="preserve">erência, anexo ao Edital; </w:t>
      </w:r>
    </w:p>
    <w:p w:rsidR="006C145C" w:rsidRDefault="00C62E5A">
      <w:pPr>
        <w:spacing w:after="129" w:line="270" w:lineRule="auto"/>
        <w:ind w:left="536" w:right="54" w:hanging="8"/>
        <w:jc w:val="both"/>
      </w:pPr>
      <w:r>
        <w:rPr>
          <w:rFonts w:ascii="Arial" w:eastAsia="Arial" w:hAnsi="Arial" w:cs="Arial"/>
          <w:sz w:val="20"/>
        </w:rPr>
        <w:t xml:space="preserve">11.1.2 amigavelmente, nos termos do art. 79, inciso II, da Lei nº 8.666, de 1993.  </w:t>
      </w:r>
    </w:p>
    <w:p w:rsidR="006C145C" w:rsidRDefault="00C62E5A">
      <w:pPr>
        <w:spacing w:after="129" w:line="270" w:lineRule="auto"/>
        <w:ind w:left="537" w:right="54" w:hanging="540"/>
        <w:jc w:val="both"/>
      </w:pPr>
      <w:r>
        <w:rPr>
          <w:rFonts w:ascii="Arial" w:eastAsia="Arial" w:hAnsi="Arial" w:cs="Arial"/>
          <w:sz w:val="20"/>
        </w:rPr>
        <w:t>11.2 Os casos de rescisão contratual serão formalmente motivados e precedidos de autorização da autoridade competente, assegurando-se à CONTRATAD</w:t>
      </w:r>
      <w:r>
        <w:rPr>
          <w:rFonts w:ascii="Arial" w:eastAsia="Arial" w:hAnsi="Arial" w:cs="Arial"/>
          <w:sz w:val="20"/>
        </w:rPr>
        <w:t xml:space="preserve">A o direito ao contraditório, bem como à prévia e ampla defesa. </w:t>
      </w:r>
    </w:p>
    <w:p w:rsidR="006C145C" w:rsidRDefault="00C62E5A">
      <w:pPr>
        <w:spacing w:after="129" w:line="270" w:lineRule="auto"/>
        <w:ind w:left="537" w:right="54" w:hanging="540"/>
        <w:jc w:val="both"/>
      </w:pPr>
      <w:r>
        <w:rPr>
          <w:rFonts w:ascii="Arial" w:eastAsia="Arial" w:hAnsi="Arial" w:cs="Arial"/>
          <w:sz w:val="20"/>
        </w:rPr>
        <w:t xml:space="preserve">11.3 A CONTRATADA reconhece os direitos da CONTRATANTE em caso de rescisão administrativa prevista no art. 77 da Lei nº 8.666, de 1993. </w:t>
      </w:r>
    </w:p>
    <w:p w:rsidR="006C145C" w:rsidRDefault="00C62E5A">
      <w:pPr>
        <w:spacing w:after="129" w:line="270" w:lineRule="auto"/>
        <w:ind w:left="5" w:right="54" w:hanging="8"/>
        <w:jc w:val="both"/>
      </w:pPr>
      <w:r>
        <w:rPr>
          <w:rFonts w:ascii="Arial" w:eastAsia="Arial" w:hAnsi="Arial" w:cs="Arial"/>
          <w:sz w:val="20"/>
        </w:rPr>
        <w:t>11.4 O termo de rescisão, sempre que possível, será pr</w:t>
      </w:r>
      <w:r>
        <w:rPr>
          <w:rFonts w:ascii="Arial" w:eastAsia="Arial" w:hAnsi="Arial" w:cs="Arial"/>
          <w:sz w:val="20"/>
        </w:rPr>
        <w:t xml:space="preserve">ecedido: </w:t>
      </w:r>
    </w:p>
    <w:p w:rsidR="006C145C" w:rsidRDefault="00C62E5A">
      <w:pPr>
        <w:spacing w:after="129" w:line="270" w:lineRule="auto"/>
        <w:ind w:left="536" w:right="54" w:hanging="8"/>
        <w:jc w:val="both"/>
      </w:pPr>
      <w:r>
        <w:rPr>
          <w:rFonts w:ascii="Arial" w:eastAsia="Arial" w:hAnsi="Arial" w:cs="Arial"/>
          <w:sz w:val="20"/>
        </w:rPr>
        <w:t xml:space="preserve">11.4.1 Balanço dos eventos contratuais já cumpridos ou parcialmente cumpridos; </w:t>
      </w:r>
    </w:p>
    <w:p w:rsidR="006C145C" w:rsidRDefault="00C62E5A">
      <w:pPr>
        <w:spacing w:after="129" w:line="270" w:lineRule="auto"/>
        <w:ind w:left="536" w:right="54" w:hanging="8"/>
        <w:jc w:val="both"/>
      </w:pPr>
      <w:r>
        <w:rPr>
          <w:rFonts w:ascii="Arial" w:eastAsia="Arial" w:hAnsi="Arial" w:cs="Arial"/>
          <w:sz w:val="20"/>
        </w:rPr>
        <w:t xml:space="preserve">11.4.2 Relação dos pagamentos já efetuados e ainda devidos; </w:t>
      </w:r>
    </w:p>
    <w:p w:rsidR="006C145C" w:rsidRDefault="00C62E5A">
      <w:pPr>
        <w:spacing w:after="129" w:line="270" w:lineRule="auto"/>
        <w:ind w:left="536" w:right="54" w:hanging="8"/>
        <w:jc w:val="both"/>
      </w:pPr>
      <w:r>
        <w:rPr>
          <w:rFonts w:ascii="Arial" w:eastAsia="Arial" w:hAnsi="Arial" w:cs="Arial"/>
          <w:sz w:val="20"/>
        </w:rPr>
        <w:t xml:space="preserve">11.4.3 Indenizações e multas. </w:t>
      </w:r>
    </w:p>
    <w:p w:rsidR="006C145C" w:rsidRDefault="00C62E5A">
      <w:pPr>
        <w:spacing w:after="129" w:line="270" w:lineRule="auto"/>
        <w:ind w:left="537" w:right="54" w:hanging="540"/>
        <w:jc w:val="both"/>
      </w:pPr>
      <w:r>
        <w:rPr>
          <w:rFonts w:ascii="Arial" w:eastAsia="Arial" w:hAnsi="Arial" w:cs="Arial"/>
          <w:sz w:val="20"/>
        </w:rPr>
        <w:t xml:space="preserve">11.5 Quando </w:t>
      </w:r>
      <w:r>
        <w:rPr>
          <w:rFonts w:ascii="Arial" w:eastAsia="Arial" w:hAnsi="Arial" w:cs="Arial"/>
          <w:sz w:val="20"/>
        </w:rPr>
        <w:t>da rescisão, o fiscal administrativo deverá verificar o pagamento pela CONTRATADA das verbas rescisórias ou os documentos que comprovem que os empregados serão realocados em outra atividade de prestação de serviços, sem que ocorra a interrupção do contrato</w:t>
      </w:r>
      <w:r>
        <w:rPr>
          <w:rFonts w:ascii="Arial" w:eastAsia="Arial" w:hAnsi="Arial" w:cs="Arial"/>
          <w:sz w:val="20"/>
        </w:rPr>
        <w:t xml:space="preserve"> de trabalho (art. 64 a 66 da IN SEGES/MP n.º 05/2017). </w:t>
      </w:r>
    </w:p>
    <w:p w:rsidR="006C145C" w:rsidRDefault="00C62E5A">
      <w:pPr>
        <w:spacing w:after="129" w:line="270" w:lineRule="auto"/>
        <w:ind w:left="5" w:right="54" w:hanging="8"/>
        <w:jc w:val="both"/>
      </w:pPr>
      <w:r>
        <w:rPr>
          <w:rFonts w:ascii="Arial" w:eastAsia="Arial" w:hAnsi="Arial" w:cs="Arial"/>
          <w:sz w:val="20"/>
        </w:rPr>
        <w:t xml:space="preserve">11.6 Até que a CONTRATADA comprove o disposto no item anterior, a CONTRATANTE reterá: </w:t>
      </w:r>
    </w:p>
    <w:p w:rsidR="006C145C" w:rsidRDefault="00C62E5A">
      <w:pPr>
        <w:spacing w:after="129" w:line="270" w:lineRule="auto"/>
        <w:ind w:left="1248" w:right="54" w:hanging="720"/>
        <w:jc w:val="both"/>
      </w:pPr>
      <w:r>
        <w:rPr>
          <w:rFonts w:ascii="Arial" w:eastAsia="Arial" w:hAnsi="Arial" w:cs="Arial"/>
          <w:sz w:val="20"/>
        </w:rPr>
        <w:t xml:space="preserve">11.6.1 a garantia contratual, prestada com cobertura para os casos de descumprimento das obrigações de natureza </w:t>
      </w:r>
      <w:r>
        <w:rPr>
          <w:rFonts w:ascii="Arial" w:eastAsia="Arial" w:hAnsi="Arial" w:cs="Arial"/>
          <w:sz w:val="20"/>
        </w:rPr>
        <w:t xml:space="preserve">trabalhista e previdenciária pela CONTRATADA, que será </w:t>
      </w:r>
      <w:r>
        <w:rPr>
          <w:rFonts w:ascii="Arial" w:eastAsia="Arial" w:hAnsi="Arial" w:cs="Arial"/>
          <w:sz w:val="20"/>
        </w:rPr>
        <w:lastRenderedPageBreak/>
        <w:t xml:space="preserve">executada para reembolso dos prejuízos sofridos pela Administração, nos termos da legislação que rege a matéria; e  </w:t>
      </w:r>
    </w:p>
    <w:p w:rsidR="006C145C" w:rsidRDefault="00C62E5A">
      <w:pPr>
        <w:spacing w:after="129" w:line="270" w:lineRule="auto"/>
        <w:ind w:left="1248" w:right="54" w:hanging="720"/>
        <w:jc w:val="both"/>
      </w:pPr>
      <w:r>
        <w:rPr>
          <w:rFonts w:ascii="Arial" w:eastAsia="Arial" w:hAnsi="Arial" w:cs="Arial"/>
          <w:sz w:val="20"/>
        </w:rPr>
        <w:t>11.6.2 os valores das Notas fiscais ou Faturas correspondentes em valor proporcional</w:t>
      </w:r>
      <w:r>
        <w:rPr>
          <w:rFonts w:ascii="Arial" w:eastAsia="Arial" w:hAnsi="Arial" w:cs="Arial"/>
          <w:sz w:val="20"/>
        </w:rPr>
        <w:t xml:space="preserve"> ao inadimplemento, até que a situação seja regularizada. </w:t>
      </w:r>
    </w:p>
    <w:p w:rsidR="006C145C" w:rsidRDefault="00C62E5A">
      <w:pPr>
        <w:spacing w:after="129" w:line="270" w:lineRule="auto"/>
        <w:ind w:left="537" w:right="54" w:hanging="540"/>
        <w:jc w:val="both"/>
      </w:pPr>
      <w:r>
        <w:rPr>
          <w:rFonts w:ascii="Arial" w:eastAsia="Arial" w:hAnsi="Arial" w:cs="Arial"/>
          <w:sz w:val="20"/>
        </w:rPr>
        <w:t>11.7 Na hipótese do subitem anterior, não havendo quitação das obrigações por parte da CONTRATADA no prazo de quinze dias, a CONTRATANTE poderá efetuar o pagamento das obrigações diretamente aos em</w:t>
      </w:r>
      <w:r>
        <w:rPr>
          <w:rFonts w:ascii="Arial" w:eastAsia="Arial" w:hAnsi="Arial" w:cs="Arial"/>
          <w:sz w:val="20"/>
        </w:rPr>
        <w:t xml:space="preserve">pregados da CONTRATADA que tenham participado da execução dos serviços objeto do contrato. </w:t>
      </w:r>
    </w:p>
    <w:p w:rsidR="006C145C" w:rsidRDefault="00C62E5A">
      <w:pPr>
        <w:spacing w:after="129" w:line="270" w:lineRule="auto"/>
        <w:ind w:left="5" w:right="54" w:hanging="8"/>
        <w:jc w:val="both"/>
      </w:pPr>
      <w:r>
        <w:rPr>
          <w:rFonts w:ascii="Arial" w:eastAsia="Arial" w:hAnsi="Arial" w:cs="Arial"/>
          <w:sz w:val="20"/>
        </w:rPr>
        <w:t xml:space="preserve">11.8 O CONTRATANTE poderá ainda: </w:t>
      </w:r>
    </w:p>
    <w:p w:rsidR="006C145C" w:rsidRDefault="00C62E5A">
      <w:pPr>
        <w:spacing w:after="129" w:line="270" w:lineRule="auto"/>
        <w:ind w:left="1248" w:right="54" w:hanging="720"/>
        <w:jc w:val="both"/>
      </w:pPr>
      <w:r>
        <w:rPr>
          <w:rFonts w:ascii="Arial" w:eastAsia="Arial" w:hAnsi="Arial" w:cs="Arial"/>
          <w:sz w:val="20"/>
        </w:rPr>
        <w:t>11.8.1  nos casos de obrigação de pagamento de multa pela CONTRATADA, reter a garantia prestada a ser executada, conforme legislaç</w:t>
      </w:r>
      <w:r>
        <w:rPr>
          <w:rFonts w:ascii="Arial" w:eastAsia="Arial" w:hAnsi="Arial" w:cs="Arial"/>
          <w:sz w:val="20"/>
        </w:rPr>
        <w:t xml:space="preserve">ão que rege a matéria; e </w:t>
      </w:r>
    </w:p>
    <w:p w:rsidR="006C145C" w:rsidRDefault="00C62E5A">
      <w:pPr>
        <w:spacing w:after="129" w:line="270" w:lineRule="auto"/>
        <w:ind w:left="1248" w:right="54" w:hanging="720"/>
        <w:jc w:val="both"/>
      </w:pPr>
      <w:r>
        <w:rPr>
          <w:rFonts w:ascii="Arial" w:eastAsia="Arial" w:hAnsi="Arial" w:cs="Arial"/>
          <w:sz w:val="20"/>
        </w:rPr>
        <w:t>11.8.2 nos casos em que houver necessidade de ressarcimento de prejuízos causados à Administração, nos termos do inciso IV do art. 80 da Lei n.º 8.666, de 1993, reter os eventuais créditos existentes em favor da CONTRATADA decorre</w:t>
      </w:r>
      <w:r>
        <w:rPr>
          <w:rFonts w:ascii="Arial" w:eastAsia="Arial" w:hAnsi="Arial" w:cs="Arial"/>
          <w:sz w:val="20"/>
        </w:rPr>
        <w:t xml:space="preserve">ntes do contrato. </w:t>
      </w:r>
    </w:p>
    <w:p w:rsidR="006C145C" w:rsidRDefault="00C62E5A">
      <w:pPr>
        <w:spacing w:after="129" w:line="270" w:lineRule="auto"/>
        <w:ind w:left="537" w:right="54" w:hanging="540"/>
        <w:jc w:val="both"/>
      </w:pPr>
      <w:r>
        <w:rPr>
          <w:rFonts w:ascii="Arial" w:eastAsia="Arial" w:hAnsi="Arial" w:cs="Arial"/>
          <w:sz w:val="20"/>
        </w:rPr>
        <w:t xml:space="preserve">11.9 O contrato poderá ser rescindido no caso de se constatar a ocorrência da vedação estabelecida no art. 5º do Decreto n.º 9.507, de 2018. </w:t>
      </w:r>
    </w:p>
    <w:p w:rsidR="006C145C" w:rsidRDefault="00C62E5A">
      <w:pPr>
        <w:spacing w:after="244" w:line="270" w:lineRule="auto"/>
        <w:ind w:left="537" w:right="54" w:hanging="540"/>
        <w:jc w:val="both"/>
      </w:pPr>
      <w:r>
        <w:rPr>
          <w:rFonts w:ascii="Arial" w:eastAsia="Arial" w:hAnsi="Arial" w:cs="Arial"/>
          <w:sz w:val="20"/>
        </w:rPr>
        <w:t xml:space="preserve">11.10 O não pagamento dos salários e das verbas trabalhistas, e </w:t>
      </w:r>
      <w:r>
        <w:rPr>
          <w:rFonts w:ascii="Arial" w:eastAsia="Arial" w:hAnsi="Arial" w:cs="Arial"/>
          <w:sz w:val="20"/>
        </w:rPr>
        <w:t xml:space="preserve">o não recolhimento das contribuições sociais, previdenciárias e para com o FGTS em relação ao empregados da contrata que efetivamente participaram da execução do contrato poderá dar ensejo à rescisão do contrato, por ato unilateral e escrito, por parte da </w:t>
      </w:r>
      <w:r>
        <w:rPr>
          <w:rFonts w:ascii="Arial" w:eastAsia="Arial" w:hAnsi="Arial" w:cs="Arial"/>
          <w:sz w:val="20"/>
        </w:rPr>
        <w:t xml:space="preserve">CONTRATANTE  e à aplicação das penalidades cabíveis (art. 8º, inciso IV, do Decreto n.º 9.507, de 2018). </w:t>
      </w:r>
    </w:p>
    <w:p w:rsidR="006C145C" w:rsidRDefault="00C62E5A">
      <w:pPr>
        <w:pStyle w:val="Ttulo3"/>
        <w:tabs>
          <w:tab w:val="center" w:pos="2270"/>
        </w:tabs>
        <w:spacing w:after="120" w:line="249" w:lineRule="auto"/>
        <w:ind w:left="0" w:firstLine="0"/>
        <w:jc w:val="left"/>
      </w:pPr>
      <w:r>
        <w:t xml:space="preserve">12 </w:t>
      </w:r>
      <w:r>
        <w:tab/>
        <w:t xml:space="preserve">CLÁUSULA DÉCIMA TERCEIRA – VEDAÇÕES </w:t>
      </w:r>
    </w:p>
    <w:p w:rsidR="006C145C" w:rsidRDefault="00C62E5A">
      <w:pPr>
        <w:spacing w:after="129" w:line="270" w:lineRule="auto"/>
        <w:ind w:left="5" w:right="54" w:hanging="8"/>
        <w:jc w:val="both"/>
      </w:pPr>
      <w:r>
        <w:rPr>
          <w:rFonts w:ascii="Arial" w:eastAsia="Arial" w:hAnsi="Arial" w:cs="Arial"/>
          <w:sz w:val="20"/>
        </w:rPr>
        <w:t xml:space="preserve">12.1 É vedado à CONTRATADA: </w:t>
      </w:r>
    </w:p>
    <w:p w:rsidR="006C145C" w:rsidRDefault="00C62E5A">
      <w:pPr>
        <w:spacing w:after="129" w:line="270" w:lineRule="auto"/>
        <w:ind w:left="536" w:right="54" w:hanging="8"/>
        <w:jc w:val="both"/>
      </w:pPr>
      <w:r>
        <w:rPr>
          <w:rFonts w:ascii="Arial" w:eastAsia="Arial" w:hAnsi="Arial" w:cs="Arial"/>
          <w:sz w:val="20"/>
        </w:rPr>
        <w:t>12.1.1 caucionar ou utilizar este Termo de Contrato para qualquer operação finan</w:t>
      </w:r>
      <w:r>
        <w:rPr>
          <w:rFonts w:ascii="Arial" w:eastAsia="Arial" w:hAnsi="Arial" w:cs="Arial"/>
          <w:sz w:val="20"/>
        </w:rPr>
        <w:t xml:space="preserve">ceira; </w:t>
      </w:r>
    </w:p>
    <w:p w:rsidR="006C145C" w:rsidRDefault="00C62E5A">
      <w:pPr>
        <w:spacing w:after="244" w:line="270" w:lineRule="auto"/>
        <w:ind w:left="1248" w:right="54" w:hanging="720"/>
        <w:jc w:val="both"/>
      </w:pPr>
      <w:r>
        <w:rPr>
          <w:rFonts w:ascii="Arial" w:eastAsia="Arial" w:hAnsi="Arial" w:cs="Arial"/>
          <w:sz w:val="20"/>
        </w:rPr>
        <w:t xml:space="preserve">12.1.2 interromper a execução dos serviços sob alegação de inadimplemento por parte da CONTRATANTE, salvo nos casos previstos em lei. </w:t>
      </w:r>
    </w:p>
    <w:p w:rsidR="006C145C" w:rsidRDefault="00C62E5A">
      <w:pPr>
        <w:pStyle w:val="Ttulo3"/>
        <w:tabs>
          <w:tab w:val="center" w:pos="2314"/>
        </w:tabs>
        <w:spacing w:after="120" w:line="249" w:lineRule="auto"/>
        <w:ind w:left="0" w:firstLine="0"/>
        <w:jc w:val="left"/>
      </w:pPr>
      <w:r>
        <w:t xml:space="preserve">13 </w:t>
      </w:r>
      <w:r>
        <w:tab/>
        <w:t xml:space="preserve">CLÁUSULA DÉCIMA QUARTA – ALTERAÇÕES </w:t>
      </w:r>
    </w:p>
    <w:p w:rsidR="006C145C" w:rsidRDefault="00C62E5A">
      <w:pPr>
        <w:spacing w:after="129" w:line="270" w:lineRule="auto"/>
        <w:ind w:left="537" w:right="54" w:hanging="540"/>
        <w:jc w:val="both"/>
      </w:pPr>
      <w:r>
        <w:rPr>
          <w:rFonts w:ascii="Arial" w:eastAsia="Arial" w:hAnsi="Arial" w:cs="Arial"/>
          <w:sz w:val="20"/>
        </w:rPr>
        <w:t>13.1 Eventuais alterações contratuais reger-se-ão pela disciplina do art</w:t>
      </w:r>
      <w:r>
        <w:rPr>
          <w:rFonts w:ascii="Arial" w:eastAsia="Arial" w:hAnsi="Arial" w:cs="Arial"/>
          <w:sz w:val="20"/>
        </w:rPr>
        <w:t xml:space="preserve">. 65 da Lei nº 8.666, de 1993, bem como do ANEXO X da IN/SEGES/MP nº 05, de 2017. </w:t>
      </w:r>
    </w:p>
    <w:p w:rsidR="006C145C" w:rsidRDefault="00C62E5A">
      <w:pPr>
        <w:spacing w:after="129" w:line="270" w:lineRule="auto"/>
        <w:ind w:left="537" w:right="54" w:hanging="540"/>
        <w:jc w:val="both"/>
      </w:pPr>
      <w:r>
        <w:rPr>
          <w:rFonts w:ascii="Arial" w:eastAsia="Arial" w:hAnsi="Arial" w:cs="Arial"/>
          <w:sz w:val="20"/>
        </w:rPr>
        <w:t>13.2 A CONTRATADA é obrigada a aceitar, nas mesmas condições contratuais, os acréscimos ou supressões que se fizerem necessários, até o limite de 25% (vinte e cinco por cent</w:t>
      </w:r>
      <w:r>
        <w:rPr>
          <w:rFonts w:ascii="Arial" w:eastAsia="Arial" w:hAnsi="Arial" w:cs="Arial"/>
          <w:sz w:val="20"/>
        </w:rPr>
        <w:t xml:space="preserve">o) do valor inicial atualizado do contrato. </w:t>
      </w:r>
    </w:p>
    <w:p w:rsidR="006C145C" w:rsidRDefault="00C62E5A">
      <w:pPr>
        <w:spacing w:after="244" w:line="270" w:lineRule="auto"/>
        <w:ind w:left="537" w:right="54" w:hanging="540"/>
        <w:jc w:val="both"/>
      </w:pPr>
      <w:r>
        <w:rPr>
          <w:rFonts w:ascii="Arial" w:eastAsia="Arial" w:hAnsi="Arial" w:cs="Arial"/>
          <w:sz w:val="20"/>
        </w:rPr>
        <w:t xml:space="preserve">13.3 As supressões resultantes de acordo celebrado entre as partes contratantes poderão exceder o limite de 25% (vinte e cinco por cento) do valor inicial atualizado do contrato. </w:t>
      </w:r>
    </w:p>
    <w:p w:rsidR="006C145C" w:rsidRDefault="00C62E5A">
      <w:pPr>
        <w:pStyle w:val="Ttulo3"/>
        <w:tabs>
          <w:tab w:val="center" w:pos="2675"/>
        </w:tabs>
        <w:spacing w:after="120" w:line="249" w:lineRule="auto"/>
        <w:ind w:left="0" w:firstLine="0"/>
        <w:jc w:val="left"/>
      </w:pPr>
      <w:r>
        <w:t xml:space="preserve">14 </w:t>
      </w:r>
      <w:r>
        <w:tab/>
        <w:t xml:space="preserve">CLÁUSULA DÉCIMA QUINTA – </w:t>
      </w:r>
      <w:r>
        <w:t xml:space="preserve">DOS CASOS OMISSOS </w:t>
      </w:r>
    </w:p>
    <w:p w:rsidR="006C145C" w:rsidRDefault="00C62E5A">
      <w:pPr>
        <w:spacing w:after="169" w:line="270" w:lineRule="auto"/>
        <w:ind w:left="537" w:right="54" w:hanging="540"/>
        <w:jc w:val="both"/>
      </w:pPr>
      <w:r>
        <w:rPr>
          <w:rFonts w:ascii="Arial" w:eastAsia="Arial" w:hAnsi="Arial" w:cs="Arial"/>
          <w:sz w:val="20"/>
        </w:rPr>
        <w:t>14.1 Os casos omissos serão decididos pela CONTRATANTE, segundo as disposições contidas na Lei nº 8.666, de 1993, na Lei nº 10.520, de 2002, , Instrução Normativa vigente no DNIT sobre Processo Administrativo de Apuração de Responsabilid</w:t>
      </w:r>
      <w:r>
        <w:rPr>
          <w:rFonts w:ascii="Arial" w:eastAsia="Arial" w:hAnsi="Arial" w:cs="Arial"/>
          <w:sz w:val="20"/>
        </w:rPr>
        <w:t xml:space="preserve">ade – PAAR e demais normas federais aplicáveis e, subsidiariamente, segundo as disposições contidas na Lei nº 8.078, de 1990 – Código de Defesa do Consumidor – e normas e princípios gerais dos contratos. </w:t>
      </w:r>
    </w:p>
    <w:p w:rsidR="006C145C" w:rsidRDefault="00C62E5A">
      <w:pPr>
        <w:pBdr>
          <w:top w:val="single" w:sz="4" w:space="0" w:color="000000"/>
          <w:left w:val="single" w:sz="4" w:space="0" w:color="000000"/>
          <w:right w:val="single" w:sz="4" w:space="0" w:color="000000"/>
        </w:pBdr>
        <w:shd w:val="clear" w:color="auto" w:fill="FFFFCC"/>
        <w:spacing w:after="142" w:line="279" w:lineRule="auto"/>
        <w:ind w:left="550" w:right="46" w:hanging="10"/>
        <w:jc w:val="both"/>
      </w:pPr>
      <w:r>
        <w:rPr>
          <w:rFonts w:ascii="Arial" w:eastAsia="Arial" w:hAnsi="Arial" w:cs="Arial"/>
          <w:b/>
          <w:i/>
          <w:sz w:val="20"/>
        </w:rPr>
        <w:t>Nota explicativa:</w:t>
      </w:r>
      <w:r>
        <w:rPr>
          <w:rFonts w:ascii="Arial" w:eastAsia="Arial" w:hAnsi="Arial" w:cs="Arial"/>
          <w:i/>
          <w:sz w:val="20"/>
        </w:rPr>
        <w:t xml:space="preserve"> No Acórdão n.º 2569/2018 – Plenár</w:t>
      </w:r>
      <w:r>
        <w:rPr>
          <w:rFonts w:ascii="Arial" w:eastAsia="Arial" w:hAnsi="Arial" w:cs="Arial"/>
          <w:i/>
          <w:sz w:val="20"/>
        </w:rPr>
        <w:t xml:space="preserve">io, o TCU concluiu que “A Administração Pública pode invocar a Lei 8.078/1990 (CDC), na condição de destinatária final de bens e serviços, quando suas prerrogativas estabelecidas na legislação de licitações e contratos forem insuficientes </w:t>
      </w:r>
      <w:r>
        <w:rPr>
          <w:rFonts w:ascii="Arial" w:eastAsia="Arial" w:hAnsi="Arial" w:cs="Arial"/>
          <w:i/>
          <w:sz w:val="20"/>
        </w:rPr>
        <w:lastRenderedPageBreak/>
        <w:t>para garantir a p</w:t>
      </w:r>
      <w:r>
        <w:rPr>
          <w:rFonts w:ascii="Arial" w:eastAsia="Arial" w:hAnsi="Arial" w:cs="Arial"/>
          <w:i/>
          <w:sz w:val="20"/>
        </w:rPr>
        <w:t xml:space="preserve">roteção mínima dos interesses da sociedade [...]”. (cf. Boletim de Jurisprudência n.º 244, sessões 6 e 7 de novembro de 2018). Consta do referido Acórdão, nesse sentido, que: </w:t>
      </w:r>
    </w:p>
    <w:p w:rsidR="006C145C" w:rsidRDefault="00C62E5A">
      <w:pPr>
        <w:pBdr>
          <w:top w:val="single" w:sz="4" w:space="0" w:color="000000"/>
          <w:left w:val="single" w:sz="4" w:space="0" w:color="000000"/>
          <w:right w:val="single" w:sz="4" w:space="0" w:color="000000"/>
        </w:pBdr>
        <w:shd w:val="clear" w:color="auto" w:fill="FFFFCC"/>
        <w:spacing w:after="263" w:line="279" w:lineRule="auto"/>
        <w:ind w:left="550" w:right="46" w:hanging="10"/>
        <w:jc w:val="both"/>
      </w:pPr>
      <w:r>
        <w:rPr>
          <w:rFonts w:ascii="Arial" w:eastAsia="Arial" w:hAnsi="Arial" w:cs="Arial"/>
          <w:i/>
          <w:sz w:val="20"/>
        </w:rPr>
        <w:t>“307. Como é exposto no exame técnico transcrito no relatório do TC-016.501/2003</w:t>
      </w:r>
      <w:r>
        <w:rPr>
          <w:rFonts w:ascii="Arial" w:eastAsia="Arial" w:hAnsi="Arial" w:cs="Arial"/>
          <w:i/>
          <w:sz w:val="20"/>
        </w:rPr>
        <w:t>-0, acolhido integralmente pelo Relator do Acórdão 1.670/2003-Plenário, Ministro-Substituto Lincoln Magalhães da Rocha, a Lei 8.078/1990 é aplicável à Administração Pública enquanto consumidora de bens e serviços. Isso porque ao definir, em seu art. 2º, ‘c</w:t>
      </w:r>
      <w:r>
        <w:rPr>
          <w:rFonts w:ascii="Arial" w:eastAsia="Arial" w:hAnsi="Arial" w:cs="Arial"/>
          <w:i/>
          <w:sz w:val="20"/>
        </w:rPr>
        <w:t>onsumidor’ como toda pessoa física ou jurídica que adquire ou utiliza produto ou serviço como destinatário final, a Lei não fez nenhuma exceção, podendo, portanto, a Administração Pública se utilizar de todos os direitos ali estabelecidos na condição de co</w:t>
      </w:r>
      <w:r>
        <w:rPr>
          <w:rFonts w:ascii="Arial" w:eastAsia="Arial" w:hAnsi="Arial" w:cs="Arial"/>
          <w:i/>
          <w:sz w:val="20"/>
        </w:rPr>
        <w:t>nsumidora. Ainda de acordo com o citado relatório, esse é o entendimento dos doutrinadores Leon Fredja, Celso Bastos e Toshio Mukai. Diversas outras deliberações do TCU também vão nesse sentido, como o Acórdão 1.729/2008-TCU-Plenário, de relatoria do Minis</w:t>
      </w:r>
      <w:r>
        <w:rPr>
          <w:rFonts w:ascii="Arial" w:eastAsia="Arial" w:hAnsi="Arial" w:cs="Arial"/>
          <w:i/>
          <w:sz w:val="20"/>
        </w:rPr>
        <w:t xml:space="preserve">tro Valmir Campelo, o Acórdão 5.736/2011-TCU-Primeira Câmara, de relatoria do Ministro-Substituto Weder de Oliveira, e as Decisões 634/1996 e 1.045/2000, ambas do Plenário, de relatoria dos ministros Homero Santos e Adylson Motta, respectivamente”. </w:t>
      </w:r>
    </w:p>
    <w:p w:rsidR="006C145C" w:rsidRDefault="00C62E5A">
      <w:pPr>
        <w:pStyle w:val="Ttulo3"/>
        <w:tabs>
          <w:tab w:val="center" w:pos="2764"/>
        </w:tabs>
        <w:spacing w:after="120" w:line="249" w:lineRule="auto"/>
        <w:ind w:left="0" w:firstLine="0"/>
        <w:jc w:val="left"/>
      </w:pPr>
      <w:r>
        <w:t xml:space="preserve">15 </w:t>
      </w:r>
      <w:r>
        <w:tab/>
        <w:t>CL</w:t>
      </w:r>
      <w:r>
        <w:t xml:space="preserve">ÁUSULA DÉCIMA SEXTA – PUBLICAÇÃO </w:t>
      </w:r>
    </w:p>
    <w:p w:rsidR="006C145C" w:rsidRDefault="00C62E5A">
      <w:pPr>
        <w:spacing w:after="244" w:line="270" w:lineRule="auto"/>
        <w:ind w:left="537" w:right="54" w:hanging="540"/>
        <w:jc w:val="both"/>
      </w:pPr>
      <w:r>
        <w:rPr>
          <w:rFonts w:ascii="Arial" w:eastAsia="Arial" w:hAnsi="Arial" w:cs="Arial"/>
          <w:sz w:val="20"/>
        </w:rPr>
        <w:t xml:space="preserve">15.1 Incumbirá à CONTRATANTE providenciar a publicação deste instrumento, por extrato, no Diário Oficial da União, no prazo previsto na Lei nº 8.666, de 1993. </w:t>
      </w:r>
    </w:p>
    <w:p w:rsidR="006C145C" w:rsidRDefault="00C62E5A">
      <w:pPr>
        <w:pStyle w:val="Ttulo3"/>
        <w:tabs>
          <w:tab w:val="center" w:pos="2432"/>
        </w:tabs>
        <w:spacing w:after="120" w:line="249" w:lineRule="auto"/>
        <w:ind w:left="0" w:firstLine="0"/>
        <w:jc w:val="left"/>
      </w:pPr>
      <w:r>
        <w:t xml:space="preserve">16 </w:t>
      </w:r>
      <w:r>
        <w:tab/>
        <w:t xml:space="preserve">CLÁUSULA DÉCIMA SÉTIMA – FORO </w:t>
      </w:r>
    </w:p>
    <w:p w:rsidR="006C145C" w:rsidRDefault="00C62E5A">
      <w:pPr>
        <w:spacing w:after="129" w:line="270" w:lineRule="auto"/>
        <w:ind w:left="537" w:right="54" w:hanging="540"/>
        <w:jc w:val="both"/>
      </w:pPr>
      <w:r>
        <w:rPr>
          <w:rFonts w:ascii="Arial" w:eastAsia="Arial" w:hAnsi="Arial" w:cs="Arial"/>
          <w:sz w:val="20"/>
        </w:rPr>
        <w:t xml:space="preserve">16.1  É eleito o Foro da </w:t>
      </w:r>
      <w:r>
        <w:rPr>
          <w:rFonts w:ascii="Arial" w:eastAsia="Arial" w:hAnsi="Arial" w:cs="Arial"/>
          <w:color w:val="FF0000"/>
          <w:sz w:val="20"/>
        </w:rPr>
        <w:t>......</w:t>
      </w:r>
      <w:r>
        <w:rPr>
          <w:rFonts w:ascii="Arial" w:eastAsia="Arial" w:hAnsi="Arial" w:cs="Arial"/>
          <w:sz w:val="20"/>
        </w:rPr>
        <w:t xml:space="preserve"> para dirimir os litígios que decorrerem da execução deste Termo de Contrato que não possam ser compostos pela conciliação, conforme art. 55, §2º, da Lei nº 8.666/93.  </w:t>
      </w:r>
    </w:p>
    <w:p w:rsidR="006C145C" w:rsidRDefault="00C62E5A">
      <w:pPr>
        <w:spacing w:after="218"/>
        <w:ind w:left="655"/>
      </w:pPr>
      <w:r>
        <w:rPr>
          <w:rFonts w:ascii="Arial" w:eastAsia="Arial" w:hAnsi="Arial" w:cs="Arial"/>
          <w:sz w:val="20"/>
        </w:rPr>
        <w:t xml:space="preserve"> </w:t>
      </w:r>
    </w:p>
    <w:p w:rsidR="006C145C" w:rsidRDefault="00C62E5A">
      <w:pPr>
        <w:spacing w:after="129" w:line="361" w:lineRule="auto"/>
        <w:ind w:left="115" w:right="54" w:firstLine="540"/>
        <w:jc w:val="both"/>
      </w:pPr>
      <w:r>
        <w:rPr>
          <w:rFonts w:ascii="Arial" w:eastAsia="Arial" w:hAnsi="Arial" w:cs="Arial"/>
          <w:sz w:val="20"/>
        </w:rPr>
        <w:t>Para firmeza e validade do pactuado, o presente Termo de Contrato foi lavrado e</w:t>
      </w:r>
      <w:r>
        <w:rPr>
          <w:rFonts w:ascii="Arial" w:eastAsia="Arial" w:hAnsi="Arial" w:cs="Arial"/>
          <w:sz w:val="20"/>
        </w:rPr>
        <w:t xml:space="preserve">m duas (duas) vias de igual teor, que, depois de lido e achado em ordem, vai assinado pelos contraentes e por duas testemunhas.  </w:t>
      </w:r>
    </w:p>
    <w:p w:rsidR="006C145C" w:rsidRDefault="00C62E5A">
      <w:pPr>
        <w:spacing w:after="209" w:line="270" w:lineRule="auto"/>
        <w:ind w:left="123" w:right="54" w:hanging="8"/>
        <w:jc w:val="both"/>
      </w:pPr>
      <w:r>
        <w:rPr>
          <w:rFonts w:ascii="Arial" w:eastAsia="Arial" w:hAnsi="Arial" w:cs="Arial"/>
          <w:sz w:val="20"/>
        </w:rPr>
        <w:t xml:space="preserve">...........................................,  .......... de.......................................... de 20..... </w:t>
      </w:r>
    </w:p>
    <w:p w:rsidR="006C145C" w:rsidRDefault="00C62E5A">
      <w:pPr>
        <w:spacing w:after="101"/>
        <w:ind w:left="115"/>
      </w:pPr>
      <w:r>
        <w:rPr>
          <w:rFonts w:ascii="Arial" w:eastAsia="Arial" w:hAnsi="Arial" w:cs="Arial"/>
          <w:sz w:val="20"/>
        </w:rPr>
        <w:t xml:space="preserve"> </w:t>
      </w:r>
    </w:p>
    <w:p w:rsidR="006C145C" w:rsidRDefault="00C62E5A">
      <w:pPr>
        <w:spacing w:after="107" w:line="254" w:lineRule="auto"/>
        <w:ind w:left="311" w:right="251" w:hanging="10"/>
        <w:jc w:val="center"/>
      </w:pPr>
      <w:r>
        <w:rPr>
          <w:rFonts w:ascii="Arial" w:eastAsia="Arial" w:hAnsi="Arial" w:cs="Arial"/>
          <w:sz w:val="20"/>
        </w:rPr>
        <w:t>__________</w:t>
      </w:r>
      <w:r>
        <w:rPr>
          <w:rFonts w:ascii="Arial" w:eastAsia="Arial" w:hAnsi="Arial" w:cs="Arial"/>
          <w:sz w:val="20"/>
        </w:rPr>
        <w:t xml:space="preserve">_______________ </w:t>
      </w:r>
    </w:p>
    <w:p w:rsidR="006C145C" w:rsidRDefault="00C62E5A">
      <w:pPr>
        <w:spacing w:after="107" w:line="254" w:lineRule="auto"/>
        <w:ind w:left="311" w:right="245" w:hanging="10"/>
        <w:jc w:val="center"/>
      </w:pPr>
      <w:r>
        <w:rPr>
          <w:rFonts w:ascii="Arial" w:eastAsia="Arial" w:hAnsi="Arial" w:cs="Arial"/>
          <w:sz w:val="20"/>
        </w:rPr>
        <w:t xml:space="preserve">Representante legal da CONTRATANTE </w:t>
      </w:r>
    </w:p>
    <w:p w:rsidR="006C145C" w:rsidRDefault="00C62E5A">
      <w:pPr>
        <w:spacing w:after="0" w:line="367" w:lineRule="auto"/>
        <w:ind w:left="115" w:right="1839" w:firstLine="3145"/>
      </w:pPr>
      <w:r>
        <w:rPr>
          <w:rFonts w:ascii="Arial" w:eastAsia="Arial" w:hAnsi="Arial" w:cs="Arial"/>
          <w:sz w:val="20"/>
        </w:rPr>
        <w:t xml:space="preserve">_________________________ Representante legal da CONTRATADA TESTEMUNHAS: </w:t>
      </w:r>
    </w:p>
    <w:p w:rsidR="006C145C" w:rsidRDefault="00C62E5A">
      <w:pPr>
        <w:spacing w:after="129" w:line="270" w:lineRule="auto"/>
        <w:ind w:left="123" w:right="8721" w:hanging="8"/>
        <w:jc w:val="both"/>
      </w:pPr>
      <w:r>
        <w:rPr>
          <w:rFonts w:ascii="Arial" w:eastAsia="Arial" w:hAnsi="Arial" w:cs="Arial"/>
          <w:sz w:val="20"/>
        </w:rPr>
        <w:t xml:space="preserve">1- 2-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174" w:line="249" w:lineRule="auto"/>
        <w:ind w:left="125" w:right="57" w:hanging="10"/>
        <w:jc w:val="both"/>
      </w:pPr>
      <w:r>
        <w:rPr>
          <w:rFonts w:ascii="Arial" w:eastAsia="Arial" w:hAnsi="Arial" w:cs="Arial"/>
          <w:b/>
          <w:i/>
          <w:sz w:val="20"/>
        </w:rPr>
        <w:t>Nota Explicativa</w:t>
      </w:r>
      <w:r>
        <w:rPr>
          <w:rFonts w:ascii="Arial" w:eastAsia="Arial" w:hAnsi="Arial" w:cs="Arial"/>
          <w:i/>
          <w:sz w:val="20"/>
        </w:rPr>
        <w:t xml:space="preserve">: Necessário que tenha a assinatura do responsável legal da CONTRATANTE e da CONTRATADA e de 2 testemunhas para atender o disposto no art. 784 do CPC que considera título executivo extrajudicial o documento particular assinado por duas testemunhas.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31" w:line="242" w:lineRule="auto"/>
        <w:ind w:left="115"/>
      </w:pPr>
      <w:r>
        <w:rPr>
          <w:rFonts w:ascii="Arial" w:eastAsia="Arial" w:hAnsi="Arial" w:cs="Arial"/>
          <w:b/>
          <w:i/>
          <w:sz w:val="20"/>
        </w:rPr>
        <w:t xml:space="preserve">Nota </w:t>
      </w:r>
      <w:r>
        <w:rPr>
          <w:rFonts w:ascii="Arial" w:eastAsia="Arial" w:hAnsi="Arial" w:cs="Arial"/>
          <w:b/>
          <w:i/>
          <w:sz w:val="20"/>
        </w:rPr>
        <w:t>Explicativa:</w:t>
      </w:r>
      <w:r>
        <w:rPr>
          <w:rFonts w:ascii="Arial" w:eastAsia="Arial" w:hAnsi="Arial" w:cs="Arial"/>
          <w:i/>
          <w:sz w:val="20"/>
        </w:rPr>
        <w:t xml:space="preserve"> Observar que o contrato e seus aditivos somente terão eficácia após a publicação de seu resumo na imprensa oficial, nos termos do ANEXO VII-G, item 4, da IN nº 05/2017. </w:t>
      </w:r>
    </w:p>
    <w:p w:rsidR="006C145C" w:rsidRDefault="00C62E5A">
      <w:pPr>
        <w:spacing w:after="132"/>
        <w:ind w:left="115"/>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hd w:val="clear" w:color="auto" w:fill="FFFFCC"/>
        <w:spacing w:after="4" w:line="250" w:lineRule="auto"/>
        <w:ind w:left="125" w:right="56" w:hanging="10"/>
        <w:jc w:val="both"/>
      </w:pPr>
      <w:r>
        <w:rPr>
          <w:rFonts w:ascii="Arial" w:eastAsia="Arial" w:hAnsi="Arial" w:cs="Arial"/>
          <w:i/>
          <w:sz w:val="20"/>
        </w:rPr>
        <w:t>seu resumo na imprensa oficial, nos termos do ANEXO VII-</w:t>
      </w:r>
      <w:r>
        <w:rPr>
          <w:rFonts w:ascii="Arial" w:eastAsia="Arial" w:hAnsi="Arial" w:cs="Arial"/>
          <w:i/>
          <w:sz w:val="20"/>
        </w:rPr>
        <w:t xml:space="preserve">G, item 4, da IN nº 05/2017. </w:t>
      </w:r>
    </w:p>
    <w:p w:rsidR="006C145C" w:rsidRDefault="00C62E5A">
      <w:pPr>
        <w:spacing w:after="0"/>
        <w:ind w:left="115"/>
      </w:pPr>
      <w:r>
        <w:rPr>
          <w:rFonts w:ascii="Arial" w:eastAsia="Arial" w:hAnsi="Arial" w:cs="Arial"/>
          <w:sz w:val="20"/>
        </w:rPr>
        <w:t xml:space="preserve"> </w:t>
      </w:r>
    </w:p>
    <w:p w:rsidR="006C145C" w:rsidRDefault="00C62E5A">
      <w:pPr>
        <w:spacing w:after="0"/>
        <w:ind w:left="115"/>
      </w:pPr>
      <w:r>
        <w:rPr>
          <w:rFonts w:ascii="Arial" w:eastAsia="Arial" w:hAnsi="Arial" w:cs="Arial"/>
          <w:sz w:val="20"/>
        </w:rPr>
        <w:t xml:space="preserve"> </w:t>
      </w:r>
    </w:p>
    <w:p w:rsidR="006C145C" w:rsidRDefault="00C62E5A">
      <w:pPr>
        <w:spacing w:after="0"/>
        <w:ind w:left="115"/>
      </w:pPr>
      <w:r>
        <w:rPr>
          <w:rFonts w:ascii="Arial" w:eastAsia="Arial" w:hAnsi="Arial" w:cs="Arial"/>
          <w:sz w:val="20"/>
        </w:rPr>
        <w:t xml:space="preserve"> </w:t>
      </w:r>
      <w:r>
        <w:rPr>
          <w:rFonts w:ascii="Arial" w:eastAsia="Arial" w:hAnsi="Arial" w:cs="Arial"/>
          <w:sz w:val="20"/>
        </w:rPr>
        <w:tab/>
        <w:t xml:space="preserve"> </w:t>
      </w:r>
    </w:p>
    <w:p w:rsidR="006C145C" w:rsidRDefault="00C62E5A">
      <w:pPr>
        <w:spacing w:after="0"/>
      </w:pPr>
      <w:r>
        <w:rPr>
          <w:rFonts w:ascii="Arial" w:eastAsia="Arial" w:hAnsi="Arial" w:cs="Arial"/>
          <w:sz w:val="20"/>
        </w:rPr>
        <w:t xml:space="preserve"> </w:t>
      </w:r>
    </w:p>
    <w:p w:rsidR="006C145C" w:rsidRDefault="00C62E5A">
      <w:pPr>
        <w:pStyle w:val="Ttulo2"/>
        <w:spacing w:after="221" w:line="259" w:lineRule="auto"/>
        <w:ind w:left="10" w:right="55"/>
      </w:pPr>
      <w:r>
        <w:rPr>
          <w:color w:val="FF0000"/>
          <w:u w:val="single" w:color="FF0000"/>
        </w:rPr>
        <w:lastRenderedPageBreak/>
        <w:t>AUTORIZAÇÃO COMPLEMENTAR AO CONTRATO</w:t>
      </w:r>
      <w:r>
        <w:rPr>
          <w:u w:val="single" w:color="FF0000"/>
        </w:rPr>
        <w:t xml:space="preserve"> N° </w:t>
      </w:r>
      <w:r>
        <w:rPr>
          <w:color w:val="FF0000"/>
          <w:u w:val="single" w:color="FF0000"/>
        </w:rPr>
        <w:t>XXXX</w:t>
      </w:r>
      <w:r>
        <w:rPr>
          <w:color w:val="FF0000"/>
        </w:rPr>
        <w:t xml:space="preserve"> </w:t>
      </w:r>
      <w:r>
        <w:t xml:space="preserve"> </w:t>
      </w:r>
    </w:p>
    <w:p w:rsidR="006C145C" w:rsidRDefault="00C62E5A">
      <w:pPr>
        <w:spacing w:after="0" w:line="270" w:lineRule="auto"/>
        <w:ind w:left="1427" w:right="54" w:hanging="8"/>
        <w:jc w:val="both"/>
      </w:pPr>
      <w:r>
        <w:rPr>
          <w:rFonts w:ascii="Arial" w:eastAsia="Arial" w:hAnsi="Arial" w:cs="Arial"/>
          <w:sz w:val="20"/>
        </w:rPr>
        <w:t>______________________________________________ (</w:t>
      </w:r>
      <w:r>
        <w:rPr>
          <w:rFonts w:ascii="Arial" w:eastAsia="Arial" w:hAnsi="Arial" w:cs="Arial"/>
          <w:i/>
          <w:sz w:val="20"/>
        </w:rPr>
        <w:t>identificação do licitante</w:t>
      </w:r>
      <w:r>
        <w:rPr>
          <w:rFonts w:ascii="Arial" w:eastAsia="Arial" w:hAnsi="Arial" w:cs="Arial"/>
          <w:sz w:val="20"/>
        </w:rPr>
        <w:t xml:space="preserve">), </w:t>
      </w:r>
    </w:p>
    <w:p w:rsidR="006C145C" w:rsidRDefault="00C62E5A">
      <w:pPr>
        <w:spacing w:after="216" w:line="270" w:lineRule="auto"/>
        <w:ind w:left="5" w:right="54" w:hanging="8"/>
        <w:jc w:val="both"/>
      </w:pPr>
      <w:r>
        <w:rPr>
          <w:rFonts w:ascii="Arial" w:eastAsia="Arial" w:hAnsi="Arial" w:cs="Arial"/>
          <w:sz w:val="20"/>
        </w:rPr>
        <w:t>inscrita no CNPJ nº _______________, por intermédio de seu representante legal, o Sr. _____</w:t>
      </w:r>
      <w:r>
        <w:rPr>
          <w:rFonts w:ascii="Arial" w:eastAsia="Arial" w:hAnsi="Arial" w:cs="Arial"/>
          <w:sz w:val="20"/>
        </w:rPr>
        <w:t>______________________ (</w:t>
      </w:r>
      <w:r>
        <w:rPr>
          <w:rFonts w:ascii="Arial" w:eastAsia="Arial" w:hAnsi="Arial" w:cs="Arial"/>
          <w:i/>
          <w:sz w:val="20"/>
        </w:rPr>
        <w:t>nome do representante</w:t>
      </w:r>
      <w:r>
        <w:rPr>
          <w:rFonts w:ascii="Arial" w:eastAsia="Arial" w:hAnsi="Arial" w:cs="Arial"/>
          <w:sz w:val="20"/>
        </w:rPr>
        <w:t xml:space="preserve">), portador da Cédula de Identidade RG nº _______________ e do CPF nº _______________, </w:t>
      </w:r>
      <w:r>
        <w:rPr>
          <w:rFonts w:ascii="Arial" w:eastAsia="Arial" w:hAnsi="Arial" w:cs="Arial"/>
          <w:b/>
          <w:sz w:val="20"/>
          <w:u w:val="single" w:color="000000"/>
        </w:rPr>
        <w:t>AUTORIZA</w:t>
      </w:r>
      <w:r>
        <w:rPr>
          <w:rFonts w:ascii="Arial" w:eastAsia="Arial" w:hAnsi="Arial" w:cs="Arial"/>
          <w:sz w:val="20"/>
        </w:rPr>
        <w:t xml:space="preserve"> o DEPARTAMENTO NACIONAL DE INFRAESTRUTURA DE TRANSPORTES - DNIT, para os fins do Anexo VII-B da Instrução Normativa</w:t>
      </w:r>
      <w:r>
        <w:rPr>
          <w:rFonts w:ascii="Arial" w:eastAsia="Arial" w:hAnsi="Arial" w:cs="Arial"/>
          <w:sz w:val="20"/>
        </w:rPr>
        <w:t xml:space="preserve"> n° 05, de 26/05/2017, da Secretaria de Gestão do Ministério do Planejamento, Desenvolvimento e Gestão e dos dispositivos correspondentes do Edital do Pregão n. XXX/20XX: </w:t>
      </w:r>
    </w:p>
    <w:p w:rsidR="006C145C" w:rsidRDefault="00C62E5A">
      <w:pPr>
        <w:spacing w:after="0" w:line="270" w:lineRule="auto"/>
        <w:ind w:left="1427" w:right="54" w:hanging="8"/>
        <w:jc w:val="both"/>
      </w:pPr>
      <w:r>
        <w:rPr>
          <w:rFonts w:ascii="Arial" w:eastAsia="Arial" w:hAnsi="Arial" w:cs="Arial"/>
          <w:sz w:val="20"/>
        </w:rPr>
        <w:t xml:space="preserve">1) que sejam descontados da fatura e pagos diretamente aos trabalhadores alocados </w:t>
      </w:r>
    </w:p>
    <w:p w:rsidR="006C145C" w:rsidRDefault="00C62E5A">
      <w:pPr>
        <w:spacing w:after="214" w:line="270" w:lineRule="auto"/>
        <w:ind w:left="5" w:right="54" w:hanging="8"/>
        <w:jc w:val="both"/>
      </w:pPr>
      <w:r>
        <w:rPr>
          <w:rFonts w:ascii="Arial" w:eastAsia="Arial" w:hAnsi="Arial" w:cs="Arial"/>
          <w:sz w:val="20"/>
        </w:rPr>
        <w:t>a</w:t>
      </w:r>
      <w:r>
        <w:rPr>
          <w:rFonts w:ascii="Arial" w:eastAsia="Arial" w:hAnsi="Arial" w:cs="Arial"/>
          <w:sz w:val="20"/>
        </w:rPr>
        <w:t xml:space="preserve"> qualquer tempo na execução do contrato acima mencionado os valores relativos aos salários e demais verbas trabalhistas, previdenciárias e fundiárias devidas, quando houver falha no cumprimento dessas obrigações por parte da CONTRATADA, até o momento da re</w:t>
      </w:r>
      <w:r>
        <w:rPr>
          <w:rFonts w:ascii="Arial" w:eastAsia="Arial" w:hAnsi="Arial" w:cs="Arial"/>
          <w:sz w:val="20"/>
        </w:rPr>
        <w:t xml:space="preserve">gularização, sem prejuízo das sanções cabíveis.  </w:t>
      </w:r>
    </w:p>
    <w:p w:rsidR="006C145C" w:rsidRDefault="00C62E5A">
      <w:pPr>
        <w:numPr>
          <w:ilvl w:val="0"/>
          <w:numId w:val="49"/>
        </w:numPr>
        <w:spacing w:after="0" w:line="270" w:lineRule="auto"/>
        <w:ind w:right="54" w:hanging="235"/>
        <w:jc w:val="both"/>
      </w:pPr>
      <w:r>
        <w:rPr>
          <w:rFonts w:ascii="Arial" w:eastAsia="Arial" w:hAnsi="Arial" w:cs="Arial"/>
          <w:sz w:val="20"/>
        </w:rPr>
        <w:t xml:space="preserve">que sejam provisionados valores para o pagamento dos trabalhadores alocados na </w:t>
      </w:r>
    </w:p>
    <w:p w:rsidR="006C145C" w:rsidRDefault="00C62E5A">
      <w:pPr>
        <w:spacing w:after="269" w:line="270" w:lineRule="auto"/>
        <w:ind w:left="5" w:right="54" w:hanging="8"/>
        <w:jc w:val="both"/>
      </w:pPr>
      <w:r>
        <w:rPr>
          <w:rFonts w:ascii="Arial" w:eastAsia="Arial" w:hAnsi="Arial" w:cs="Arial"/>
          <w:sz w:val="20"/>
        </w:rPr>
        <w:t xml:space="preserve">execução do contrato e depositados em conta corrente vinculada, bloqueada para movimentação, e aberta em nome da empresa </w:t>
      </w:r>
      <w:r>
        <w:rPr>
          <w:rFonts w:ascii="Arial" w:eastAsia="Arial" w:hAnsi="Arial" w:cs="Arial"/>
          <w:b/>
          <w:i/>
          <w:color w:val="FF0000"/>
          <w:sz w:val="20"/>
        </w:rPr>
        <w:t>(indicar o nome da empresa)</w:t>
      </w:r>
      <w:r>
        <w:rPr>
          <w:rFonts w:ascii="Arial" w:eastAsia="Arial" w:hAnsi="Arial" w:cs="Arial"/>
          <w:sz w:val="20"/>
        </w:rPr>
        <w:t xml:space="preserve"> junto a instituição bancária oficial, cuja movimentação dependerá de autorização prévia da(o) </w:t>
      </w:r>
      <w:r>
        <w:rPr>
          <w:rFonts w:ascii="Arial" w:eastAsia="Arial" w:hAnsi="Arial" w:cs="Arial"/>
          <w:b/>
          <w:i/>
          <w:color w:val="FF0000"/>
          <w:sz w:val="20"/>
        </w:rPr>
        <w:t>(Nome do Órgão ou Entidade promotora da licitação)</w:t>
      </w:r>
      <w:r>
        <w:rPr>
          <w:rFonts w:ascii="Arial" w:eastAsia="Arial" w:hAnsi="Arial" w:cs="Arial"/>
          <w:sz w:val="20"/>
        </w:rPr>
        <w:t>, que também terá permanente autorização para acessar e conhecer os respectivos sald</w:t>
      </w:r>
      <w:r>
        <w:rPr>
          <w:rFonts w:ascii="Arial" w:eastAsia="Arial" w:hAnsi="Arial" w:cs="Arial"/>
          <w:sz w:val="20"/>
        </w:rPr>
        <w:t xml:space="preserve">os e extratos, independentemente de qualquer intervenção da titular da conta. </w:t>
      </w:r>
    </w:p>
    <w:p w:rsidR="006C145C" w:rsidRDefault="00C62E5A">
      <w:pPr>
        <w:pBdr>
          <w:top w:val="single" w:sz="4" w:space="0" w:color="1F497D"/>
          <w:left w:val="single" w:sz="4" w:space="0" w:color="1F497D"/>
          <w:bottom w:val="single" w:sz="4" w:space="0" w:color="1F497D"/>
          <w:right w:val="single" w:sz="4" w:space="0" w:color="1F497D"/>
        </w:pBdr>
        <w:shd w:val="clear" w:color="auto" w:fill="FFFFCC"/>
        <w:spacing w:after="27" w:line="249" w:lineRule="auto"/>
        <w:ind w:left="-5" w:right="57" w:hanging="10"/>
        <w:jc w:val="both"/>
      </w:pPr>
      <w:r>
        <w:rPr>
          <w:rFonts w:ascii="Arial" w:eastAsia="Arial" w:hAnsi="Arial" w:cs="Arial"/>
          <w:b/>
          <w:i/>
          <w:sz w:val="20"/>
        </w:rPr>
        <w:t>Nota explicativa</w:t>
      </w:r>
      <w:r>
        <w:rPr>
          <w:rFonts w:ascii="Arial" w:eastAsia="Arial" w:hAnsi="Arial" w:cs="Arial"/>
          <w:i/>
          <w:sz w:val="20"/>
        </w:rPr>
        <w:t>: A assinatura desta “Autorização Complementar” deve ser precedida da solicitação de abertura da conta-depósito para a Instituição Financeira com quem se tenha f</w:t>
      </w:r>
      <w:r>
        <w:rPr>
          <w:rFonts w:ascii="Arial" w:eastAsia="Arial" w:hAnsi="Arial" w:cs="Arial"/>
          <w:i/>
          <w:sz w:val="20"/>
        </w:rPr>
        <w:t xml:space="preserve">irmado Termo de Cooperação Técnica e é condição para a celebração do contrato.  </w:t>
      </w:r>
    </w:p>
    <w:p w:rsidR="006C145C" w:rsidRDefault="00C62E5A">
      <w:pPr>
        <w:spacing w:after="221"/>
        <w:ind w:left="1419"/>
      </w:pPr>
      <w:r>
        <w:rPr>
          <w:rFonts w:ascii="Arial" w:eastAsia="Arial" w:hAnsi="Arial" w:cs="Arial"/>
          <w:sz w:val="20"/>
        </w:rPr>
        <w:t xml:space="preserve"> </w:t>
      </w:r>
    </w:p>
    <w:p w:rsidR="006C145C" w:rsidRDefault="00C62E5A">
      <w:pPr>
        <w:numPr>
          <w:ilvl w:val="0"/>
          <w:numId w:val="49"/>
        </w:numPr>
        <w:spacing w:after="0" w:line="270" w:lineRule="auto"/>
        <w:ind w:right="54" w:hanging="235"/>
        <w:jc w:val="both"/>
      </w:pPr>
      <w:r>
        <w:rPr>
          <w:rFonts w:ascii="Arial" w:eastAsia="Arial" w:hAnsi="Arial" w:cs="Arial"/>
          <w:sz w:val="20"/>
        </w:rPr>
        <w:t xml:space="preserve">que a CONTRATANTE utilize o valor da garantia prestada para realizar o pagamento </w:t>
      </w:r>
    </w:p>
    <w:p w:rsidR="006C145C" w:rsidRDefault="00C62E5A">
      <w:pPr>
        <w:spacing w:after="216" w:line="270" w:lineRule="auto"/>
        <w:ind w:left="5" w:right="54" w:hanging="8"/>
        <w:jc w:val="both"/>
      </w:pPr>
      <w:r>
        <w:rPr>
          <w:rFonts w:ascii="Arial" w:eastAsia="Arial" w:hAnsi="Arial" w:cs="Arial"/>
          <w:sz w:val="20"/>
        </w:rPr>
        <w:t>direto das verbas rescisórias aos trabalhadores alocados na execução do contrato, caso a CO</w:t>
      </w:r>
      <w:r>
        <w:rPr>
          <w:rFonts w:ascii="Arial" w:eastAsia="Arial" w:hAnsi="Arial" w:cs="Arial"/>
          <w:sz w:val="20"/>
        </w:rPr>
        <w:t xml:space="preserve">NTRATADA não efetue tais pagamentos até o fim do segundo mês após o encerramento da vigência contratual.  </w:t>
      </w:r>
    </w:p>
    <w:p w:rsidR="006C145C" w:rsidRDefault="00C62E5A">
      <w:pPr>
        <w:spacing w:after="223"/>
      </w:pPr>
      <w:r>
        <w:rPr>
          <w:rFonts w:ascii="Arial" w:eastAsia="Arial" w:hAnsi="Arial" w:cs="Arial"/>
          <w:sz w:val="20"/>
        </w:rPr>
        <w:t xml:space="preserve"> </w:t>
      </w:r>
    </w:p>
    <w:p w:rsidR="006C145C" w:rsidRDefault="00C62E5A">
      <w:pPr>
        <w:spacing w:after="2" w:line="488" w:lineRule="auto"/>
        <w:ind w:left="5" w:right="2513" w:hanging="8"/>
        <w:jc w:val="both"/>
      </w:pPr>
      <w:r>
        <w:rPr>
          <w:rFonts w:ascii="Arial" w:eastAsia="Arial" w:hAnsi="Arial" w:cs="Arial"/>
          <w:sz w:val="20"/>
        </w:rPr>
        <w:t xml:space="preserve">...........................................,  .......... de.......................................... de 20.....  </w:t>
      </w:r>
    </w:p>
    <w:p w:rsidR="006C145C" w:rsidRDefault="00C62E5A">
      <w:pPr>
        <w:spacing w:after="225" w:line="254" w:lineRule="auto"/>
        <w:ind w:left="311" w:right="364" w:hanging="10"/>
        <w:jc w:val="center"/>
      </w:pPr>
      <w:r>
        <w:rPr>
          <w:rFonts w:ascii="Arial" w:eastAsia="Arial" w:hAnsi="Arial" w:cs="Arial"/>
          <w:sz w:val="20"/>
        </w:rPr>
        <w:t xml:space="preserve">________________________________________ </w:t>
      </w:r>
    </w:p>
    <w:p w:rsidR="006C145C" w:rsidRDefault="00C62E5A">
      <w:pPr>
        <w:spacing w:after="225"/>
        <w:ind w:left="10" w:right="63" w:hanging="10"/>
        <w:jc w:val="center"/>
      </w:pPr>
      <w:r>
        <w:rPr>
          <w:rFonts w:ascii="Arial" w:eastAsia="Arial" w:hAnsi="Arial" w:cs="Arial"/>
          <w:i/>
          <w:sz w:val="20"/>
        </w:rPr>
        <w:t xml:space="preserve">(assinatura do representante legal do licitante) </w:t>
      </w:r>
    </w:p>
    <w:p w:rsidR="006C145C" w:rsidRDefault="00C62E5A">
      <w:pPr>
        <w:spacing w:after="344"/>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r>
        <w:rPr>
          <w:rFonts w:ascii="Arial" w:eastAsia="Arial" w:hAnsi="Arial" w:cs="Arial"/>
          <w:sz w:val="20"/>
        </w:rPr>
        <w:tab/>
        <w:t xml:space="preserve"> </w:t>
      </w:r>
    </w:p>
    <w:p w:rsidR="006C145C" w:rsidRDefault="00C62E5A">
      <w:pPr>
        <w:spacing w:after="129" w:line="268" w:lineRule="auto"/>
        <w:ind w:left="351" w:hanging="10"/>
        <w:jc w:val="center"/>
      </w:pPr>
      <w:r>
        <w:rPr>
          <w:rFonts w:ascii="Arial" w:eastAsia="Arial" w:hAnsi="Arial" w:cs="Arial"/>
          <w:b/>
          <w:sz w:val="20"/>
        </w:rPr>
        <w:t xml:space="preserve">ANEXO IV - </w:t>
      </w:r>
      <w:r>
        <w:rPr>
          <w:rFonts w:ascii="Arial" w:eastAsia="Arial" w:hAnsi="Arial" w:cs="Arial"/>
          <w:b/>
          <w:color w:val="FF0000"/>
          <w:sz w:val="20"/>
        </w:rPr>
        <w:t xml:space="preserve">Termo de Conciliação Judicial firmado entre o Ministério Público do Trabalho e </w:t>
      </w:r>
    </w:p>
    <w:p w:rsidR="006C145C" w:rsidRDefault="00C62E5A">
      <w:pPr>
        <w:pStyle w:val="Ttulo3"/>
        <w:spacing w:after="129" w:line="268" w:lineRule="auto"/>
        <w:ind w:left="351"/>
      </w:pPr>
      <w:r>
        <w:rPr>
          <w:color w:val="FF0000"/>
        </w:rPr>
        <w:t xml:space="preserve">a União </w:t>
      </w:r>
    </w:p>
    <w:p w:rsidR="006C145C" w:rsidRDefault="00C62E5A">
      <w:pPr>
        <w:spacing w:after="0"/>
      </w:pPr>
      <w:r>
        <w:rPr>
          <w:rFonts w:ascii="Arial" w:eastAsia="Arial" w:hAnsi="Arial" w:cs="Arial"/>
          <w:sz w:val="20"/>
        </w:rPr>
        <w:t xml:space="preserve"> </w:t>
      </w:r>
    </w:p>
    <w:p w:rsidR="006C145C" w:rsidRDefault="00C62E5A">
      <w:pPr>
        <w:spacing w:after="0"/>
        <w:ind w:right="48"/>
        <w:jc w:val="center"/>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sz w:val="20"/>
        </w:rPr>
        <w:t xml:space="preserve">O </w:t>
      </w:r>
      <w:r>
        <w:rPr>
          <w:rFonts w:ascii="Arial" w:eastAsia="Arial" w:hAnsi="Arial" w:cs="Arial"/>
          <w:b/>
          <w:sz w:val="20"/>
        </w:rPr>
        <w:t>MINISTÉRIO PÚBLICO DO TRABALHO</w:t>
      </w:r>
      <w:r>
        <w:rPr>
          <w:rFonts w:ascii="Arial" w:eastAsia="Arial" w:hAnsi="Arial" w:cs="Arial"/>
          <w:sz w:val="20"/>
        </w:rPr>
        <w:t xml:space="preserve">, neste ato representado pelo Procurador-Geral do Trabalho, Dr. Guilherme Mastrichi Basso, pela Vice-Procuradora-Geral do Trabalho, Dra. Guiomar Rechia Gomes, </w:t>
      </w:r>
      <w:r>
        <w:rPr>
          <w:rFonts w:ascii="Arial" w:eastAsia="Arial" w:hAnsi="Arial" w:cs="Arial"/>
          <w:sz w:val="20"/>
        </w:rPr>
        <w:lastRenderedPageBreak/>
        <w:t>pelo Procurador-Chefe da PRT da 10ª. Região, Dr. Brasilino Santos Ramos e pelo Procurador do Trab</w:t>
      </w:r>
      <w:r>
        <w:rPr>
          <w:rFonts w:ascii="Arial" w:eastAsia="Arial" w:hAnsi="Arial" w:cs="Arial"/>
          <w:sz w:val="20"/>
        </w:rPr>
        <w:t xml:space="preserve">alho Dr. Fábio Leal Cardoso, e a </w:t>
      </w:r>
      <w:r>
        <w:rPr>
          <w:rFonts w:ascii="Arial" w:eastAsia="Arial" w:hAnsi="Arial" w:cs="Arial"/>
          <w:b/>
          <w:sz w:val="20"/>
        </w:rPr>
        <w:t>UNIÃO</w:t>
      </w:r>
      <w:r>
        <w:rPr>
          <w:rFonts w:ascii="Arial" w:eastAsia="Arial" w:hAnsi="Arial" w:cs="Arial"/>
          <w:sz w:val="20"/>
        </w:rPr>
        <w:t xml:space="preserve">, neste ato representada pelo ProcuradorGeral da União, Dr. Moacir Antonio da Silva Machado, pela Sub Procuradora Regional da </w:t>
      </w:r>
    </w:p>
    <w:p w:rsidR="006C145C" w:rsidRDefault="00C62E5A">
      <w:pPr>
        <w:spacing w:after="0" w:line="270" w:lineRule="auto"/>
        <w:ind w:left="5" w:right="54" w:hanging="8"/>
        <w:jc w:val="both"/>
      </w:pPr>
      <w:r>
        <w:rPr>
          <w:rFonts w:ascii="Arial" w:eastAsia="Arial" w:hAnsi="Arial" w:cs="Arial"/>
          <w:sz w:val="20"/>
        </w:rPr>
        <w:t>União - 1ª. Região, Dra. Helia Maria de Oliveira Bettero e pelo Advogado da União, Dr. Mári</w:t>
      </w:r>
      <w:r>
        <w:rPr>
          <w:rFonts w:ascii="Arial" w:eastAsia="Arial" w:hAnsi="Arial" w:cs="Arial"/>
          <w:sz w:val="20"/>
        </w:rPr>
        <w:t xml:space="preserve">o Luiz Guerreiro;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b/>
          <w:sz w:val="20"/>
        </w:rPr>
        <w:t xml:space="preserve">CONSIDERANDO </w:t>
      </w:r>
      <w:r>
        <w:rPr>
          <w:rFonts w:ascii="Arial" w:eastAsia="Arial" w:hAnsi="Arial" w:cs="Arial"/>
          <w:sz w:val="20"/>
        </w:rPr>
        <w:t>que toda relação jurídica de trabalho cuja prestação laboral não eventual seja ofertada pessoalmente pelo obreiro, em estado de subordinação e mediante contraprestação pecuniária, será regida obrigatoriamente pela Consolid</w:t>
      </w:r>
      <w:r>
        <w:rPr>
          <w:rFonts w:ascii="Arial" w:eastAsia="Arial" w:hAnsi="Arial" w:cs="Arial"/>
          <w:sz w:val="20"/>
        </w:rPr>
        <w:t xml:space="preserve">ação das Leis do Trabalho ou por estatuto próprio, quando se tratar de relação de trabalho de natureza estatutária, com a Administração Pública;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b/>
          <w:sz w:val="20"/>
        </w:rPr>
        <w:t xml:space="preserve">CONSIDERANDO </w:t>
      </w:r>
      <w:r>
        <w:rPr>
          <w:rFonts w:ascii="Arial" w:eastAsia="Arial" w:hAnsi="Arial" w:cs="Arial"/>
          <w:sz w:val="20"/>
        </w:rPr>
        <w:t xml:space="preserve">que a legislação consolidada em seu art. 9º, comina de nulidade absoluta todos os atos praticados com o intuito de desvirtuar, impedir ou fraudar a aplicação da lei trabalhista;  </w:t>
      </w:r>
    </w:p>
    <w:p w:rsidR="006C145C" w:rsidRDefault="00C62E5A">
      <w:pPr>
        <w:spacing w:after="0"/>
      </w:pPr>
      <w:r>
        <w:rPr>
          <w:rFonts w:ascii="Arial" w:eastAsia="Arial" w:hAnsi="Arial" w:cs="Arial"/>
          <w:sz w:val="20"/>
        </w:rPr>
        <w:t xml:space="preserve"> </w:t>
      </w:r>
    </w:p>
    <w:p w:rsidR="006C145C" w:rsidRDefault="00C62E5A">
      <w:pPr>
        <w:spacing w:after="1" w:line="270" w:lineRule="auto"/>
        <w:ind w:left="5" w:right="54" w:hanging="8"/>
        <w:jc w:val="both"/>
      </w:pPr>
      <w:r>
        <w:rPr>
          <w:rFonts w:ascii="Arial" w:eastAsia="Arial" w:hAnsi="Arial" w:cs="Arial"/>
          <w:b/>
          <w:sz w:val="20"/>
        </w:rPr>
        <w:t xml:space="preserve">CONSIDERANDO </w:t>
      </w:r>
      <w:r>
        <w:rPr>
          <w:rFonts w:ascii="Arial" w:eastAsia="Arial" w:hAnsi="Arial" w:cs="Arial"/>
          <w:sz w:val="20"/>
        </w:rPr>
        <w:t xml:space="preserve">que as sociedades cooperativas, segundo a Lei n o. 5.764, de </w:t>
      </w:r>
      <w:r>
        <w:rPr>
          <w:rFonts w:ascii="Arial" w:eastAsia="Arial" w:hAnsi="Arial" w:cs="Arial"/>
          <w:sz w:val="20"/>
        </w:rPr>
        <w:t xml:space="preserve">16.12.1971, art. 4º., </w:t>
      </w:r>
    </w:p>
    <w:p w:rsidR="006C145C" w:rsidRDefault="00C62E5A">
      <w:pPr>
        <w:spacing w:after="6" w:line="270" w:lineRule="auto"/>
        <w:ind w:left="5" w:right="54" w:hanging="8"/>
        <w:jc w:val="both"/>
      </w:pPr>
      <w:r>
        <w:rPr>
          <w:rFonts w:ascii="Arial" w:eastAsia="Arial" w:hAnsi="Arial" w:cs="Arial"/>
          <w:sz w:val="20"/>
        </w:rPr>
        <w:t xml:space="preserve">“(...) são sociedades de pessoas, com forma e natureza jurídica próprias, de natureza civil, não sujeitas à falência, constituídas para prestar serviços aos associados”.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b/>
          <w:sz w:val="20"/>
        </w:rPr>
        <w:t xml:space="preserve">CONSIDERANDO </w:t>
      </w:r>
      <w:r>
        <w:rPr>
          <w:rFonts w:ascii="Arial" w:eastAsia="Arial" w:hAnsi="Arial" w:cs="Arial"/>
          <w:sz w:val="20"/>
        </w:rPr>
        <w:t>que as cooperativas podem prestar serviços a n</w:t>
      </w:r>
      <w:r>
        <w:rPr>
          <w:rFonts w:ascii="Arial" w:eastAsia="Arial" w:hAnsi="Arial" w:cs="Arial"/>
          <w:sz w:val="20"/>
        </w:rPr>
        <w:t>ão associados somente em caráter excepcional e desde que tal faculdade atenda aos objetivos sociais previstos na sua norma estatutária, (art. 86, da Lei no. 5.764, de 16.12.1971), aspecto legal que revela a patente impossibilidade jurídica das cooperativas</w:t>
      </w:r>
      <w:r>
        <w:rPr>
          <w:rFonts w:ascii="Arial" w:eastAsia="Arial" w:hAnsi="Arial" w:cs="Arial"/>
          <w:sz w:val="20"/>
        </w:rPr>
        <w:t xml:space="preserve"> funcionarem como agências de locação de mão de obra terceirizada;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b/>
          <w:sz w:val="20"/>
        </w:rPr>
        <w:t xml:space="preserve">CONSIDERANDO </w:t>
      </w:r>
      <w:r>
        <w:rPr>
          <w:rFonts w:ascii="Arial" w:eastAsia="Arial" w:hAnsi="Arial" w:cs="Arial"/>
          <w:sz w:val="20"/>
        </w:rPr>
        <w:t>que a administração pública está inexoravelmente jungida ao princípio da legalidade, e que a prática do merchandage é vedada pelo art. 3º, da CLT e repelida pela jurisprudên</w:t>
      </w:r>
      <w:r>
        <w:rPr>
          <w:rFonts w:ascii="Arial" w:eastAsia="Arial" w:hAnsi="Arial" w:cs="Arial"/>
          <w:sz w:val="20"/>
        </w:rPr>
        <w:t xml:space="preserve">cia sumulada do C. TST (En. 331); </w:t>
      </w:r>
    </w:p>
    <w:p w:rsidR="006C145C" w:rsidRDefault="00C62E5A">
      <w:pPr>
        <w:spacing w:after="0"/>
      </w:pPr>
      <w:r>
        <w:rPr>
          <w:rFonts w:ascii="Arial" w:eastAsia="Arial" w:hAnsi="Arial" w:cs="Arial"/>
          <w:b/>
          <w:sz w:val="20"/>
        </w:rPr>
        <w:t xml:space="preserve"> </w:t>
      </w:r>
    </w:p>
    <w:p w:rsidR="006C145C" w:rsidRDefault="00C62E5A">
      <w:pPr>
        <w:spacing w:after="0" w:line="270" w:lineRule="auto"/>
        <w:ind w:left="5" w:right="54" w:hanging="8"/>
        <w:jc w:val="both"/>
      </w:pPr>
      <w:r>
        <w:rPr>
          <w:rFonts w:ascii="Arial" w:eastAsia="Arial" w:hAnsi="Arial" w:cs="Arial"/>
          <w:b/>
          <w:sz w:val="20"/>
        </w:rPr>
        <w:t xml:space="preserve">CONSIDERANDO </w:t>
      </w:r>
      <w:r>
        <w:rPr>
          <w:rFonts w:ascii="Arial" w:eastAsia="Arial" w:hAnsi="Arial" w:cs="Arial"/>
          <w:sz w:val="20"/>
        </w:rPr>
        <w:t>que os trabalhadores aliciados por cooperativas de mão de obra, que prestam serviços de natureza subordinada à UNIÃO embora laborem em situação fática idêntica a dos empregados das empresas prestadoras de s</w:t>
      </w:r>
      <w:r>
        <w:rPr>
          <w:rFonts w:ascii="Arial" w:eastAsia="Arial" w:hAnsi="Arial" w:cs="Arial"/>
          <w:sz w:val="20"/>
        </w:rPr>
        <w:t xml:space="preserve">erviços terceirizáveis, encontram-se à margem de qualquer proteção jurídico-laboral, sendo-lhes sonegada a incidência de normas protetivas do trabalho, especialmente àquelas destinadas a tutelar a segurança e higidez do trabalho subordinado, o que afronta </w:t>
      </w:r>
      <w:r>
        <w:rPr>
          <w:rFonts w:ascii="Arial" w:eastAsia="Arial" w:hAnsi="Arial" w:cs="Arial"/>
          <w:sz w:val="20"/>
        </w:rPr>
        <w:t xml:space="preserve">o princípio da isonomia, a dignidade da pessoa humana e os valores sociais do trabalho (arts. 5º, caput e 1º, III e IV da Constituição Federal); </w:t>
      </w:r>
    </w:p>
    <w:p w:rsidR="006C145C" w:rsidRDefault="00C62E5A">
      <w:pPr>
        <w:spacing w:after="0"/>
      </w:pPr>
      <w:r>
        <w:rPr>
          <w:rFonts w:ascii="Arial" w:eastAsia="Arial" w:hAnsi="Arial" w:cs="Arial"/>
          <w:b/>
          <w:sz w:val="20"/>
        </w:rPr>
        <w:t xml:space="preserve"> </w:t>
      </w:r>
    </w:p>
    <w:p w:rsidR="006C145C" w:rsidRDefault="00C62E5A">
      <w:pPr>
        <w:spacing w:after="0" w:line="270" w:lineRule="auto"/>
        <w:ind w:left="5" w:right="54" w:hanging="8"/>
        <w:jc w:val="both"/>
      </w:pPr>
      <w:r>
        <w:rPr>
          <w:rFonts w:ascii="Arial" w:eastAsia="Arial" w:hAnsi="Arial" w:cs="Arial"/>
          <w:b/>
          <w:sz w:val="20"/>
        </w:rPr>
        <w:t xml:space="preserve">CONSIDERANDO </w:t>
      </w:r>
      <w:r>
        <w:rPr>
          <w:rFonts w:ascii="Arial" w:eastAsia="Arial" w:hAnsi="Arial" w:cs="Arial"/>
          <w:sz w:val="20"/>
        </w:rPr>
        <w:t xml:space="preserve">que num processo de terceirização o tomador dos serviços (no caso a administração pública) tem </w:t>
      </w:r>
      <w:r>
        <w:rPr>
          <w:rFonts w:ascii="Arial" w:eastAsia="Arial" w:hAnsi="Arial" w:cs="Arial"/>
          <w:sz w:val="20"/>
        </w:rPr>
        <w:t xml:space="preserve">responsabilidade sucessiva por eventuais débitos trabalhistas do fornecedor de mão de obra, nos termos do Enunciado 331, do TST, o que poderia gerar graves prejuízos financeiros ao erário, na hipótese de se apurar a presença dos requisitos do art. 3º., da </w:t>
      </w:r>
      <w:r>
        <w:rPr>
          <w:rFonts w:ascii="Arial" w:eastAsia="Arial" w:hAnsi="Arial" w:cs="Arial"/>
          <w:sz w:val="20"/>
        </w:rPr>
        <w:t xml:space="preserve">CLT na atividade de intermediação de mão de obra patrocinada por falsas cooperativas; </w:t>
      </w:r>
    </w:p>
    <w:p w:rsidR="006C145C" w:rsidRDefault="00C62E5A">
      <w:pPr>
        <w:spacing w:after="0"/>
      </w:pPr>
      <w:r>
        <w:rPr>
          <w:rFonts w:ascii="Arial" w:eastAsia="Arial" w:hAnsi="Arial" w:cs="Arial"/>
          <w:b/>
          <w:sz w:val="20"/>
        </w:rPr>
        <w:t xml:space="preserve"> </w:t>
      </w:r>
    </w:p>
    <w:p w:rsidR="006C145C" w:rsidRDefault="00C62E5A">
      <w:pPr>
        <w:spacing w:after="0" w:line="270" w:lineRule="auto"/>
        <w:ind w:left="5" w:right="54" w:hanging="8"/>
        <w:jc w:val="both"/>
      </w:pPr>
      <w:r>
        <w:rPr>
          <w:rFonts w:ascii="Arial" w:eastAsia="Arial" w:hAnsi="Arial" w:cs="Arial"/>
          <w:b/>
          <w:sz w:val="20"/>
        </w:rPr>
        <w:t xml:space="preserve">CONSIDERANDO </w:t>
      </w:r>
      <w:r>
        <w:rPr>
          <w:rFonts w:ascii="Arial" w:eastAsia="Arial" w:hAnsi="Arial" w:cs="Arial"/>
          <w:sz w:val="20"/>
        </w:rPr>
        <w:t>o teor da Recomendação Para a Promoção das Cooperativas aprovada na 90ª.  sessão, da OIT – Organização Internacional do Trabalho, em junho de 2002, dispon</w:t>
      </w:r>
      <w:r>
        <w:rPr>
          <w:rFonts w:ascii="Arial" w:eastAsia="Arial" w:hAnsi="Arial" w:cs="Arial"/>
          <w:sz w:val="20"/>
        </w:rPr>
        <w:t>do que os Estados devem implementar políticas nos sentido de: “8.1.b Garantir que as cooperativas não sejam criadas para, ou direcionadas a, o não cumprimento das leis do trabalho ou usadas para estabelecer relações de emprego disfarçados, e combater pseud</w:t>
      </w:r>
      <w:r>
        <w:rPr>
          <w:rFonts w:ascii="Arial" w:eastAsia="Arial" w:hAnsi="Arial" w:cs="Arial"/>
          <w:sz w:val="20"/>
        </w:rPr>
        <w:t xml:space="preserve">ocooperativas que violam os direitos dos trabalhadores velando para que a lei trabalhista seja aplicada em todas as empresas.” </w:t>
      </w:r>
    </w:p>
    <w:p w:rsidR="006C145C" w:rsidRDefault="00C62E5A">
      <w:pPr>
        <w:spacing w:after="0"/>
      </w:pPr>
      <w:r>
        <w:rPr>
          <w:rFonts w:ascii="Arial" w:eastAsia="Arial" w:hAnsi="Arial" w:cs="Arial"/>
          <w:b/>
          <w:sz w:val="20"/>
        </w:rPr>
        <w:t xml:space="preserve"> </w:t>
      </w:r>
    </w:p>
    <w:p w:rsidR="006C145C" w:rsidRDefault="00C62E5A">
      <w:pPr>
        <w:pStyle w:val="Ttulo3"/>
        <w:spacing w:after="8" w:line="249" w:lineRule="auto"/>
        <w:ind w:left="7" w:right="37"/>
        <w:jc w:val="both"/>
      </w:pPr>
      <w:r>
        <w:t xml:space="preserve">RESOLVEM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sz w:val="20"/>
        </w:rPr>
        <w:t>Celebrar CONCILIAÇÃO nos autos do Processo 01082-2002-020-10-00-0, em tramitação perante a MM. Vigésima Vara do T</w:t>
      </w:r>
      <w:r>
        <w:rPr>
          <w:rFonts w:ascii="Arial" w:eastAsia="Arial" w:hAnsi="Arial" w:cs="Arial"/>
          <w:sz w:val="20"/>
        </w:rPr>
        <w:t xml:space="preserve">rabalho de Brasília-DF, mediante os seguintes termos: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b/>
          <w:sz w:val="20"/>
        </w:rPr>
        <w:lastRenderedPageBreak/>
        <w:t xml:space="preserve">Cláusula Primeira </w:t>
      </w:r>
      <w:r>
        <w:rPr>
          <w:rFonts w:ascii="Arial" w:eastAsia="Arial" w:hAnsi="Arial" w:cs="Arial"/>
          <w:sz w:val="20"/>
        </w:rPr>
        <w:t>- A UNIÃO abster-se-á de contratar trabalhadores, por meio de cooperativas de mão de obra, para a prestação de serviços ligados às suas atividades-</w:t>
      </w:r>
      <w:r>
        <w:rPr>
          <w:rFonts w:ascii="Arial" w:eastAsia="Arial" w:hAnsi="Arial" w:cs="Arial"/>
          <w:sz w:val="20"/>
        </w:rPr>
        <w:t>fim ou meio, quando o labor, por sua própria natureza, demandar execução em estado de subordinação, quer em relação ao tomador, ou em relação ao fornecedor dos serviços, constituindo elemento essencial ao desenvolvimento e à prestação dos serviços terceiri</w:t>
      </w:r>
      <w:r>
        <w:rPr>
          <w:rFonts w:ascii="Arial" w:eastAsia="Arial" w:hAnsi="Arial" w:cs="Arial"/>
          <w:sz w:val="20"/>
        </w:rPr>
        <w:t xml:space="preserve">zados, sendo eles:  </w:t>
      </w:r>
    </w:p>
    <w:p w:rsidR="006C145C" w:rsidRDefault="00C62E5A">
      <w:pPr>
        <w:spacing w:after="0"/>
      </w:pPr>
      <w:r>
        <w:rPr>
          <w:rFonts w:ascii="Arial" w:eastAsia="Arial" w:hAnsi="Arial" w:cs="Arial"/>
          <w:sz w:val="20"/>
        </w:rPr>
        <w:t xml:space="preserve"> </w:t>
      </w:r>
    </w:p>
    <w:p w:rsidR="006C145C" w:rsidRDefault="00C62E5A">
      <w:pPr>
        <w:numPr>
          <w:ilvl w:val="0"/>
          <w:numId w:val="50"/>
        </w:numPr>
        <w:spacing w:after="0" w:line="270" w:lineRule="auto"/>
        <w:ind w:right="54" w:hanging="291"/>
        <w:jc w:val="both"/>
      </w:pPr>
      <w:r>
        <w:rPr>
          <w:rFonts w:ascii="Arial" w:eastAsia="Arial" w:hAnsi="Arial" w:cs="Arial"/>
          <w:sz w:val="20"/>
        </w:rPr>
        <w:t xml:space="preserve">– Serviços de limpeza; </w:t>
      </w:r>
    </w:p>
    <w:p w:rsidR="006C145C" w:rsidRDefault="00C62E5A">
      <w:pPr>
        <w:numPr>
          <w:ilvl w:val="0"/>
          <w:numId w:val="50"/>
        </w:numPr>
        <w:spacing w:after="0" w:line="270" w:lineRule="auto"/>
        <w:ind w:right="54" w:hanging="291"/>
        <w:jc w:val="both"/>
      </w:pPr>
      <w:r>
        <w:rPr>
          <w:rFonts w:ascii="Arial" w:eastAsia="Arial" w:hAnsi="Arial" w:cs="Arial"/>
          <w:sz w:val="20"/>
        </w:rPr>
        <w:t xml:space="preserve">– Serviços de conservação; </w:t>
      </w:r>
    </w:p>
    <w:p w:rsidR="006C145C" w:rsidRDefault="00C62E5A">
      <w:pPr>
        <w:numPr>
          <w:ilvl w:val="0"/>
          <w:numId w:val="50"/>
        </w:numPr>
        <w:spacing w:after="0" w:line="270" w:lineRule="auto"/>
        <w:ind w:right="54" w:hanging="291"/>
        <w:jc w:val="both"/>
      </w:pPr>
      <w:r>
        <w:rPr>
          <w:rFonts w:ascii="Arial" w:eastAsia="Arial" w:hAnsi="Arial" w:cs="Arial"/>
          <w:sz w:val="20"/>
        </w:rPr>
        <w:t xml:space="preserve">– Serviços de segurança, de vigilância e de portaria; </w:t>
      </w:r>
    </w:p>
    <w:p w:rsidR="006C145C" w:rsidRDefault="00C62E5A">
      <w:pPr>
        <w:numPr>
          <w:ilvl w:val="0"/>
          <w:numId w:val="50"/>
        </w:numPr>
        <w:spacing w:after="0" w:line="270" w:lineRule="auto"/>
        <w:ind w:right="54" w:hanging="291"/>
        <w:jc w:val="both"/>
      </w:pPr>
      <w:r>
        <w:rPr>
          <w:rFonts w:ascii="Arial" w:eastAsia="Arial" w:hAnsi="Arial" w:cs="Arial"/>
          <w:sz w:val="20"/>
        </w:rPr>
        <w:t xml:space="preserve">– Serviços de recepção; </w:t>
      </w:r>
    </w:p>
    <w:p w:rsidR="006C145C" w:rsidRDefault="00C62E5A">
      <w:pPr>
        <w:numPr>
          <w:ilvl w:val="0"/>
          <w:numId w:val="50"/>
        </w:numPr>
        <w:spacing w:after="0" w:line="270" w:lineRule="auto"/>
        <w:ind w:right="54" w:hanging="291"/>
        <w:jc w:val="both"/>
      </w:pPr>
      <w:r>
        <w:rPr>
          <w:rFonts w:ascii="Arial" w:eastAsia="Arial" w:hAnsi="Arial" w:cs="Arial"/>
          <w:sz w:val="20"/>
        </w:rPr>
        <w:t xml:space="preserve">– Serviços de copeiragem;  </w:t>
      </w:r>
    </w:p>
    <w:p w:rsidR="006C145C" w:rsidRDefault="00C62E5A">
      <w:pPr>
        <w:numPr>
          <w:ilvl w:val="0"/>
          <w:numId w:val="50"/>
        </w:numPr>
        <w:spacing w:after="0" w:line="270" w:lineRule="auto"/>
        <w:ind w:right="54" w:hanging="291"/>
        <w:jc w:val="both"/>
      </w:pPr>
      <w:r>
        <w:rPr>
          <w:rFonts w:ascii="Arial" w:eastAsia="Arial" w:hAnsi="Arial" w:cs="Arial"/>
          <w:sz w:val="20"/>
        </w:rPr>
        <w:t xml:space="preserve">– Serviços de reprografia; </w:t>
      </w:r>
    </w:p>
    <w:p w:rsidR="006C145C" w:rsidRDefault="00C62E5A">
      <w:pPr>
        <w:numPr>
          <w:ilvl w:val="0"/>
          <w:numId w:val="50"/>
        </w:numPr>
        <w:spacing w:after="0" w:line="270" w:lineRule="auto"/>
        <w:ind w:right="54" w:hanging="291"/>
        <w:jc w:val="both"/>
      </w:pPr>
      <w:r>
        <w:rPr>
          <w:rFonts w:ascii="Arial" w:eastAsia="Arial" w:hAnsi="Arial" w:cs="Arial"/>
          <w:sz w:val="20"/>
        </w:rPr>
        <w:t xml:space="preserve">– Serviços de telefonia; </w:t>
      </w:r>
    </w:p>
    <w:p w:rsidR="006C145C" w:rsidRDefault="00C62E5A">
      <w:pPr>
        <w:numPr>
          <w:ilvl w:val="0"/>
          <w:numId w:val="50"/>
        </w:numPr>
        <w:spacing w:after="0" w:line="270" w:lineRule="auto"/>
        <w:ind w:right="54" w:hanging="291"/>
        <w:jc w:val="both"/>
      </w:pPr>
      <w:r>
        <w:rPr>
          <w:rFonts w:ascii="Arial" w:eastAsia="Arial" w:hAnsi="Arial" w:cs="Arial"/>
          <w:sz w:val="20"/>
        </w:rPr>
        <w:t xml:space="preserve">– </w:t>
      </w:r>
      <w:r>
        <w:rPr>
          <w:rFonts w:ascii="Arial" w:eastAsia="Arial" w:hAnsi="Arial" w:cs="Arial"/>
          <w:sz w:val="20"/>
        </w:rPr>
        <w:t xml:space="preserve">Serviços de manutenção de prédios, de equipamentos, de veículos e de instalações; </w:t>
      </w:r>
    </w:p>
    <w:p w:rsidR="006C145C" w:rsidRDefault="00C62E5A">
      <w:pPr>
        <w:numPr>
          <w:ilvl w:val="0"/>
          <w:numId w:val="50"/>
        </w:numPr>
        <w:spacing w:after="0" w:line="270" w:lineRule="auto"/>
        <w:ind w:right="54" w:hanging="291"/>
        <w:jc w:val="both"/>
      </w:pPr>
      <w:r>
        <w:rPr>
          <w:rFonts w:ascii="Arial" w:eastAsia="Arial" w:hAnsi="Arial" w:cs="Arial"/>
          <w:sz w:val="20"/>
        </w:rPr>
        <w:t xml:space="preserve">– Serviços de secretariado e secretariado executivo; </w:t>
      </w:r>
    </w:p>
    <w:p w:rsidR="006C145C" w:rsidRDefault="00C62E5A">
      <w:pPr>
        <w:numPr>
          <w:ilvl w:val="0"/>
          <w:numId w:val="50"/>
        </w:numPr>
        <w:spacing w:after="0" w:line="270" w:lineRule="auto"/>
        <w:ind w:right="54" w:hanging="291"/>
        <w:jc w:val="both"/>
      </w:pPr>
      <w:r>
        <w:rPr>
          <w:rFonts w:ascii="Arial" w:eastAsia="Arial" w:hAnsi="Arial" w:cs="Arial"/>
          <w:sz w:val="20"/>
        </w:rPr>
        <w:t xml:space="preserve">– Serviços de auxiliar de escritório; </w:t>
      </w:r>
    </w:p>
    <w:p w:rsidR="006C145C" w:rsidRDefault="00C62E5A">
      <w:pPr>
        <w:numPr>
          <w:ilvl w:val="0"/>
          <w:numId w:val="50"/>
        </w:numPr>
        <w:spacing w:after="0" w:line="270" w:lineRule="auto"/>
        <w:ind w:right="54" w:hanging="291"/>
        <w:jc w:val="both"/>
      </w:pPr>
      <w:r>
        <w:rPr>
          <w:rFonts w:ascii="Arial" w:eastAsia="Arial" w:hAnsi="Arial" w:cs="Arial"/>
          <w:sz w:val="20"/>
        </w:rPr>
        <w:t xml:space="preserve">– Serviços de auxiliar administrativo; </w:t>
      </w:r>
    </w:p>
    <w:p w:rsidR="006C145C" w:rsidRDefault="00C62E5A">
      <w:pPr>
        <w:numPr>
          <w:ilvl w:val="0"/>
          <w:numId w:val="50"/>
        </w:numPr>
        <w:spacing w:after="0" w:line="270" w:lineRule="auto"/>
        <w:ind w:right="54" w:hanging="291"/>
        <w:jc w:val="both"/>
      </w:pPr>
      <w:r>
        <w:rPr>
          <w:rFonts w:ascii="Arial" w:eastAsia="Arial" w:hAnsi="Arial" w:cs="Arial"/>
          <w:sz w:val="20"/>
        </w:rPr>
        <w:t xml:space="preserve">– Serviços de </w:t>
      </w:r>
      <w:r>
        <w:rPr>
          <w:rFonts w:ascii="Arial" w:eastAsia="Arial" w:hAnsi="Arial" w:cs="Arial"/>
          <w:i/>
          <w:sz w:val="20"/>
        </w:rPr>
        <w:t xml:space="preserve">office boy </w:t>
      </w:r>
      <w:r>
        <w:rPr>
          <w:rFonts w:ascii="Arial" w:eastAsia="Arial" w:hAnsi="Arial" w:cs="Arial"/>
          <w:sz w:val="20"/>
        </w:rPr>
        <w:t xml:space="preserve">(contínuo); </w:t>
      </w:r>
    </w:p>
    <w:p w:rsidR="006C145C" w:rsidRDefault="00C62E5A">
      <w:pPr>
        <w:numPr>
          <w:ilvl w:val="0"/>
          <w:numId w:val="50"/>
        </w:numPr>
        <w:spacing w:after="0" w:line="270" w:lineRule="auto"/>
        <w:ind w:right="54" w:hanging="291"/>
        <w:jc w:val="both"/>
      </w:pPr>
      <w:r>
        <w:rPr>
          <w:rFonts w:ascii="Arial" w:eastAsia="Arial" w:hAnsi="Arial" w:cs="Arial"/>
          <w:sz w:val="20"/>
        </w:rPr>
        <w:t xml:space="preserve">– </w:t>
      </w:r>
      <w:r>
        <w:rPr>
          <w:rFonts w:ascii="Arial" w:eastAsia="Arial" w:hAnsi="Arial" w:cs="Arial"/>
          <w:sz w:val="20"/>
        </w:rPr>
        <w:t xml:space="preserve">Serviços de digitação; </w:t>
      </w:r>
    </w:p>
    <w:p w:rsidR="006C145C" w:rsidRDefault="00C62E5A">
      <w:pPr>
        <w:numPr>
          <w:ilvl w:val="0"/>
          <w:numId w:val="50"/>
        </w:numPr>
        <w:spacing w:after="0" w:line="270" w:lineRule="auto"/>
        <w:ind w:right="54" w:hanging="291"/>
        <w:jc w:val="both"/>
      </w:pPr>
      <w:r>
        <w:rPr>
          <w:rFonts w:ascii="Arial" w:eastAsia="Arial" w:hAnsi="Arial" w:cs="Arial"/>
          <w:sz w:val="20"/>
        </w:rPr>
        <w:t xml:space="preserve">– Serviços de assessoria de imprensa e de relações públicas; </w:t>
      </w:r>
    </w:p>
    <w:p w:rsidR="006C145C" w:rsidRDefault="00C62E5A">
      <w:pPr>
        <w:numPr>
          <w:ilvl w:val="0"/>
          <w:numId w:val="50"/>
        </w:numPr>
        <w:spacing w:after="0" w:line="270" w:lineRule="auto"/>
        <w:ind w:right="54" w:hanging="291"/>
        <w:jc w:val="both"/>
      </w:pPr>
      <w:r>
        <w:rPr>
          <w:rFonts w:ascii="Arial" w:eastAsia="Arial" w:hAnsi="Arial" w:cs="Arial"/>
          <w:sz w:val="20"/>
        </w:rPr>
        <w:t xml:space="preserve">– Serviços de motorista, no caso de os veículos serem fornecidos pelo próprio órgão licitante; p) – Serviços de ascensorista; </w:t>
      </w:r>
    </w:p>
    <w:p w:rsidR="006C145C" w:rsidRDefault="00C62E5A">
      <w:pPr>
        <w:numPr>
          <w:ilvl w:val="0"/>
          <w:numId w:val="51"/>
        </w:numPr>
        <w:spacing w:after="0" w:line="270" w:lineRule="auto"/>
        <w:ind w:right="54" w:hanging="233"/>
        <w:jc w:val="both"/>
      </w:pPr>
      <w:r>
        <w:rPr>
          <w:rFonts w:ascii="Arial" w:eastAsia="Arial" w:hAnsi="Arial" w:cs="Arial"/>
          <w:sz w:val="20"/>
        </w:rPr>
        <w:t xml:space="preserve">– Serviços de enfermagem; e </w:t>
      </w:r>
    </w:p>
    <w:p w:rsidR="006C145C" w:rsidRDefault="00C62E5A">
      <w:pPr>
        <w:numPr>
          <w:ilvl w:val="0"/>
          <w:numId w:val="51"/>
        </w:numPr>
        <w:spacing w:after="0" w:line="270" w:lineRule="auto"/>
        <w:ind w:right="54" w:hanging="233"/>
        <w:jc w:val="both"/>
      </w:pPr>
      <w:r>
        <w:rPr>
          <w:rFonts w:ascii="Arial" w:eastAsia="Arial" w:hAnsi="Arial" w:cs="Arial"/>
          <w:sz w:val="20"/>
        </w:rPr>
        <w:t xml:space="preserve">– Serviços de </w:t>
      </w:r>
      <w:r>
        <w:rPr>
          <w:rFonts w:ascii="Arial" w:eastAsia="Arial" w:hAnsi="Arial" w:cs="Arial"/>
          <w:sz w:val="20"/>
        </w:rPr>
        <w:t xml:space="preserve">agentes comunitários de saúde.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b/>
          <w:sz w:val="20"/>
        </w:rPr>
        <w:t xml:space="preserve">Parágrafo Primeiro </w:t>
      </w:r>
      <w:r>
        <w:rPr>
          <w:rFonts w:ascii="Arial" w:eastAsia="Arial" w:hAnsi="Arial" w:cs="Arial"/>
          <w:sz w:val="20"/>
        </w:rPr>
        <w:t xml:space="preserve">– O disposto nesta Cláusula não autoriza outras formas de terceirização sem previsão legal.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b/>
          <w:sz w:val="20"/>
        </w:rPr>
        <w:t xml:space="preserve">Parágrafo Segundo </w:t>
      </w:r>
      <w:r>
        <w:rPr>
          <w:rFonts w:ascii="Arial" w:eastAsia="Arial" w:hAnsi="Arial" w:cs="Arial"/>
          <w:sz w:val="20"/>
        </w:rPr>
        <w:t xml:space="preserve">– </w:t>
      </w:r>
      <w:r>
        <w:rPr>
          <w:rFonts w:ascii="Arial" w:eastAsia="Arial" w:hAnsi="Arial" w:cs="Arial"/>
          <w:sz w:val="20"/>
        </w:rPr>
        <w:t xml:space="preserve">As partes podem, a qualquer momento, mediante comunicação e acordos prévios, ampliar o rol de serviços elencados no </w:t>
      </w:r>
      <w:r>
        <w:rPr>
          <w:rFonts w:ascii="Arial" w:eastAsia="Arial" w:hAnsi="Arial" w:cs="Arial"/>
          <w:i/>
          <w:sz w:val="20"/>
        </w:rPr>
        <w:t>caput</w:t>
      </w: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b/>
          <w:sz w:val="20"/>
        </w:rPr>
        <w:t xml:space="preserve">Cláusula Segunda </w:t>
      </w:r>
      <w:r>
        <w:rPr>
          <w:rFonts w:ascii="Arial" w:eastAsia="Arial" w:hAnsi="Arial" w:cs="Arial"/>
          <w:sz w:val="20"/>
        </w:rPr>
        <w:t>- Considera-se cooperativa de mão de obra, aquela associação cuja atividade precípua seja a mera intermediação i</w:t>
      </w:r>
      <w:r>
        <w:rPr>
          <w:rFonts w:ascii="Arial" w:eastAsia="Arial" w:hAnsi="Arial" w:cs="Arial"/>
          <w:sz w:val="20"/>
        </w:rPr>
        <w:t>ndividual de trabalhadores de uma ou várias profissões (inexistindo assim vínculo de solidariedade entre seus associados), que não detenham qualquer meio de produção, e cujos serviços sejam prestados a terceiros, de forma individual (e não coletiva), pelos</w:t>
      </w:r>
      <w:r>
        <w:rPr>
          <w:rFonts w:ascii="Arial" w:eastAsia="Arial" w:hAnsi="Arial" w:cs="Arial"/>
          <w:sz w:val="20"/>
        </w:rPr>
        <w:t xml:space="preserve"> seus associados.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b/>
          <w:sz w:val="20"/>
        </w:rPr>
        <w:t xml:space="preserve">Cláusula Terceira </w:t>
      </w:r>
      <w:r>
        <w:rPr>
          <w:rFonts w:ascii="Arial" w:eastAsia="Arial" w:hAnsi="Arial" w:cs="Arial"/>
          <w:sz w:val="20"/>
        </w:rPr>
        <w:t>- A UNIÃO obriga-se a estabelecer regras claras nos editais de licitação, a fim de esclarecer a natureza dos serviços licitados, determinando, por conseguinte, se os mesmos podem ser prestados por empresas prestadora</w:t>
      </w:r>
      <w:r>
        <w:rPr>
          <w:rFonts w:ascii="Arial" w:eastAsia="Arial" w:hAnsi="Arial" w:cs="Arial"/>
          <w:sz w:val="20"/>
        </w:rPr>
        <w:t xml:space="preserve">s de serviços (trabalhadores subordinados), cooperativas de trabalho, trabalhadores autônomos, avulsos ou eventuais;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b/>
          <w:sz w:val="20"/>
        </w:rPr>
        <w:t xml:space="preserve">Parágrafo Primeiro </w:t>
      </w:r>
      <w:r>
        <w:rPr>
          <w:rFonts w:ascii="Arial" w:eastAsia="Arial" w:hAnsi="Arial" w:cs="Arial"/>
          <w:sz w:val="20"/>
        </w:rPr>
        <w:t>- É lícita a contratação de genuínas sociedades cooperativas desde que os serviços licitados não estejam incluídos n</w:t>
      </w:r>
      <w:r>
        <w:rPr>
          <w:rFonts w:ascii="Arial" w:eastAsia="Arial" w:hAnsi="Arial" w:cs="Arial"/>
          <w:sz w:val="20"/>
        </w:rPr>
        <w:t xml:space="preserve">o rol inserido nas alíneas “a” a “r” da Cláusula Primeira e sejam prestados em caráter coletivo e com absoluta autonomia dos cooperados, seja em relação às cooperativas, seja em relação ao tomador dos serviços, devendo ser juntada, na fase de habilitação, </w:t>
      </w:r>
      <w:r>
        <w:rPr>
          <w:rFonts w:ascii="Arial" w:eastAsia="Arial" w:hAnsi="Arial" w:cs="Arial"/>
          <w:sz w:val="20"/>
        </w:rPr>
        <w:t>listagem contendo o nome de todos os associados. Esclarecem as partes que somente os serviços podem ser terceirizados, restando absolutamente vedado o fornecimento (intermediação de mão de obra) de trabalhadores a órgãos públicos por cooperativas de qualqu</w:t>
      </w:r>
      <w:r>
        <w:rPr>
          <w:rFonts w:ascii="Arial" w:eastAsia="Arial" w:hAnsi="Arial" w:cs="Arial"/>
          <w:sz w:val="20"/>
        </w:rPr>
        <w:t xml:space="preserve">er natureza.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b/>
          <w:sz w:val="20"/>
        </w:rPr>
        <w:t xml:space="preserve">Parágrafo Segundo </w:t>
      </w:r>
      <w:r>
        <w:rPr>
          <w:rFonts w:ascii="Arial" w:eastAsia="Arial" w:hAnsi="Arial" w:cs="Arial"/>
          <w:sz w:val="20"/>
        </w:rPr>
        <w:t>– Os editais de licitação que se destinem a contratar os serviços disciplinados pela Cláusula Primeira deverão fazer expressa menção ao presente termo de conciliação e sua homologação, se possível transcrevendo-os na ínteg</w:t>
      </w:r>
      <w:r>
        <w:rPr>
          <w:rFonts w:ascii="Arial" w:eastAsia="Arial" w:hAnsi="Arial" w:cs="Arial"/>
          <w:sz w:val="20"/>
        </w:rPr>
        <w:t xml:space="preserve">ra ou fazendo parte integrante desses editais, como anexo.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b/>
          <w:sz w:val="20"/>
        </w:rPr>
        <w:lastRenderedPageBreak/>
        <w:t xml:space="preserve">Parágrafo Terceiro </w:t>
      </w:r>
      <w:r>
        <w:rPr>
          <w:rFonts w:ascii="Arial" w:eastAsia="Arial" w:hAnsi="Arial" w:cs="Arial"/>
          <w:sz w:val="20"/>
        </w:rPr>
        <w:t xml:space="preserve">- Para a prestação de serviços em sua forma subordinada, a licitante vencedora do certame deverá comprovar a condição de empregadora dos prestadores de serviços para as quais </w:t>
      </w:r>
      <w:r>
        <w:rPr>
          <w:rFonts w:ascii="Arial" w:eastAsia="Arial" w:hAnsi="Arial" w:cs="Arial"/>
          <w:sz w:val="20"/>
        </w:rPr>
        <w:t xml:space="preserve">se objetiva a contratação, constituindo-se esse requisito, condição obrigatória à assinatura do respectivo contrato.  </w:t>
      </w:r>
    </w:p>
    <w:p w:rsidR="006C145C" w:rsidRDefault="00C62E5A">
      <w:pPr>
        <w:spacing w:after="0"/>
      </w:pPr>
      <w:r>
        <w:rPr>
          <w:rFonts w:ascii="Arial" w:eastAsia="Arial" w:hAnsi="Arial" w:cs="Arial"/>
          <w:sz w:val="20"/>
        </w:rPr>
        <w:t xml:space="preserve"> </w:t>
      </w:r>
    </w:p>
    <w:p w:rsidR="006C145C" w:rsidRDefault="00C62E5A">
      <w:pPr>
        <w:pStyle w:val="Ttulo3"/>
        <w:spacing w:after="8" w:line="249" w:lineRule="auto"/>
        <w:ind w:left="7" w:right="37"/>
        <w:jc w:val="both"/>
      </w:pPr>
      <w:r>
        <w:t xml:space="preserve">DAS SANÇÕES PELO DESCUMPRIMENTO  </w:t>
      </w:r>
    </w:p>
    <w:p w:rsidR="006C145C" w:rsidRDefault="00C62E5A">
      <w:pPr>
        <w:spacing w:after="0"/>
      </w:pPr>
      <w:r>
        <w:rPr>
          <w:rFonts w:ascii="Arial" w:eastAsia="Arial" w:hAnsi="Arial" w:cs="Arial"/>
          <w:b/>
          <w:sz w:val="20"/>
        </w:rPr>
        <w:t xml:space="preserve"> </w:t>
      </w:r>
    </w:p>
    <w:p w:rsidR="006C145C" w:rsidRDefault="00C62E5A">
      <w:pPr>
        <w:spacing w:after="0" w:line="270" w:lineRule="auto"/>
        <w:ind w:left="5" w:right="54" w:hanging="8"/>
        <w:jc w:val="both"/>
      </w:pPr>
      <w:r>
        <w:rPr>
          <w:rFonts w:ascii="Arial" w:eastAsia="Arial" w:hAnsi="Arial" w:cs="Arial"/>
          <w:b/>
          <w:sz w:val="20"/>
        </w:rPr>
        <w:t xml:space="preserve">Cláusula Quarta </w:t>
      </w:r>
      <w:r>
        <w:rPr>
          <w:rFonts w:ascii="Arial" w:eastAsia="Arial" w:hAnsi="Arial" w:cs="Arial"/>
          <w:sz w:val="20"/>
        </w:rPr>
        <w:t>– A UNIÃO obriga-se ao pagamento de multa (astreinte) correspondente a R$1.000,00 (</w:t>
      </w:r>
      <w:r>
        <w:rPr>
          <w:rFonts w:ascii="Arial" w:eastAsia="Arial" w:hAnsi="Arial" w:cs="Arial"/>
          <w:sz w:val="20"/>
        </w:rPr>
        <w:t xml:space="preserve">um mil reais) por trabalhador que esteja em desacordo com as condições estabelecidas no presente Termo de Conciliação, sendo a mesma reversível ao Fundo de Amparo ao Trabalhador (FAT).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b/>
          <w:sz w:val="20"/>
        </w:rPr>
        <w:t xml:space="preserve">Parágrafo Primeiro </w:t>
      </w:r>
      <w:r>
        <w:rPr>
          <w:rFonts w:ascii="Arial" w:eastAsia="Arial" w:hAnsi="Arial" w:cs="Arial"/>
          <w:sz w:val="20"/>
        </w:rPr>
        <w:t>– O servidor público que, em nome da Administraç</w:t>
      </w:r>
      <w:r>
        <w:rPr>
          <w:rFonts w:ascii="Arial" w:eastAsia="Arial" w:hAnsi="Arial" w:cs="Arial"/>
          <w:sz w:val="20"/>
        </w:rPr>
        <w:t>ão, firmar o contrato de prestação de serviços nas atividades relacionadas nas alíneas “a” a “r” da Cláusula Primeira, será responsável solidário por qualquer contratação irregular, respondendo pela multa prevista no caput, sem prejuízo das demais cominaçõ</w:t>
      </w:r>
      <w:r>
        <w:rPr>
          <w:rFonts w:ascii="Arial" w:eastAsia="Arial" w:hAnsi="Arial" w:cs="Arial"/>
          <w:sz w:val="20"/>
        </w:rPr>
        <w:t xml:space="preserve">es legais.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b/>
          <w:sz w:val="20"/>
        </w:rPr>
        <w:t xml:space="preserve">Parágrafo Segundo </w:t>
      </w:r>
      <w:r>
        <w:rPr>
          <w:rFonts w:ascii="Arial" w:eastAsia="Arial" w:hAnsi="Arial" w:cs="Arial"/>
          <w:sz w:val="20"/>
        </w:rPr>
        <w:t xml:space="preserve">– Em caso de notícia de descumprimento dos termos firmados neste ajuste, a UNIÃO, depois de intimada, terá prazo de 20 (vinte) dias para apresentar sua justificativa perante o Ministério Público do Trabalho.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pStyle w:val="Ttulo3"/>
        <w:spacing w:after="8" w:line="249" w:lineRule="auto"/>
        <w:ind w:left="7" w:right="37"/>
        <w:jc w:val="both"/>
      </w:pPr>
      <w:r>
        <w:t xml:space="preserve">DA EXTENSÃO DO AJUSTE À ADMINISTRAÇÃO PÚBLICA INDIRETA </w:t>
      </w:r>
    </w:p>
    <w:p w:rsidR="006C145C" w:rsidRDefault="00C62E5A">
      <w:pPr>
        <w:spacing w:after="0"/>
      </w:pPr>
      <w:r>
        <w:rPr>
          <w:rFonts w:ascii="Arial" w:eastAsia="Arial" w:hAnsi="Arial" w:cs="Arial"/>
          <w:b/>
          <w:sz w:val="20"/>
        </w:rPr>
        <w:t xml:space="preserve"> </w:t>
      </w:r>
    </w:p>
    <w:p w:rsidR="006C145C" w:rsidRDefault="00C62E5A">
      <w:pPr>
        <w:spacing w:after="0" w:line="270" w:lineRule="auto"/>
        <w:ind w:left="5" w:right="54" w:hanging="8"/>
        <w:jc w:val="both"/>
      </w:pPr>
      <w:r>
        <w:rPr>
          <w:rFonts w:ascii="Arial" w:eastAsia="Arial" w:hAnsi="Arial" w:cs="Arial"/>
          <w:b/>
          <w:sz w:val="20"/>
        </w:rPr>
        <w:t xml:space="preserve">Cláusula Quinta </w:t>
      </w:r>
      <w:r>
        <w:rPr>
          <w:rFonts w:ascii="Arial" w:eastAsia="Arial" w:hAnsi="Arial" w:cs="Arial"/>
          <w:sz w:val="20"/>
        </w:rPr>
        <w:t xml:space="preserve">– A UNIÃO se compromete a recomendar o estabelecimento das mesmas diretrizes ora pactuadas em relação </w:t>
      </w:r>
      <w:r>
        <w:rPr>
          <w:rFonts w:ascii="Arial" w:eastAsia="Arial" w:hAnsi="Arial" w:cs="Arial"/>
          <w:sz w:val="20"/>
        </w:rPr>
        <w:t xml:space="preserve">às autarquias, fundações públicas, empresas públicas e sociedades de economia mista, a fim de vincular todos os órgãos integrantes da administração pública indireta ao cumprimento do presente termo de conciliação, sendo que em relação às empresas públicas </w:t>
      </w:r>
      <w:r>
        <w:rPr>
          <w:rFonts w:ascii="Arial" w:eastAsia="Arial" w:hAnsi="Arial" w:cs="Arial"/>
          <w:sz w:val="20"/>
        </w:rPr>
        <w:t>e sociedades de economia mista deverá ser dado conhecimento ao Departamento de Coordenação e Controle das Empresas Estatais – DEST, do Ministério do Planejamento, Orçamento e Gestão, ou órgão equivalente, para que discipline a matéria no âmbito de sua comp</w:t>
      </w:r>
      <w:r>
        <w:rPr>
          <w:rFonts w:ascii="Arial" w:eastAsia="Arial" w:hAnsi="Arial" w:cs="Arial"/>
          <w:sz w:val="20"/>
        </w:rPr>
        <w:t xml:space="preserve">etência.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pStyle w:val="Ttulo3"/>
        <w:spacing w:after="8" w:line="249" w:lineRule="auto"/>
        <w:ind w:left="7" w:right="37"/>
        <w:jc w:val="both"/>
      </w:pPr>
      <w:r>
        <w:t xml:space="preserve">DA HOMOLOGAÇÃO JUDICIAL DO AJUSTE </w:t>
      </w:r>
    </w:p>
    <w:p w:rsidR="006C145C" w:rsidRDefault="00C62E5A">
      <w:pPr>
        <w:spacing w:after="0"/>
      </w:pPr>
      <w:r>
        <w:rPr>
          <w:rFonts w:ascii="Arial" w:eastAsia="Arial" w:hAnsi="Arial" w:cs="Arial"/>
          <w:b/>
          <w:sz w:val="20"/>
        </w:rPr>
        <w:t xml:space="preserve"> </w:t>
      </w:r>
    </w:p>
    <w:p w:rsidR="006C145C" w:rsidRDefault="00C62E5A">
      <w:pPr>
        <w:spacing w:after="0" w:line="270" w:lineRule="auto"/>
        <w:ind w:left="5" w:right="54" w:hanging="8"/>
        <w:jc w:val="both"/>
      </w:pPr>
      <w:r>
        <w:rPr>
          <w:rFonts w:ascii="Arial" w:eastAsia="Arial" w:hAnsi="Arial" w:cs="Arial"/>
          <w:b/>
          <w:sz w:val="20"/>
        </w:rPr>
        <w:t xml:space="preserve">Cláusula Sexta </w:t>
      </w:r>
      <w:r>
        <w:rPr>
          <w:rFonts w:ascii="Arial" w:eastAsia="Arial" w:hAnsi="Arial" w:cs="Arial"/>
          <w:sz w:val="20"/>
        </w:rPr>
        <w:t xml:space="preserve">- As partes submetem os termos da presente conciliação à homologação do Juízo da MM. Vigésima Vara do Trabalho, para que o ajuste gere os seus efeitos jurídicos.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b/>
          <w:sz w:val="20"/>
        </w:rPr>
        <w:t xml:space="preserve">Cláusula Sétima </w:t>
      </w:r>
      <w:r>
        <w:rPr>
          <w:rFonts w:ascii="Arial" w:eastAsia="Arial" w:hAnsi="Arial" w:cs="Arial"/>
          <w:sz w:val="20"/>
        </w:rPr>
        <w:t>- Os te</w:t>
      </w:r>
      <w:r>
        <w:rPr>
          <w:rFonts w:ascii="Arial" w:eastAsia="Arial" w:hAnsi="Arial" w:cs="Arial"/>
          <w:sz w:val="20"/>
        </w:rPr>
        <w:t xml:space="preserve">rmos da presente avença gerarão seus efeitos jurídicos a partir da data de sua homologação judicial. </w:t>
      </w:r>
      <w:r>
        <w:rPr>
          <w:rFonts w:ascii="Arial" w:eastAsia="Arial" w:hAnsi="Arial" w:cs="Arial"/>
          <w:b/>
          <w:sz w:val="20"/>
        </w:rPr>
        <w:t xml:space="preserve">Parágrafo único </w:t>
      </w:r>
      <w:r>
        <w:rPr>
          <w:rFonts w:ascii="Arial" w:eastAsia="Arial" w:hAnsi="Arial" w:cs="Arial"/>
          <w:sz w:val="20"/>
        </w:rPr>
        <w:t xml:space="preserve">- Os contratos em vigor entre a UNIÃO e as Cooperativas, que contrariem o presente acordo, não serão renovados ou prorrogados.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b/>
          <w:sz w:val="20"/>
        </w:rPr>
        <w:t xml:space="preserve">Cláusula </w:t>
      </w:r>
      <w:r>
        <w:rPr>
          <w:rFonts w:ascii="Arial" w:eastAsia="Arial" w:hAnsi="Arial" w:cs="Arial"/>
          <w:b/>
          <w:sz w:val="20"/>
        </w:rPr>
        <w:t xml:space="preserve">Oitava </w:t>
      </w:r>
      <w:r>
        <w:rPr>
          <w:rFonts w:ascii="Arial" w:eastAsia="Arial" w:hAnsi="Arial" w:cs="Arial"/>
          <w:sz w:val="20"/>
        </w:rPr>
        <w:t>- A presente conciliação extingue o processo com exame do mérito apenas em relação à UNIÃO, prosseguindo o feito quanto aos demais réus. Dito isto, por estarem as partes ajustadas e compromissadas, firmam a presente conciliação em cinco vias, a qual</w:t>
      </w:r>
      <w:r>
        <w:rPr>
          <w:rFonts w:ascii="Arial" w:eastAsia="Arial" w:hAnsi="Arial" w:cs="Arial"/>
          <w:sz w:val="20"/>
        </w:rPr>
        <w:t xml:space="preserve"> terá eficácia de título judicial, nos termos dos artigos 831, parágrafo único, e 876, </w:t>
      </w:r>
      <w:r>
        <w:rPr>
          <w:rFonts w:ascii="Arial" w:eastAsia="Arial" w:hAnsi="Arial" w:cs="Arial"/>
          <w:i/>
          <w:sz w:val="20"/>
        </w:rPr>
        <w:t>caput</w:t>
      </w:r>
      <w:r>
        <w:rPr>
          <w:rFonts w:ascii="Arial" w:eastAsia="Arial" w:hAnsi="Arial" w:cs="Arial"/>
          <w:sz w:val="20"/>
        </w:rPr>
        <w:t xml:space="preserve">, da CLT.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sz w:val="20"/>
        </w:rPr>
        <w:t xml:space="preserve">Brasília, 05 de junho de 2003. </w:t>
      </w:r>
    </w:p>
    <w:p w:rsidR="006C145C" w:rsidRDefault="00C62E5A">
      <w:pPr>
        <w:spacing w:after="0"/>
        <w:jc w:val="center"/>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sz w:val="20"/>
        </w:rPr>
        <w:t xml:space="preserve">GUILHERME MASTRICHI BASSO GUIOMAR RECHIA GOMES </w:t>
      </w:r>
    </w:p>
    <w:p w:rsidR="006C145C" w:rsidRDefault="00C62E5A">
      <w:pPr>
        <w:spacing w:after="0" w:line="270" w:lineRule="auto"/>
        <w:ind w:left="5" w:right="54" w:hanging="8"/>
        <w:jc w:val="both"/>
      </w:pPr>
      <w:r>
        <w:rPr>
          <w:rFonts w:ascii="Arial" w:eastAsia="Arial" w:hAnsi="Arial" w:cs="Arial"/>
          <w:sz w:val="20"/>
        </w:rPr>
        <w:t xml:space="preserve">Procurador-Geral do Trabalho Vice-Procuradora-Geral do Trabalho </w:t>
      </w: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sz w:val="20"/>
        </w:rPr>
        <w:lastRenderedPageBreak/>
        <w:t xml:space="preserve">BRASILINO SANTOS RAMOS FÁBIO LEAL CARDOSO  </w:t>
      </w:r>
    </w:p>
    <w:p w:rsidR="006C145C" w:rsidRDefault="00C62E5A">
      <w:pPr>
        <w:spacing w:after="0" w:line="270" w:lineRule="auto"/>
        <w:ind w:left="5" w:right="54" w:hanging="8"/>
        <w:jc w:val="both"/>
      </w:pPr>
      <w:r>
        <w:rPr>
          <w:rFonts w:ascii="Arial" w:eastAsia="Arial" w:hAnsi="Arial" w:cs="Arial"/>
          <w:sz w:val="20"/>
        </w:rPr>
        <w:t xml:space="preserve">Procurador-Chefe/PRT 10ª. Região Procurador do Trabalho  </w:t>
      </w:r>
    </w:p>
    <w:p w:rsidR="006C145C" w:rsidRDefault="00C62E5A">
      <w:pPr>
        <w:spacing w:after="0" w:line="270" w:lineRule="auto"/>
        <w:ind w:left="5" w:right="54" w:hanging="8"/>
        <w:jc w:val="both"/>
      </w:pPr>
      <w:r>
        <w:rPr>
          <w:rFonts w:ascii="Arial" w:eastAsia="Arial" w:hAnsi="Arial" w:cs="Arial"/>
          <w:sz w:val="20"/>
        </w:rPr>
        <w:t xml:space="preserve">MOACIR ANTONIO DA SILVA MACHADO  </w:t>
      </w:r>
    </w:p>
    <w:p w:rsidR="006C145C" w:rsidRDefault="00C62E5A">
      <w:pPr>
        <w:spacing w:after="0" w:line="270" w:lineRule="auto"/>
        <w:ind w:left="5" w:right="54" w:hanging="8"/>
        <w:jc w:val="both"/>
      </w:pPr>
      <w:r>
        <w:rPr>
          <w:rFonts w:ascii="Arial" w:eastAsia="Arial" w:hAnsi="Arial" w:cs="Arial"/>
          <w:sz w:val="20"/>
        </w:rPr>
        <w:t xml:space="preserve">Procurador-Geral da União </w:t>
      </w:r>
    </w:p>
    <w:p w:rsidR="006C145C" w:rsidRDefault="00C62E5A">
      <w:pPr>
        <w:spacing w:after="0" w:line="270" w:lineRule="auto"/>
        <w:ind w:left="5" w:right="54" w:hanging="8"/>
        <w:jc w:val="both"/>
      </w:pPr>
      <w:r>
        <w:rPr>
          <w:rFonts w:ascii="Arial" w:eastAsia="Arial" w:hAnsi="Arial" w:cs="Arial"/>
          <w:sz w:val="20"/>
        </w:rPr>
        <w:t xml:space="preserve">HELIA MARIA DE OLIVEIRA BETTERO MÁRIO LUIZ GUERREIRO </w:t>
      </w:r>
    </w:p>
    <w:p w:rsidR="006C145C" w:rsidRDefault="00C62E5A">
      <w:pPr>
        <w:spacing w:after="0" w:line="270" w:lineRule="auto"/>
        <w:ind w:left="5" w:right="54" w:hanging="8"/>
        <w:jc w:val="both"/>
      </w:pPr>
      <w:r>
        <w:rPr>
          <w:rFonts w:ascii="Arial" w:eastAsia="Arial" w:hAnsi="Arial" w:cs="Arial"/>
          <w:sz w:val="20"/>
        </w:rPr>
        <w:t>Sub-Procuradora-Regional da União–1ª.</w:t>
      </w:r>
      <w:r>
        <w:rPr>
          <w:rFonts w:ascii="Arial" w:eastAsia="Arial" w:hAnsi="Arial" w:cs="Arial"/>
          <w:sz w:val="20"/>
        </w:rPr>
        <w:t xml:space="preserve"> Região Advogado da União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sz w:val="20"/>
        </w:rPr>
        <w:t xml:space="preserve">Testemunhas: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sz w:val="20"/>
        </w:rPr>
        <w:t xml:space="preserve">GRIJALBO FERNANDES COUTINHO </w:t>
      </w:r>
    </w:p>
    <w:p w:rsidR="006C145C" w:rsidRDefault="00C62E5A">
      <w:pPr>
        <w:spacing w:after="0" w:line="270" w:lineRule="auto"/>
        <w:ind w:left="5" w:right="2035" w:hanging="8"/>
        <w:jc w:val="both"/>
      </w:pPr>
      <w:r>
        <w:rPr>
          <w:rFonts w:ascii="Arial" w:eastAsia="Arial" w:hAnsi="Arial" w:cs="Arial"/>
          <w:sz w:val="20"/>
        </w:rPr>
        <w:t xml:space="preserve">Presidente da Associação Nacional dos Magistrados da Justiça do Trabalho – ANAMATRA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sz w:val="20"/>
        </w:rPr>
        <w:t xml:space="preserve">PAULO SÉRGIO DOMINGUES </w:t>
      </w:r>
    </w:p>
    <w:p w:rsidR="006C145C" w:rsidRDefault="00C62E5A">
      <w:pPr>
        <w:spacing w:after="0" w:line="270" w:lineRule="auto"/>
        <w:ind w:left="5" w:right="2546" w:hanging="8"/>
        <w:jc w:val="both"/>
      </w:pPr>
      <w:r>
        <w:rPr>
          <w:rFonts w:ascii="Arial" w:eastAsia="Arial" w:hAnsi="Arial" w:cs="Arial"/>
          <w:sz w:val="20"/>
        </w:rPr>
        <w:t xml:space="preserve">Presidente da Associação dos Juízes Federais do Brasil – AJUFE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2" w:line="254" w:lineRule="auto"/>
        <w:ind w:left="2096" w:hanging="10"/>
        <w:jc w:val="center"/>
      </w:pPr>
      <w:r>
        <w:rPr>
          <w:rFonts w:ascii="Arial" w:eastAsia="Arial" w:hAnsi="Arial" w:cs="Arial"/>
          <w:sz w:val="20"/>
        </w:rPr>
        <w:t xml:space="preserve">REGINA BUTRUS </w:t>
      </w:r>
    </w:p>
    <w:p w:rsidR="006C145C" w:rsidRDefault="00C62E5A">
      <w:pPr>
        <w:spacing w:after="2" w:line="254" w:lineRule="auto"/>
        <w:ind w:left="2045" w:hanging="10"/>
        <w:jc w:val="center"/>
      </w:pPr>
      <w:r>
        <w:rPr>
          <w:rFonts w:ascii="Arial" w:eastAsia="Arial" w:hAnsi="Arial" w:cs="Arial"/>
          <w:sz w:val="20"/>
        </w:rPr>
        <w:t xml:space="preserve">Presidente da Associação Nacional dos Procuradores do Trabalho – ANPT </w:t>
      </w:r>
    </w:p>
    <w:p w:rsidR="006C145C" w:rsidRDefault="00C62E5A">
      <w:pPr>
        <w:spacing w:after="0"/>
        <w:ind w:left="2146"/>
        <w:jc w:val="center"/>
      </w:pPr>
      <w:r>
        <w:rPr>
          <w:rFonts w:ascii="Arial" w:eastAsia="Arial" w:hAnsi="Arial" w:cs="Arial"/>
          <w:sz w:val="20"/>
        </w:rPr>
        <w:t xml:space="preserve"> </w:t>
      </w:r>
    </w:p>
    <w:p w:rsidR="006C145C" w:rsidRDefault="00C62E5A">
      <w:pPr>
        <w:spacing w:after="0"/>
        <w:ind w:left="2146"/>
        <w:jc w:val="center"/>
      </w:pPr>
      <w:r>
        <w:rPr>
          <w:rFonts w:ascii="Arial" w:eastAsia="Arial" w:hAnsi="Arial" w:cs="Arial"/>
          <w:sz w:val="20"/>
        </w:rPr>
        <w:t xml:space="preserve"> </w:t>
      </w:r>
    </w:p>
    <w:p w:rsidR="006C145C" w:rsidRDefault="00C62E5A">
      <w:pPr>
        <w:spacing w:after="0"/>
        <w:ind w:left="2146"/>
        <w:jc w:val="center"/>
      </w:pPr>
      <w:r>
        <w:rPr>
          <w:rFonts w:ascii="Arial" w:eastAsia="Arial" w:hAnsi="Arial" w:cs="Arial"/>
          <w:sz w:val="20"/>
        </w:rPr>
        <w:t xml:space="preserve"> </w:t>
      </w:r>
    </w:p>
    <w:p w:rsidR="006C145C" w:rsidRDefault="00C62E5A">
      <w:pPr>
        <w:spacing w:after="0"/>
        <w:ind w:left="2146"/>
        <w:jc w:val="center"/>
      </w:pPr>
      <w:r>
        <w:rPr>
          <w:rFonts w:ascii="Arial" w:eastAsia="Arial" w:hAnsi="Arial" w:cs="Arial"/>
          <w:sz w:val="20"/>
        </w:rPr>
        <w:t xml:space="preserve"> </w:t>
      </w:r>
    </w:p>
    <w:p w:rsidR="006C145C" w:rsidRDefault="00C62E5A">
      <w:pPr>
        <w:spacing w:after="0" w:line="241" w:lineRule="auto"/>
        <w:ind w:right="2391"/>
      </w:pPr>
      <w:r>
        <w:rPr>
          <w:rFonts w:ascii="Arial" w:eastAsia="Arial" w:hAnsi="Arial" w:cs="Arial"/>
          <w:sz w:val="20"/>
        </w:rPr>
        <w:t xml:space="preserve">  </w:t>
      </w:r>
      <w:r>
        <w:rPr>
          <w:rFonts w:ascii="Arial" w:eastAsia="Arial" w:hAnsi="Arial" w:cs="Arial"/>
          <w:sz w:val="20"/>
        </w:rPr>
        <w:tab/>
        <w:t xml:space="preserve"> </w:t>
      </w:r>
      <w:r>
        <w:br w:type="page"/>
      </w:r>
    </w:p>
    <w:p w:rsidR="006C145C" w:rsidRDefault="00C62E5A">
      <w:pPr>
        <w:spacing w:after="139"/>
        <w:ind w:left="10" w:right="48" w:hanging="10"/>
        <w:jc w:val="right"/>
      </w:pPr>
      <w:r>
        <w:rPr>
          <w:rFonts w:ascii="Arial" w:eastAsia="Arial" w:hAnsi="Arial" w:cs="Arial"/>
          <w:b/>
          <w:sz w:val="20"/>
        </w:rPr>
        <w:lastRenderedPageBreak/>
        <w:t xml:space="preserve">ANEXO V - PLANILHA DE CUSTOS E FORMAÇÃO DE PREÇOS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lastRenderedPageBreak/>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r>
        <w:rPr>
          <w:rFonts w:ascii="Arial" w:eastAsia="Arial" w:hAnsi="Arial" w:cs="Arial"/>
          <w:sz w:val="20"/>
        </w:rPr>
        <w:tab/>
        <w:t xml:space="preserve"> </w:t>
      </w:r>
    </w:p>
    <w:p w:rsidR="006C145C" w:rsidRDefault="00C62E5A">
      <w:pPr>
        <w:pStyle w:val="Ttulo3"/>
        <w:spacing w:after="134"/>
        <w:ind w:left="10" w:right="45"/>
      </w:pPr>
      <w:r>
        <w:t xml:space="preserve">ANEXO VI - Modelo de Autorização para a Utilização da Garantia e de Pagamento Direto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tabs>
          <w:tab w:val="center" w:pos="3298"/>
          <w:tab w:val="center" w:pos="6483"/>
          <w:tab w:val="center" w:pos="7445"/>
          <w:tab w:val="center" w:pos="8217"/>
        </w:tabs>
        <w:spacing w:after="0" w:line="270" w:lineRule="auto"/>
      </w:pPr>
      <w:r>
        <w:tab/>
      </w:r>
      <w:r>
        <w:rPr>
          <w:rFonts w:ascii="Arial" w:eastAsia="Arial" w:hAnsi="Arial" w:cs="Arial"/>
          <w:sz w:val="20"/>
        </w:rPr>
        <w:t xml:space="preserve">__________________________________________ </w:t>
      </w:r>
      <w:r>
        <w:rPr>
          <w:rFonts w:ascii="Arial" w:eastAsia="Arial" w:hAnsi="Arial" w:cs="Arial"/>
          <w:sz w:val="20"/>
        </w:rPr>
        <w:tab/>
        <w:t>(</w:t>
      </w:r>
      <w:r>
        <w:rPr>
          <w:rFonts w:ascii="Arial" w:eastAsia="Arial" w:hAnsi="Arial" w:cs="Arial"/>
          <w:i/>
          <w:sz w:val="20"/>
        </w:rPr>
        <w:t xml:space="preserve">identificação </w:t>
      </w:r>
      <w:r>
        <w:rPr>
          <w:rFonts w:ascii="Arial" w:eastAsia="Arial" w:hAnsi="Arial" w:cs="Arial"/>
          <w:i/>
          <w:sz w:val="20"/>
        </w:rPr>
        <w:tab/>
        <w:t xml:space="preserve">do </w:t>
      </w:r>
      <w:r>
        <w:rPr>
          <w:rFonts w:ascii="Arial" w:eastAsia="Arial" w:hAnsi="Arial" w:cs="Arial"/>
          <w:i/>
          <w:sz w:val="20"/>
        </w:rPr>
        <w:tab/>
        <w:t>licitante</w:t>
      </w: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sz w:val="20"/>
        </w:rPr>
        <w:t>inscrita no CNPJ nº _______________, por intermédio de seu represent</w:t>
      </w:r>
      <w:r>
        <w:rPr>
          <w:rFonts w:ascii="Arial" w:eastAsia="Arial" w:hAnsi="Arial" w:cs="Arial"/>
          <w:sz w:val="20"/>
        </w:rPr>
        <w:t>ante legal, o Sr. ___________________________ (</w:t>
      </w:r>
      <w:r>
        <w:rPr>
          <w:rFonts w:ascii="Arial" w:eastAsia="Arial" w:hAnsi="Arial" w:cs="Arial"/>
          <w:i/>
          <w:sz w:val="20"/>
        </w:rPr>
        <w:t>nome do representante</w:t>
      </w:r>
      <w:r>
        <w:rPr>
          <w:rFonts w:ascii="Arial" w:eastAsia="Arial" w:hAnsi="Arial" w:cs="Arial"/>
          <w:sz w:val="20"/>
        </w:rPr>
        <w:t xml:space="preserve">), portador da Cédula de Identidade RG nº _______________ e do CPF nº _______________, </w:t>
      </w:r>
      <w:r>
        <w:rPr>
          <w:rFonts w:ascii="Arial" w:eastAsia="Arial" w:hAnsi="Arial" w:cs="Arial"/>
          <w:b/>
          <w:sz w:val="20"/>
        </w:rPr>
        <w:t xml:space="preserve">AUTORIZA </w:t>
      </w:r>
      <w:r>
        <w:rPr>
          <w:rFonts w:ascii="Arial" w:eastAsia="Arial" w:hAnsi="Arial" w:cs="Arial"/>
          <w:sz w:val="20"/>
        </w:rPr>
        <w:t xml:space="preserve">o(a) </w:t>
      </w:r>
      <w:r>
        <w:rPr>
          <w:rFonts w:ascii="Arial" w:eastAsia="Arial" w:hAnsi="Arial" w:cs="Arial"/>
          <w:b/>
          <w:i/>
          <w:color w:val="FF0000"/>
          <w:sz w:val="20"/>
        </w:rPr>
        <w:t>(Nome do Órgão ou Entidade promotora da licitação)</w:t>
      </w:r>
      <w:r>
        <w:rPr>
          <w:rFonts w:ascii="Arial" w:eastAsia="Arial" w:hAnsi="Arial" w:cs="Arial"/>
          <w:sz w:val="20"/>
        </w:rPr>
        <w:t>, para os fins do Anexo VII-B da Inst</w:t>
      </w:r>
      <w:r>
        <w:rPr>
          <w:rFonts w:ascii="Arial" w:eastAsia="Arial" w:hAnsi="Arial" w:cs="Arial"/>
          <w:sz w:val="20"/>
        </w:rPr>
        <w:t xml:space="preserve">rução Normativa n° 05, de 26/05/2017,da Secretaria de Gestão do Ministério do Planejamento, Desenvolvimento e Gestão e dos dispositivos correspondentes do Edital do Pregão n. XXX/20XX: </w:t>
      </w:r>
    </w:p>
    <w:p w:rsidR="006C145C" w:rsidRDefault="00C62E5A">
      <w:pPr>
        <w:spacing w:after="0"/>
        <w:ind w:left="1419"/>
      </w:pPr>
      <w:r>
        <w:rPr>
          <w:rFonts w:ascii="Arial" w:eastAsia="Arial" w:hAnsi="Arial" w:cs="Arial"/>
          <w:sz w:val="20"/>
        </w:rPr>
        <w:t xml:space="preserve"> </w:t>
      </w:r>
    </w:p>
    <w:p w:rsidR="006C145C" w:rsidRDefault="00C62E5A">
      <w:pPr>
        <w:spacing w:after="0" w:line="270" w:lineRule="auto"/>
        <w:ind w:left="1427" w:right="54" w:hanging="8"/>
        <w:jc w:val="both"/>
      </w:pPr>
      <w:r>
        <w:rPr>
          <w:rFonts w:ascii="Arial" w:eastAsia="Arial" w:hAnsi="Arial" w:cs="Arial"/>
          <w:sz w:val="20"/>
        </w:rPr>
        <w:t>1) que sejam descontados da fatura e pagos diretamente aos trabalhad</w:t>
      </w:r>
      <w:r>
        <w:rPr>
          <w:rFonts w:ascii="Arial" w:eastAsia="Arial" w:hAnsi="Arial" w:cs="Arial"/>
          <w:sz w:val="20"/>
        </w:rPr>
        <w:t xml:space="preserve">ores alocados </w:t>
      </w:r>
    </w:p>
    <w:p w:rsidR="006C145C" w:rsidRDefault="00C62E5A">
      <w:pPr>
        <w:spacing w:after="0" w:line="270" w:lineRule="auto"/>
        <w:ind w:left="5" w:right="54" w:hanging="8"/>
        <w:jc w:val="both"/>
      </w:pPr>
      <w:r>
        <w:rPr>
          <w:rFonts w:ascii="Arial" w:eastAsia="Arial" w:hAnsi="Arial" w:cs="Arial"/>
          <w:sz w:val="20"/>
        </w:rPr>
        <w:t>a qualquer tempo na execução do contrato acima mencionado os valores relativos aos salários e demais verbas trabalhistas, previdenciárias e fundiárias devidas, quando houver falha no cumprimento dessas obrigações por parte da CONTRATADA, até</w:t>
      </w:r>
      <w:r>
        <w:rPr>
          <w:rFonts w:ascii="Arial" w:eastAsia="Arial" w:hAnsi="Arial" w:cs="Arial"/>
          <w:sz w:val="20"/>
        </w:rPr>
        <w:t xml:space="preserve"> o momento da regularização, sem prejuízo das sanções cabíveis. </w:t>
      </w:r>
    </w:p>
    <w:p w:rsidR="006C145C" w:rsidRDefault="00C62E5A">
      <w:pPr>
        <w:spacing w:after="0"/>
        <w:ind w:left="1419"/>
      </w:pPr>
      <w:r>
        <w:rPr>
          <w:rFonts w:ascii="Arial" w:eastAsia="Arial" w:hAnsi="Arial" w:cs="Arial"/>
          <w:sz w:val="20"/>
        </w:rPr>
        <w:t xml:space="preserve"> </w:t>
      </w:r>
    </w:p>
    <w:p w:rsidR="006C145C" w:rsidRDefault="00C62E5A">
      <w:pPr>
        <w:numPr>
          <w:ilvl w:val="0"/>
          <w:numId w:val="52"/>
        </w:numPr>
        <w:spacing w:after="0" w:line="270" w:lineRule="auto"/>
        <w:ind w:right="54" w:hanging="235"/>
        <w:jc w:val="both"/>
      </w:pPr>
      <w:r>
        <w:rPr>
          <w:rFonts w:ascii="Arial" w:eastAsia="Arial" w:hAnsi="Arial" w:cs="Arial"/>
          <w:sz w:val="20"/>
        </w:rPr>
        <w:t xml:space="preserve">que sejam provisionados valores para o pagamento dos trabalhadores alocados na </w:t>
      </w:r>
    </w:p>
    <w:p w:rsidR="006C145C" w:rsidRDefault="00C62E5A">
      <w:pPr>
        <w:spacing w:after="0" w:line="270" w:lineRule="auto"/>
        <w:ind w:left="5" w:right="54" w:hanging="8"/>
        <w:jc w:val="both"/>
      </w:pPr>
      <w:r>
        <w:rPr>
          <w:rFonts w:ascii="Arial" w:eastAsia="Arial" w:hAnsi="Arial" w:cs="Arial"/>
          <w:sz w:val="20"/>
        </w:rPr>
        <w:t xml:space="preserve">execução do contrato e depositados em conta corrente vinculada, bloqueada para movimentação, e aberta em nome da empresa </w:t>
      </w:r>
      <w:r>
        <w:rPr>
          <w:rFonts w:ascii="Arial" w:eastAsia="Arial" w:hAnsi="Arial" w:cs="Arial"/>
          <w:b/>
          <w:i/>
          <w:color w:val="FF0000"/>
          <w:sz w:val="20"/>
        </w:rPr>
        <w:t xml:space="preserve">(indicar o nome da empresa) </w:t>
      </w:r>
      <w:r>
        <w:rPr>
          <w:rFonts w:ascii="Arial" w:eastAsia="Arial" w:hAnsi="Arial" w:cs="Arial"/>
          <w:sz w:val="20"/>
        </w:rPr>
        <w:t xml:space="preserve">junto a instituição bancária oficial, cuja movimentação dependerá de autorização prévia da(o) </w:t>
      </w:r>
      <w:r>
        <w:rPr>
          <w:rFonts w:ascii="Arial" w:eastAsia="Arial" w:hAnsi="Arial" w:cs="Arial"/>
          <w:b/>
          <w:i/>
          <w:color w:val="FF0000"/>
          <w:sz w:val="20"/>
        </w:rPr>
        <w:t>(Nome do Órgã</w:t>
      </w:r>
      <w:r>
        <w:rPr>
          <w:rFonts w:ascii="Arial" w:eastAsia="Arial" w:hAnsi="Arial" w:cs="Arial"/>
          <w:b/>
          <w:i/>
          <w:color w:val="FF0000"/>
          <w:sz w:val="20"/>
        </w:rPr>
        <w:t>o ou Entidade promotora da licitação)</w:t>
      </w:r>
      <w:r>
        <w:rPr>
          <w:rFonts w:ascii="Arial" w:eastAsia="Arial" w:hAnsi="Arial" w:cs="Arial"/>
          <w:sz w:val="20"/>
        </w:rPr>
        <w:t xml:space="preserve">, que também terá permanente autorização para acessar e conhecer os respectivos saldos e extratos, independentemente de qualquer intervenção da titular da conta.  </w:t>
      </w:r>
    </w:p>
    <w:p w:rsidR="006C145C" w:rsidRDefault="00C62E5A">
      <w:pPr>
        <w:spacing w:after="0"/>
        <w:ind w:left="1419"/>
      </w:pPr>
      <w:r>
        <w:rPr>
          <w:rFonts w:ascii="Arial" w:eastAsia="Arial" w:hAnsi="Arial" w:cs="Arial"/>
          <w:sz w:val="20"/>
        </w:rPr>
        <w:t xml:space="preserve"> </w:t>
      </w:r>
    </w:p>
    <w:p w:rsidR="006C145C" w:rsidRDefault="00C62E5A">
      <w:pPr>
        <w:numPr>
          <w:ilvl w:val="0"/>
          <w:numId w:val="52"/>
        </w:numPr>
        <w:spacing w:after="0" w:line="270" w:lineRule="auto"/>
        <w:ind w:right="54" w:hanging="235"/>
        <w:jc w:val="both"/>
      </w:pPr>
      <w:r>
        <w:rPr>
          <w:rFonts w:ascii="Arial" w:eastAsia="Arial" w:hAnsi="Arial" w:cs="Arial"/>
          <w:sz w:val="20"/>
        </w:rPr>
        <w:t>que a CONTRATANTE utilize o valor da garantia prestad</w:t>
      </w:r>
      <w:r>
        <w:rPr>
          <w:rFonts w:ascii="Arial" w:eastAsia="Arial" w:hAnsi="Arial" w:cs="Arial"/>
          <w:sz w:val="20"/>
        </w:rPr>
        <w:t xml:space="preserve">a para realizar o pagamento </w:t>
      </w:r>
    </w:p>
    <w:p w:rsidR="006C145C" w:rsidRDefault="00C62E5A">
      <w:pPr>
        <w:spacing w:after="0" w:line="270" w:lineRule="auto"/>
        <w:ind w:left="5" w:right="54" w:hanging="8"/>
        <w:jc w:val="both"/>
      </w:pPr>
      <w:r>
        <w:rPr>
          <w:rFonts w:ascii="Arial" w:eastAsia="Arial" w:hAnsi="Arial" w:cs="Arial"/>
          <w:sz w:val="20"/>
        </w:rPr>
        <w:t xml:space="preserve">direto das verbas rescisórias aos trabalhadores alocados na execução do contrato, caso a CONTRATADA não efetue tais pagamentos até o fim do segundo mês após o encerramento da vigência contratual.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jc w:val="center"/>
      </w:pPr>
      <w:r>
        <w:rPr>
          <w:rFonts w:ascii="Arial" w:eastAsia="Arial" w:hAnsi="Arial" w:cs="Arial"/>
          <w:sz w:val="20"/>
        </w:rPr>
        <w:t xml:space="preserve"> </w:t>
      </w:r>
    </w:p>
    <w:p w:rsidR="006C145C" w:rsidRDefault="00C62E5A">
      <w:pPr>
        <w:spacing w:after="0"/>
        <w:jc w:val="center"/>
      </w:pPr>
      <w:r>
        <w:rPr>
          <w:rFonts w:ascii="Arial" w:eastAsia="Arial" w:hAnsi="Arial" w:cs="Arial"/>
          <w:sz w:val="20"/>
        </w:rPr>
        <w:t xml:space="preserve"> </w:t>
      </w:r>
    </w:p>
    <w:p w:rsidR="006C145C" w:rsidRDefault="00C62E5A">
      <w:pPr>
        <w:spacing w:after="2" w:line="254" w:lineRule="auto"/>
        <w:ind w:left="311" w:right="363" w:hanging="10"/>
        <w:jc w:val="center"/>
      </w:pPr>
      <w:r>
        <w:rPr>
          <w:rFonts w:ascii="Arial" w:eastAsia="Arial" w:hAnsi="Arial" w:cs="Arial"/>
          <w:sz w:val="20"/>
        </w:rPr>
        <w:t>......................</w:t>
      </w:r>
      <w:r>
        <w:rPr>
          <w:rFonts w:ascii="Arial" w:eastAsia="Arial" w:hAnsi="Arial" w:cs="Arial"/>
          <w:sz w:val="20"/>
        </w:rPr>
        <w:t xml:space="preserve">....................., .......... de.......................................... de 20..... </w:t>
      </w:r>
    </w:p>
    <w:p w:rsidR="006C145C" w:rsidRDefault="00C62E5A">
      <w:pPr>
        <w:spacing w:after="0"/>
        <w:jc w:val="center"/>
      </w:pPr>
      <w:r>
        <w:rPr>
          <w:rFonts w:ascii="Arial" w:eastAsia="Arial" w:hAnsi="Arial" w:cs="Arial"/>
          <w:sz w:val="20"/>
        </w:rPr>
        <w:t xml:space="preserve"> </w:t>
      </w:r>
    </w:p>
    <w:p w:rsidR="006C145C" w:rsidRDefault="00C62E5A">
      <w:pPr>
        <w:spacing w:after="0"/>
        <w:jc w:val="center"/>
      </w:pPr>
      <w:r>
        <w:rPr>
          <w:rFonts w:ascii="Arial" w:eastAsia="Arial" w:hAnsi="Arial" w:cs="Arial"/>
          <w:sz w:val="20"/>
        </w:rPr>
        <w:t xml:space="preserve"> </w:t>
      </w:r>
    </w:p>
    <w:p w:rsidR="006C145C" w:rsidRDefault="00C62E5A">
      <w:pPr>
        <w:spacing w:after="0"/>
        <w:jc w:val="center"/>
      </w:pPr>
      <w:r>
        <w:rPr>
          <w:rFonts w:ascii="Arial" w:eastAsia="Arial" w:hAnsi="Arial" w:cs="Arial"/>
          <w:sz w:val="20"/>
        </w:rPr>
        <w:t xml:space="preserve"> </w:t>
      </w:r>
    </w:p>
    <w:p w:rsidR="006C145C" w:rsidRDefault="00C62E5A">
      <w:pPr>
        <w:spacing w:after="2" w:line="254" w:lineRule="auto"/>
        <w:ind w:left="311" w:right="364" w:hanging="10"/>
        <w:jc w:val="center"/>
      </w:pPr>
      <w:r>
        <w:rPr>
          <w:rFonts w:ascii="Arial" w:eastAsia="Arial" w:hAnsi="Arial" w:cs="Arial"/>
          <w:sz w:val="20"/>
        </w:rPr>
        <w:t xml:space="preserve">________________________________________ </w:t>
      </w:r>
    </w:p>
    <w:p w:rsidR="006C145C" w:rsidRDefault="00C62E5A">
      <w:pPr>
        <w:spacing w:after="0"/>
        <w:ind w:left="10" w:right="63" w:hanging="10"/>
        <w:jc w:val="center"/>
      </w:pPr>
      <w:r>
        <w:rPr>
          <w:rFonts w:ascii="Arial" w:eastAsia="Arial" w:hAnsi="Arial" w:cs="Arial"/>
          <w:i/>
          <w:sz w:val="20"/>
        </w:rPr>
        <w:t>(assinatura do representante legal do licitante)</w:t>
      </w:r>
      <w:r>
        <w:rPr>
          <w:rFonts w:ascii="Arial" w:eastAsia="Arial" w:hAnsi="Arial" w:cs="Arial"/>
          <w:sz w:val="20"/>
        </w:rPr>
        <w:t xml:space="preserve"> </w:t>
      </w:r>
    </w:p>
    <w:p w:rsidR="006C145C" w:rsidRDefault="00C62E5A">
      <w:pPr>
        <w:spacing w:after="0"/>
        <w:jc w:val="center"/>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lastRenderedPageBreak/>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r>
        <w:rPr>
          <w:rFonts w:ascii="Arial" w:eastAsia="Arial" w:hAnsi="Arial" w:cs="Arial"/>
          <w:sz w:val="20"/>
        </w:rPr>
        <w:tab/>
        <w:t xml:space="preserve"> </w:t>
      </w:r>
    </w:p>
    <w:p w:rsidR="006C145C" w:rsidRDefault="00C62E5A">
      <w:pPr>
        <w:spacing w:after="134" w:line="265" w:lineRule="auto"/>
        <w:ind w:left="10" w:right="99" w:hanging="10"/>
        <w:jc w:val="center"/>
      </w:pPr>
      <w:r>
        <w:rPr>
          <w:rFonts w:ascii="Arial" w:eastAsia="Arial" w:hAnsi="Arial" w:cs="Arial"/>
          <w:b/>
          <w:sz w:val="20"/>
        </w:rPr>
        <w:t xml:space="preserve">ANEXO VII - </w:t>
      </w:r>
      <w:r>
        <w:rPr>
          <w:rFonts w:ascii="Arial" w:eastAsia="Arial" w:hAnsi="Arial" w:cs="Arial"/>
          <w:b/>
          <w:sz w:val="20"/>
        </w:rPr>
        <w:t xml:space="preserve">MODELO DE TERMO DE VISTORIA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pStyle w:val="Ttulo3"/>
        <w:ind w:left="10" w:right="123"/>
      </w:pPr>
      <w:r>
        <w:t xml:space="preserve">ATESTADO DE VISITA AO LOCAL DE PRESTAÇÃO DE SERVIÇO </w:t>
      </w:r>
    </w:p>
    <w:p w:rsidR="006C145C" w:rsidRDefault="00C62E5A">
      <w:pPr>
        <w:spacing w:after="0"/>
        <w:ind w:right="57"/>
        <w:jc w:val="center"/>
      </w:pPr>
      <w:r>
        <w:rPr>
          <w:rFonts w:ascii="Arial" w:eastAsia="Arial" w:hAnsi="Arial" w:cs="Arial"/>
          <w:b/>
          <w:sz w:val="20"/>
        </w:rPr>
        <w:t xml:space="preserve"> </w:t>
      </w:r>
    </w:p>
    <w:p w:rsidR="006C145C" w:rsidRDefault="00C62E5A">
      <w:pPr>
        <w:spacing w:after="0"/>
        <w:ind w:right="57"/>
        <w:jc w:val="center"/>
      </w:pPr>
      <w:r>
        <w:rPr>
          <w:rFonts w:ascii="Arial" w:eastAsia="Arial" w:hAnsi="Arial" w:cs="Arial"/>
          <w:b/>
          <w:sz w:val="20"/>
        </w:rPr>
        <w:t xml:space="preserve"> </w:t>
      </w:r>
    </w:p>
    <w:p w:rsidR="006C145C" w:rsidRDefault="00C62E5A">
      <w:pPr>
        <w:spacing w:after="0"/>
      </w:pPr>
      <w:r>
        <w:rPr>
          <w:rFonts w:ascii="Arial" w:eastAsia="Arial" w:hAnsi="Arial" w:cs="Arial"/>
          <w:b/>
          <w:sz w:val="20"/>
        </w:rPr>
        <w:t xml:space="preserve"> </w:t>
      </w:r>
    </w:p>
    <w:p w:rsidR="006C145C" w:rsidRDefault="00C62E5A">
      <w:pPr>
        <w:spacing w:after="0" w:line="270" w:lineRule="auto"/>
        <w:ind w:left="5" w:right="54" w:hanging="8"/>
        <w:jc w:val="both"/>
      </w:pPr>
      <w:r>
        <w:rPr>
          <w:rFonts w:ascii="Arial" w:eastAsia="Arial" w:hAnsi="Arial" w:cs="Arial"/>
          <w:sz w:val="20"/>
        </w:rPr>
        <w:t xml:space="preserve">Ref.: Pregão Eletrônico nº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119" w:hanging="8"/>
        <w:jc w:val="both"/>
      </w:pPr>
      <w:r>
        <w:rPr>
          <w:rFonts w:ascii="Arial" w:eastAsia="Arial" w:hAnsi="Arial" w:cs="Arial"/>
          <w:sz w:val="20"/>
        </w:rPr>
        <w:t>Atestamos que o (a) Sr. (ª)_______________________________________________, na qualidade de profissional indicado pela empresa_________________________________________________, CNPJ________________________________________, telefone (____)____________, comp</w:t>
      </w:r>
      <w:r>
        <w:rPr>
          <w:rFonts w:ascii="Arial" w:eastAsia="Arial" w:hAnsi="Arial" w:cs="Arial"/>
          <w:sz w:val="20"/>
        </w:rPr>
        <w:t xml:space="preserve">areceu no ___________________________________________ e efetuou visita aos locais dos postos onde serão prestados os serviços, conforme especificado em Edital.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ind w:right="58"/>
        <w:jc w:val="right"/>
      </w:pPr>
      <w:r>
        <w:rPr>
          <w:rFonts w:ascii="Arial" w:eastAsia="Arial" w:hAnsi="Arial" w:cs="Arial"/>
          <w:sz w:val="20"/>
        </w:rPr>
        <w:t xml:space="preserve"> </w:t>
      </w:r>
    </w:p>
    <w:p w:rsidR="006C145C" w:rsidRDefault="00C62E5A">
      <w:pPr>
        <w:spacing w:after="3"/>
        <w:ind w:left="10" w:right="105" w:hanging="10"/>
        <w:jc w:val="right"/>
      </w:pPr>
      <w:r>
        <w:rPr>
          <w:rFonts w:ascii="Arial" w:eastAsia="Arial" w:hAnsi="Arial" w:cs="Arial"/>
          <w:sz w:val="20"/>
        </w:rPr>
        <w:t xml:space="preserve">________________, _______ de__________________ de ______.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line="269" w:lineRule="auto"/>
        <w:ind w:left="-5" w:right="127" w:hanging="10"/>
        <w:jc w:val="both"/>
      </w:pPr>
      <w:r>
        <w:rPr>
          <w:rFonts w:ascii="Arial" w:eastAsia="Arial" w:hAnsi="Arial" w:cs="Arial"/>
          <w:color w:val="FF0000"/>
          <w:sz w:val="20"/>
        </w:rPr>
        <w:t>[Obs.: Caso a licitan</w:t>
      </w:r>
      <w:r>
        <w:rPr>
          <w:rFonts w:ascii="Arial" w:eastAsia="Arial" w:hAnsi="Arial" w:cs="Arial"/>
          <w:color w:val="FF0000"/>
          <w:sz w:val="20"/>
        </w:rPr>
        <w:t>te opte por não realizar a vistoria ao local, deverá declarar que assume total responsabilidade por este fato e que não utilizará deste para quaisquer questionamentos futuros que ensejam avenças técnicas ou financeiras com este órgão, conforme subitem … do</w:t>
      </w:r>
      <w:r>
        <w:rPr>
          <w:rFonts w:ascii="Arial" w:eastAsia="Arial" w:hAnsi="Arial" w:cs="Arial"/>
          <w:color w:val="FF0000"/>
          <w:sz w:val="20"/>
        </w:rPr>
        <w:t xml:space="preserve"> edital.]  </w:t>
      </w:r>
    </w:p>
    <w:p w:rsidR="006C145C" w:rsidRDefault="00C62E5A">
      <w:pPr>
        <w:spacing w:after="0"/>
      </w:pPr>
      <w:r>
        <w:rPr>
          <w:rFonts w:ascii="Arial" w:eastAsia="Arial" w:hAnsi="Arial" w:cs="Arial"/>
          <w:color w:val="FF0000"/>
          <w:sz w:val="20"/>
        </w:rPr>
        <w:t xml:space="preserve"> </w:t>
      </w:r>
    </w:p>
    <w:p w:rsidR="006C145C" w:rsidRDefault="00C62E5A">
      <w:pPr>
        <w:spacing w:after="0"/>
      </w:pPr>
      <w:r>
        <w:rPr>
          <w:rFonts w:ascii="Arial" w:eastAsia="Arial" w:hAnsi="Arial" w:cs="Arial"/>
          <w:color w:val="FF0000"/>
          <w:sz w:val="20"/>
        </w:rPr>
        <w:t xml:space="preserve"> </w:t>
      </w:r>
    </w:p>
    <w:p w:rsidR="006C145C" w:rsidRDefault="00C62E5A">
      <w:pPr>
        <w:spacing w:after="0"/>
      </w:pPr>
      <w:r>
        <w:rPr>
          <w:rFonts w:ascii="Arial" w:eastAsia="Arial" w:hAnsi="Arial" w:cs="Arial"/>
          <w:color w:val="FF0000"/>
          <w:sz w:val="20"/>
        </w:rPr>
        <w:t xml:space="preserve"> </w:t>
      </w:r>
    </w:p>
    <w:p w:rsidR="006C145C" w:rsidRDefault="00C62E5A">
      <w:pPr>
        <w:spacing w:after="0"/>
      </w:pPr>
      <w:r>
        <w:rPr>
          <w:rFonts w:ascii="Arial" w:eastAsia="Arial" w:hAnsi="Arial" w:cs="Arial"/>
          <w:color w:val="FF0000"/>
          <w:sz w:val="20"/>
        </w:rPr>
        <w:t xml:space="preserve"> </w:t>
      </w:r>
    </w:p>
    <w:p w:rsidR="006C145C" w:rsidRDefault="00C62E5A">
      <w:pPr>
        <w:spacing w:after="0"/>
      </w:pPr>
      <w:r>
        <w:rPr>
          <w:rFonts w:ascii="Arial" w:eastAsia="Arial" w:hAnsi="Arial" w:cs="Arial"/>
          <w:color w:val="FF0000"/>
          <w:sz w:val="20"/>
        </w:rPr>
        <w:t xml:space="preserve"> </w:t>
      </w:r>
    </w:p>
    <w:p w:rsidR="006C145C" w:rsidRDefault="00C62E5A">
      <w:pPr>
        <w:spacing w:after="0"/>
      </w:pPr>
      <w:r>
        <w:rPr>
          <w:rFonts w:ascii="Arial" w:eastAsia="Arial" w:hAnsi="Arial" w:cs="Arial"/>
          <w:color w:val="FF0000"/>
          <w:sz w:val="20"/>
        </w:rPr>
        <w:lastRenderedPageBreak/>
        <w:t xml:space="preserve"> </w:t>
      </w:r>
    </w:p>
    <w:p w:rsidR="006C145C" w:rsidRDefault="00C62E5A">
      <w:pPr>
        <w:spacing w:after="2" w:line="254" w:lineRule="auto"/>
        <w:ind w:left="311" w:right="419" w:hanging="10"/>
        <w:jc w:val="center"/>
      </w:pPr>
      <w:r>
        <w:rPr>
          <w:rFonts w:ascii="Arial" w:eastAsia="Arial" w:hAnsi="Arial" w:cs="Arial"/>
          <w:sz w:val="20"/>
        </w:rPr>
        <w:t xml:space="preserve">_____________________________________________ </w:t>
      </w:r>
    </w:p>
    <w:p w:rsidR="006C145C" w:rsidRDefault="00C62E5A">
      <w:pPr>
        <w:spacing w:after="2" w:line="254" w:lineRule="auto"/>
        <w:ind w:left="311" w:right="421" w:hanging="10"/>
        <w:jc w:val="center"/>
      </w:pPr>
      <w:r>
        <w:rPr>
          <w:rFonts w:ascii="Arial" w:eastAsia="Arial" w:hAnsi="Arial" w:cs="Arial"/>
          <w:sz w:val="20"/>
        </w:rPr>
        <w:t xml:space="preserve">Assinatura e matrícula do servidor responsável </w:t>
      </w:r>
    </w:p>
    <w:p w:rsidR="006C145C" w:rsidRDefault="00C62E5A">
      <w:pPr>
        <w:spacing w:after="0"/>
        <w:ind w:right="57"/>
        <w:jc w:val="center"/>
      </w:pPr>
      <w:r>
        <w:rPr>
          <w:rFonts w:ascii="Arial" w:eastAsia="Arial" w:hAnsi="Arial" w:cs="Arial"/>
          <w:sz w:val="20"/>
        </w:rPr>
        <w:t xml:space="preserve"> </w:t>
      </w:r>
    </w:p>
    <w:p w:rsidR="006C145C" w:rsidRDefault="00C62E5A">
      <w:pPr>
        <w:spacing w:after="0"/>
        <w:ind w:right="57"/>
        <w:jc w:val="center"/>
      </w:pPr>
      <w:r>
        <w:rPr>
          <w:rFonts w:ascii="Arial" w:eastAsia="Arial" w:hAnsi="Arial" w:cs="Arial"/>
          <w:sz w:val="20"/>
        </w:rPr>
        <w:t xml:space="preserve"> </w:t>
      </w:r>
    </w:p>
    <w:p w:rsidR="006C145C" w:rsidRDefault="00C62E5A">
      <w:pPr>
        <w:spacing w:after="0"/>
        <w:ind w:right="57"/>
        <w:jc w:val="center"/>
      </w:pPr>
      <w:r>
        <w:rPr>
          <w:rFonts w:ascii="Arial" w:eastAsia="Arial" w:hAnsi="Arial" w:cs="Arial"/>
          <w:sz w:val="20"/>
        </w:rPr>
        <w:t xml:space="preserve"> </w:t>
      </w:r>
    </w:p>
    <w:p w:rsidR="006C145C" w:rsidRDefault="00C62E5A">
      <w:pPr>
        <w:spacing w:after="0"/>
        <w:ind w:right="57"/>
        <w:jc w:val="center"/>
      </w:pPr>
      <w:r>
        <w:rPr>
          <w:rFonts w:ascii="Arial" w:eastAsia="Arial" w:hAnsi="Arial" w:cs="Arial"/>
          <w:sz w:val="20"/>
        </w:rPr>
        <w:t xml:space="preserve"> </w:t>
      </w:r>
    </w:p>
    <w:p w:rsidR="006C145C" w:rsidRDefault="00C62E5A">
      <w:pPr>
        <w:spacing w:after="0"/>
        <w:ind w:right="57"/>
        <w:jc w:val="center"/>
      </w:pPr>
      <w:r>
        <w:rPr>
          <w:rFonts w:ascii="Arial" w:eastAsia="Arial" w:hAnsi="Arial" w:cs="Arial"/>
          <w:sz w:val="20"/>
        </w:rPr>
        <w:t xml:space="preserve"> </w:t>
      </w:r>
    </w:p>
    <w:p w:rsidR="006C145C" w:rsidRDefault="00C62E5A">
      <w:pPr>
        <w:spacing w:after="0"/>
        <w:ind w:right="57"/>
        <w:jc w:val="center"/>
      </w:pPr>
      <w:r>
        <w:rPr>
          <w:rFonts w:ascii="Arial" w:eastAsia="Arial" w:hAnsi="Arial" w:cs="Arial"/>
          <w:sz w:val="20"/>
        </w:rPr>
        <w:t xml:space="preserve"> </w:t>
      </w:r>
    </w:p>
    <w:p w:rsidR="006C145C" w:rsidRDefault="00C62E5A">
      <w:pPr>
        <w:spacing w:after="2" w:line="254" w:lineRule="auto"/>
        <w:ind w:left="311" w:right="425" w:hanging="10"/>
        <w:jc w:val="center"/>
      </w:pPr>
      <w:r>
        <w:rPr>
          <w:rFonts w:ascii="Arial" w:eastAsia="Arial" w:hAnsi="Arial" w:cs="Arial"/>
          <w:sz w:val="20"/>
        </w:rPr>
        <w:t xml:space="preserve">______________________________________________ </w:t>
      </w:r>
    </w:p>
    <w:p w:rsidR="006C145C" w:rsidRDefault="00C62E5A">
      <w:pPr>
        <w:spacing w:after="2" w:line="254" w:lineRule="auto"/>
        <w:ind w:left="311" w:right="420" w:hanging="10"/>
        <w:jc w:val="center"/>
      </w:pPr>
      <w:r>
        <w:rPr>
          <w:rFonts w:ascii="Arial" w:eastAsia="Arial" w:hAnsi="Arial" w:cs="Arial"/>
          <w:sz w:val="20"/>
        </w:rPr>
        <w:t xml:space="preserve">Assinatura do profissional indicado pela Empresa </w:t>
      </w:r>
    </w:p>
    <w:p w:rsidR="006C145C" w:rsidRDefault="00C62E5A">
      <w:pPr>
        <w:spacing w:after="2" w:line="254" w:lineRule="auto"/>
        <w:ind w:left="311" w:right="417" w:hanging="10"/>
        <w:jc w:val="center"/>
      </w:pPr>
      <w:r>
        <w:rPr>
          <w:rFonts w:ascii="Arial" w:eastAsia="Arial" w:hAnsi="Arial" w:cs="Arial"/>
          <w:sz w:val="20"/>
        </w:rPr>
        <w:t>Assinatura e carimbo</w:t>
      </w:r>
      <w:r>
        <w:rPr>
          <w:rFonts w:ascii="Arial" w:eastAsia="Arial" w:hAnsi="Arial" w:cs="Arial"/>
          <w:color w:val="FF0000"/>
          <w:sz w:val="20"/>
        </w:rPr>
        <w:t xml:space="preserve"> </w:t>
      </w:r>
    </w:p>
    <w:p w:rsidR="006C145C" w:rsidRDefault="00C62E5A">
      <w:pPr>
        <w:spacing w:after="0"/>
        <w:ind w:right="57"/>
        <w:jc w:val="center"/>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r>
        <w:rPr>
          <w:rFonts w:ascii="Arial" w:eastAsia="Arial" w:hAnsi="Arial" w:cs="Arial"/>
          <w:sz w:val="20"/>
        </w:rPr>
        <w:tab/>
        <w:t xml:space="preserve"> </w:t>
      </w:r>
    </w:p>
    <w:p w:rsidR="006C145C" w:rsidRDefault="00C62E5A">
      <w:pPr>
        <w:pStyle w:val="Ttulo3"/>
        <w:spacing w:after="492"/>
        <w:ind w:left="10" w:right="49"/>
      </w:pPr>
      <w:r>
        <w:t xml:space="preserve">ANEXO VIII - Minuta do Termo de Cooperação Técnica com Instituição Financeira </w:t>
      </w:r>
    </w:p>
    <w:p w:rsidR="006C145C" w:rsidRDefault="00C62E5A">
      <w:pPr>
        <w:spacing w:after="139"/>
        <w:ind w:left="16"/>
        <w:jc w:val="center"/>
      </w:pPr>
      <w:r>
        <w:rPr>
          <w:rFonts w:ascii="Arial" w:eastAsia="Arial" w:hAnsi="Arial" w:cs="Arial"/>
          <w:b/>
          <w:sz w:val="20"/>
        </w:rPr>
        <w:t xml:space="preserve"> </w:t>
      </w:r>
    </w:p>
    <w:p w:rsidR="006C145C" w:rsidRDefault="00C62E5A">
      <w:pPr>
        <w:spacing w:after="0" w:line="270" w:lineRule="auto"/>
        <w:ind w:left="5" w:right="54" w:hanging="8"/>
        <w:jc w:val="both"/>
      </w:pPr>
      <w:r>
        <w:rPr>
          <w:rFonts w:ascii="Arial" w:eastAsia="Arial" w:hAnsi="Arial" w:cs="Arial"/>
          <w:sz w:val="20"/>
        </w:rPr>
        <w:t xml:space="preserve">TERMO DE COOPERAÇÃO TÉCNICA QUE, ENTRE SI, CELEBRAM A UNIÃO, POR INTERMÉDIO </w:t>
      </w:r>
    </w:p>
    <w:p w:rsidR="006C145C" w:rsidRDefault="00C62E5A">
      <w:pPr>
        <w:spacing w:after="0" w:line="270" w:lineRule="auto"/>
        <w:ind w:left="5" w:right="54" w:hanging="8"/>
        <w:jc w:val="both"/>
      </w:pPr>
      <w:r>
        <w:rPr>
          <w:rFonts w:ascii="Arial" w:eastAsia="Arial" w:hAnsi="Arial" w:cs="Arial"/>
          <w:sz w:val="20"/>
        </w:rPr>
        <w:t xml:space="preserve">DO _____________ (ÓRGÃO / ENTIDADE) E A INSTITUIÇÃO FINANCEIRA ________________________________, VISANDO A OPERACIONALIZAÇÃO DA RETENÇÃO DE PROVISÕES DE ENCARGOS TRABALHISTAS, PREVIDENCIÁRIOS E OUTROS A SEREM PAGOS, NOS TERMOS DA INSTRUÇÃO NORMATIVA XXXX, </w:t>
      </w:r>
      <w:r>
        <w:rPr>
          <w:rFonts w:ascii="Arial" w:eastAsia="Arial" w:hAnsi="Arial" w:cs="Arial"/>
          <w:sz w:val="20"/>
        </w:rPr>
        <w:t xml:space="preserve">E ALTERAÇÕES POSTERIORES.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sz w:val="20"/>
        </w:rPr>
        <w:t>A UNIÃO, por intermédio do__________, (informar o órgão) estabelecido(a) ____________, (endereço completo), inscrito(a) no CNPJ/MF sob o nº ____/___-</w:t>
      </w:r>
      <w:r>
        <w:rPr>
          <w:rFonts w:ascii="Arial" w:eastAsia="Arial" w:hAnsi="Arial" w:cs="Arial"/>
          <w:sz w:val="20"/>
        </w:rPr>
        <w:t>__, por meio da Coordenação ___________, consoante delegação de competência conferida pela Portaria nº _______, de __/__/____, (data) publicada no D.O.U. de __/__/____, (data) neste ato, representado(a) pelo(a) __________(cargo), Senhor(a) ___________, por</w:t>
      </w:r>
      <w:r>
        <w:rPr>
          <w:rFonts w:ascii="Arial" w:eastAsia="Arial" w:hAnsi="Arial" w:cs="Arial"/>
          <w:sz w:val="20"/>
        </w:rPr>
        <w:t xml:space="preserve">tador(a) da Carteira de Identidade nº ___________, expedida pela </w:t>
      </w:r>
    </w:p>
    <w:p w:rsidR="006C145C" w:rsidRDefault="00C62E5A">
      <w:pPr>
        <w:spacing w:after="0" w:line="270" w:lineRule="auto"/>
        <w:ind w:left="5" w:right="54" w:hanging="8"/>
        <w:jc w:val="both"/>
      </w:pPr>
      <w:r>
        <w:rPr>
          <w:rFonts w:ascii="Arial" w:eastAsia="Arial" w:hAnsi="Arial" w:cs="Arial"/>
          <w:sz w:val="20"/>
        </w:rPr>
        <w:t xml:space="preserve">_________, e inscrito no CPF sob nº ___________, nomeado(a) pela Portaria nº __________, de </w:t>
      </w:r>
    </w:p>
    <w:p w:rsidR="006C145C" w:rsidRDefault="00C62E5A">
      <w:pPr>
        <w:spacing w:after="0" w:line="270" w:lineRule="auto"/>
        <w:ind w:left="5" w:right="54" w:hanging="8"/>
        <w:jc w:val="both"/>
      </w:pPr>
      <w:r>
        <w:rPr>
          <w:rFonts w:ascii="Arial" w:eastAsia="Arial" w:hAnsi="Arial" w:cs="Arial"/>
          <w:sz w:val="20"/>
        </w:rPr>
        <w:t>__/__/____ (data), publicada no D.O.U. de __/__/____ (data), doravante denominado(a) ADMINISTRAÇÃ</w:t>
      </w:r>
      <w:r>
        <w:rPr>
          <w:rFonts w:ascii="Arial" w:eastAsia="Arial" w:hAnsi="Arial" w:cs="Arial"/>
          <w:sz w:val="20"/>
        </w:rPr>
        <w:t>O, e, de outro lado, a INSTITUIÇÃO FINANCEIRA,__________________, estabelecido(a) _______________, inscrito(a) no CNPJ/MF sob o nº ____________________, daqui por diante denominado(a) INSTITUIÇÃO FINANCEIRA, neste ato, representado(a) pelo seu ____________</w:t>
      </w:r>
      <w:r>
        <w:rPr>
          <w:rFonts w:ascii="Arial" w:eastAsia="Arial" w:hAnsi="Arial" w:cs="Arial"/>
          <w:sz w:val="20"/>
        </w:rPr>
        <w:t>___ (cargo), Senhor(a) _____________, portador(a) da Carteira de Identidade nº ___________, expedida pela __________, e inscrito no CPF sob nº ___________, têm justo e acordado o presente TERMO DE COOPERAÇÃO TÉCNICA, para o estabelecimento de critérios e p</w:t>
      </w:r>
      <w:r>
        <w:rPr>
          <w:rFonts w:ascii="Arial" w:eastAsia="Arial" w:hAnsi="Arial" w:cs="Arial"/>
          <w:sz w:val="20"/>
        </w:rPr>
        <w:t xml:space="preserve">rocedimentos para abertura automatizada de contas bancárias específicas destinadas a abrigar os recursos retidos de </w:t>
      </w:r>
      <w:r>
        <w:rPr>
          <w:rFonts w:ascii="Arial" w:eastAsia="Arial" w:hAnsi="Arial" w:cs="Arial"/>
          <w:sz w:val="20"/>
        </w:rPr>
        <w:lastRenderedPageBreak/>
        <w:t>rubricas constantes da planilha de custos e formação de preços de contratos firmados pelo órgão ou entidade ora mencionado, mediante as cond</w:t>
      </w:r>
      <w:r>
        <w:rPr>
          <w:rFonts w:ascii="Arial" w:eastAsia="Arial" w:hAnsi="Arial" w:cs="Arial"/>
          <w:sz w:val="20"/>
        </w:rPr>
        <w:t xml:space="preserve">ições previstas nas seguintes cláusulas: </w:t>
      </w:r>
    </w:p>
    <w:p w:rsidR="006C145C" w:rsidRDefault="00C62E5A">
      <w:pPr>
        <w:spacing w:after="0"/>
      </w:pPr>
      <w:r>
        <w:rPr>
          <w:rFonts w:ascii="Arial" w:eastAsia="Arial" w:hAnsi="Arial" w:cs="Arial"/>
          <w:sz w:val="20"/>
        </w:rPr>
        <w:t xml:space="preserve"> </w:t>
      </w:r>
    </w:p>
    <w:p w:rsidR="006C145C" w:rsidRDefault="00C62E5A">
      <w:pPr>
        <w:spacing w:after="0"/>
        <w:ind w:left="1"/>
        <w:jc w:val="center"/>
      </w:pPr>
      <w:r>
        <w:rPr>
          <w:rFonts w:ascii="Arial" w:eastAsia="Arial" w:hAnsi="Arial" w:cs="Arial"/>
          <w:b/>
          <w:sz w:val="20"/>
        </w:rPr>
        <w:t xml:space="preserve"> </w:t>
      </w:r>
    </w:p>
    <w:p w:rsidR="006C145C" w:rsidRDefault="00C62E5A">
      <w:pPr>
        <w:pStyle w:val="Ttulo3"/>
        <w:ind w:left="10" w:right="55"/>
      </w:pPr>
      <w:r>
        <w:t xml:space="preserve">CLÁUSULA PRIMEIRA DAS DEFINIÇÕES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sz w:val="20"/>
        </w:rPr>
        <w:t xml:space="preserve">Para efeito deste Termo de Cooperação Técnica entende-se por: </w:t>
      </w:r>
    </w:p>
    <w:p w:rsidR="006C145C" w:rsidRDefault="00C62E5A">
      <w:pPr>
        <w:spacing w:after="0"/>
      </w:pPr>
      <w:r>
        <w:rPr>
          <w:rFonts w:ascii="Arial" w:eastAsia="Arial" w:hAnsi="Arial" w:cs="Arial"/>
          <w:sz w:val="20"/>
        </w:rPr>
        <w:t xml:space="preserve"> </w:t>
      </w:r>
    </w:p>
    <w:p w:rsidR="006C145C" w:rsidRDefault="00C62E5A">
      <w:pPr>
        <w:numPr>
          <w:ilvl w:val="0"/>
          <w:numId w:val="53"/>
        </w:numPr>
        <w:spacing w:after="0" w:line="270" w:lineRule="auto"/>
        <w:ind w:right="54" w:hanging="221"/>
        <w:jc w:val="both"/>
      </w:pPr>
      <w:r>
        <w:rPr>
          <w:rFonts w:ascii="Arial" w:eastAsia="Arial" w:hAnsi="Arial" w:cs="Arial"/>
          <w:b/>
          <w:sz w:val="20"/>
        </w:rPr>
        <w:t>CLT</w:t>
      </w:r>
      <w:r>
        <w:rPr>
          <w:rFonts w:ascii="Arial" w:eastAsia="Arial" w:hAnsi="Arial" w:cs="Arial"/>
          <w:sz w:val="20"/>
        </w:rPr>
        <w:t xml:space="preserve"> - Consolidação das Leis do Trabalho </w:t>
      </w:r>
    </w:p>
    <w:p w:rsidR="006C145C" w:rsidRDefault="00C62E5A">
      <w:pPr>
        <w:spacing w:after="0"/>
      </w:pPr>
      <w:r>
        <w:rPr>
          <w:rFonts w:ascii="Arial" w:eastAsia="Arial" w:hAnsi="Arial" w:cs="Arial"/>
          <w:sz w:val="20"/>
        </w:rPr>
        <w:t xml:space="preserve"> </w:t>
      </w:r>
    </w:p>
    <w:p w:rsidR="006C145C" w:rsidRDefault="00C62E5A">
      <w:pPr>
        <w:numPr>
          <w:ilvl w:val="0"/>
          <w:numId w:val="53"/>
        </w:numPr>
        <w:spacing w:after="0" w:line="270" w:lineRule="auto"/>
        <w:ind w:right="54" w:hanging="221"/>
        <w:jc w:val="both"/>
      </w:pPr>
      <w:r>
        <w:rPr>
          <w:rFonts w:ascii="Arial" w:eastAsia="Arial" w:hAnsi="Arial" w:cs="Arial"/>
          <w:b/>
          <w:sz w:val="20"/>
        </w:rPr>
        <w:t>Prestador de Serviços</w:t>
      </w:r>
      <w:r>
        <w:rPr>
          <w:rFonts w:ascii="Arial" w:eastAsia="Arial" w:hAnsi="Arial" w:cs="Arial"/>
          <w:sz w:val="20"/>
        </w:rPr>
        <w:t xml:space="preserve"> - pessoa física ou jurídica que possui Con</w:t>
      </w:r>
      <w:r>
        <w:rPr>
          <w:rFonts w:ascii="Arial" w:eastAsia="Arial" w:hAnsi="Arial" w:cs="Arial"/>
          <w:sz w:val="20"/>
        </w:rPr>
        <w:t xml:space="preserve">trato firmado com a </w:t>
      </w:r>
      <w:r>
        <w:rPr>
          <w:rFonts w:ascii="Arial" w:eastAsia="Arial" w:hAnsi="Arial" w:cs="Arial"/>
          <w:b/>
          <w:sz w:val="20"/>
        </w:rPr>
        <w:t>ADMINISTRAÇÃO</w:t>
      </w: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numPr>
          <w:ilvl w:val="0"/>
          <w:numId w:val="53"/>
        </w:numPr>
        <w:spacing w:after="0" w:line="270" w:lineRule="auto"/>
        <w:ind w:right="54" w:hanging="221"/>
        <w:jc w:val="both"/>
      </w:pPr>
      <w:r>
        <w:rPr>
          <w:rFonts w:ascii="Arial" w:eastAsia="Arial" w:hAnsi="Arial" w:cs="Arial"/>
          <w:b/>
          <w:sz w:val="20"/>
        </w:rPr>
        <w:t>Rubricas</w:t>
      </w:r>
      <w:r>
        <w:rPr>
          <w:rFonts w:ascii="Arial" w:eastAsia="Arial" w:hAnsi="Arial" w:cs="Arial"/>
          <w:sz w:val="20"/>
        </w:rPr>
        <w:t xml:space="preserve"> - itens que compõem a planilha de custos e de formação de preços de contratos firmados pela </w:t>
      </w:r>
      <w:r>
        <w:rPr>
          <w:rFonts w:ascii="Arial" w:eastAsia="Arial" w:hAnsi="Arial" w:cs="Arial"/>
          <w:b/>
          <w:sz w:val="20"/>
        </w:rPr>
        <w:t>ADMINISTRAÇÃO</w:t>
      </w: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numPr>
          <w:ilvl w:val="0"/>
          <w:numId w:val="53"/>
        </w:numPr>
        <w:spacing w:after="0" w:line="270" w:lineRule="auto"/>
        <w:ind w:right="54" w:hanging="221"/>
        <w:jc w:val="both"/>
      </w:pPr>
      <w:r>
        <w:rPr>
          <w:rFonts w:ascii="Arial" w:eastAsia="Arial" w:hAnsi="Arial" w:cs="Arial"/>
          <w:b/>
          <w:sz w:val="20"/>
        </w:rPr>
        <w:t>Conta-Depósito Vinculada</w:t>
      </w:r>
      <w:r>
        <w:rPr>
          <w:rFonts w:ascii="Arial" w:eastAsia="Arial" w:hAnsi="Arial" w:cs="Arial"/>
          <w:sz w:val="20"/>
        </w:rPr>
        <w:t xml:space="preserve"> ― </w:t>
      </w:r>
      <w:r>
        <w:rPr>
          <w:rFonts w:ascii="Arial" w:eastAsia="Arial" w:hAnsi="Arial" w:cs="Arial"/>
          <w:b/>
          <w:sz w:val="20"/>
        </w:rPr>
        <w:t>bloqueada para movimentação</w:t>
      </w:r>
      <w:r>
        <w:rPr>
          <w:rFonts w:ascii="Arial" w:eastAsia="Arial" w:hAnsi="Arial" w:cs="Arial"/>
          <w:sz w:val="20"/>
        </w:rPr>
        <w:t xml:space="preserve"> - cadastro em nome do Prestador dos Serviços</w:t>
      </w:r>
      <w:r>
        <w:rPr>
          <w:rFonts w:ascii="Arial" w:eastAsia="Arial" w:hAnsi="Arial" w:cs="Arial"/>
          <w:sz w:val="20"/>
        </w:rPr>
        <w:t xml:space="preserve"> de cada contrato firmado pela </w:t>
      </w:r>
      <w:r>
        <w:rPr>
          <w:rFonts w:ascii="Arial" w:eastAsia="Arial" w:hAnsi="Arial" w:cs="Arial"/>
          <w:b/>
          <w:sz w:val="20"/>
        </w:rPr>
        <w:t>ADMINISTRAÇÃO</w:t>
      </w:r>
      <w:r>
        <w:rPr>
          <w:rFonts w:ascii="Arial" w:eastAsia="Arial" w:hAnsi="Arial" w:cs="Arial"/>
          <w:sz w:val="20"/>
        </w:rPr>
        <w:t xml:space="preserve">, a ser utilizada exclusivamente para crédito das rubricas retidas. </w:t>
      </w:r>
    </w:p>
    <w:p w:rsidR="006C145C" w:rsidRDefault="00C62E5A">
      <w:pPr>
        <w:spacing w:after="0"/>
      </w:pPr>
      <w:r>
        <w:rPr>
          <w:rFonts w:ascii="Arial" w:eastAsia="Arial" w:hAnsi="Arial" w:cs="Arial"/>
          <w:sz w:val="20"/>
        </w:rPr>
        <w:t xml:space="preserve"> </w:t>
      </w:r>
    </w:p>
    <w:p w:rsidR="006C145C" w:rsidRDefault="00C62E5A">
      <w:pPr>
        <w:numPr>
          <w:ilvl w:val="0"/>
          <w:numId w:val="53"/>
        </w:numPr>
        <w:spacing w:after="0" w:line="270" w:lineRule="auto"/>
        <w:ind w:right="54" w:hanging="221"/>
        <w:jc w:val="both"/>
      </w:pPr>
      <w:r>
        <w:rPr>
          <w:rFonts w:ascii="Arial" w:eastAsia="Arial" w:hAnsi="Arial" w:cs="Arial"/>
          <w:b/>
          <w:sz w:val="20"/>
        </w:rPr>
        <w:t>. Usuário(s)</w:t>
      </w:r>
      <w:r>
        <w:rPr>
          <w:rFonts w:ascii="Arial" w:eastAsia="Arial" w:hAnsi="Arial" w:cs="Arial"/>
          <w:sz w:val="20"/>
        </w:rPr>
        <w:t xml:space="preserve"> - servidor(es) da </w:t>
      </w:r>
      <w:r>
        <w:rPr>
          <w:rFonts w:ascii="Arial" w:eastAsia="Arial" w:hAnsi="Arial" w:cs="Arial"/>
          <w:b/>
          <w:sz w:val="20"/>
        </w:rPr>
        <w:t>ADMINISTRAÇÃO</w:t>
      </w:r>
      <w:r>
        <w:rPr>
          <w:rFonts w:ascii="Arial" w:eastAsia="Arial" w:hAnsi="Arial" w:cs="Arial"/>
          <w:sz w:val="20"/>
        </w:rPr>
        <w:t xml:space="preserve"> e por ela formalmente indicado(s), com conhecimento das chaves e senhas para acesso aos aplicati</w:t>
      </w:r>
      <w:r>
        <w:rPr>
          <w:rFonts w:ascii="Arial" w:eastAsia="Arial" w:hAnsi="Arial" w:cs="Arial"/>
          <w:sz w:val="20"/>
        </w:rPr>
        <w:t xml:space="preserve">vos instalados nos sistemas de autoatendimento da </w:t>
      </w:r>
      <w:r>
        <w:rPr>
          <w:rFonts w:ascii="Arial" w:eastAsia="Arial" w:hAnsi="Arial" w:cs="Arial"/>
          <w:b/>
          <w:sz w:val="20"/>
        </w:rPr>
        <w:t>INSTITUIÇÃO FINANCEIRA</w:t>
      </w: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numPr>
          <w:ilvl w:val="0"/>
          <w:numId w:val="53"/>
        </w:numPr>
        <w:spacing w:after="0" w:line="270" w:lineRule="auto"/>
        <w:ind w:right="54" w:hanging="221"/>
        <w:jc w:val="both"/>
      </w:pPr>
      <w:r>
        <w:rPr>
          <w:rFonts w:ascii="Arial" w:eastAsia="Arial" w:hAnsi="Arial" w:cs="Arial"/>
          <w:b/>
          <w:sz w:val="20"/>
        </w:rPr>
        <w:t>Partícipes</w:t>
      </w:r>
      <w:r>
        <w:rPr>
          <w:rFonts w:ascii="Arial" w:eastAsia="Arial" w:hAnsi="Arial" w:cs="Arial"/>
          <w:sz w:val="20"/>
        </w:rPr>
        <w:t xml:space="preserve"> - referência ao órgão da Administração Pública Federal e à Instituição Financeira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pStyle w:val="Ttulo3"/>
        <w:ind w:left="10" w:right="53"/>
      </w:pPr>
      <w:r>
        <w:t xml:space="preserve">CLÁUSULA SEGUNDA DO OBJETO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sz w:val="20"/>
        </w:rPr>
        <w:t xml:space="preserve">O presente instrumento tem por objetivo regulamentar o estabelecimento, pela </w:t>
      </w:r>
      <w:r>
        <w:rPr>
          <w:rFonts w:ascii="Arial" w:eastAsia="Arial" w:hAnsi="Arial" w:cs="Arial"/>
          <w:b/>
          <w:sz w:val="20"/>
        </w:rPr>
        <w:t>INSTITUIÇÃO FINANCEIRA</w:t>
      </w:r>
      <w:r>
        <w:rPr>
          <w:rFonts w:ascii="Arial" w:eastAsia="Arial" w:hAnsi="Arial" w:cs="Arial"/>
          <w:sz w:val="20"/>
        </w:rPr>
        <w:t xml:space="preserve">, dos critérios para abertura de </w:t>
      </w:r>
      <w:r>
        <w:rPr>
          <w:rFonts w:ascii="Arial" w:eastAsia="Arial" w:hAnsi="Arial" w:cs="Arial"/>
          <w:b/>
          <w:sz w:val="20"/>
        </w:rPr>
        <w:t>contas-depósitos</w:t>
      </w:r>
      <w:r>
        <w:rPr>
          <w:rFonts w:ascii="Arial" w:eastAsia="Arial" w:hAnsi="Arial" w:cs="Arial"/>
          <w:sz w:val="20"/>
        </w:rPr>
        <w:t xml:space="preserve"> específicas destinadas a abrigar os recursos retidos de rubricas constantes da planilha de custos e formaçã</w:t>
      </w:r>
      <w:r>
        <w:rPr>
          <w:rFonts w:ascii="Arial" w:eastAsia="Arial" w:hAnsi="Arial" w:cs="Arial"/>
          <w:sz w:val="20"/>
        </w:rPr>
        <w:t xml:space="preserve">o de preços dos contratos firmados pela </w:t>
      </w:r>
      <w:r>
        <w:rPr>
          <w:rFonts w:ascii="Arial" w:eastAsia="Arial" w:hAnsi="Arial" w:cs="Arial"/>
          <w:b/>
          <w:sz w:val="20"/>
        </w:rPr>
        <w:t>ADMINISTRAÇÃO</w:t>
      </w:r>
      <w:r>
        <w:rPr>
          <w:rFonts w:ascii="Arial" w:eastAsia="Arial" w:hAnsi="Arial" w:cs="Arial"/>
          <w:sz w:val="20"/>
        </w:rPr>
        <w:t xml:space="preserve">, bem como viabilizar o acesso da </w:t>
      </w:r>
      <w:r>
        <w:rPr>
          <w:rFonts w:ascii="Arial" w:eastAsia="Arial" w:hAnsi="Arial" w:cs="Arial"/>
          <w:b/>
          <w:sz w:val="20"/>
        </w:rPr>
        <w:t>ADMINISTRAÇÃO</w:t>
      </w:r>
      <w:r>
        <w:rPr>
          <w:rFonts w:ascii="Arial" w:eastAsia="Arial" w:hAnsi="Arial" w:cs="Arial"/>
          <w:sz w:val="20"/>
        </w:rPr>
        <w:t xml:space="preserve"> aos saldos e extratos das contas abertas. </w:t>
      </w:r>
    </w:p>
    <w:p w:rsidR="006C145C" w:rsidRDefault="00C62E5A">
      <w:pPr>
        <w:spacing w:after="0"/>
      </w:pPr>
      <w:r>
        <w:rPr>
          <w:rFonts w:ascii="Arial" w:eastAsia="Arial" w:hAnsi="Arial" w:cs="Arial"/>
          <w:sz w:val="20"/>
        </w:rPr>
        <w:t xml:space="preserve"> </w:t>
      </w:r>
    </w:p>
    <w:p w:rsidR="006C145C" w:rsidRDefault="00C62E5A">
      <w:pPr>
        <w:numPr>
          <w:ilvl w:val="0"/>
          <w:numId w:val="54"/>
        </w:numPr>
        <w:spacing w:after="0" w:line="249" w:lineRule="auto"/>
        <w:ind w:right="54" w:hanging="10"/>
        <w:jc w:val="both"/>
      </w:pPr>
      <w:r>
        <w:rPr>
          <w:rFonts w:ascii="Arial" w:eastAsia="Arial" w:hAnsi="Arial" w:cs="Arial"/>
          <w:sz w:val="20"/>
        </w:rPr>
        <w:t xml:space="preserve">Para cada </w:t>
      </w:r>
      <w:r>
        <w:rPr>
          <w:rFonts w:ascii="Arial" w:eastAsia="Arial" w:hAnsi="Arial" w:cs="Arial"/>
          <w:b/>
          <w:sz w:val="20"/>
        </w:rPr>
        <w:t>Contrato</w:t>
      </w:r>
      <w:r>
        <w:rPr>
          <w:rFonts w:ascii="Arial" w:eastAsia="Arial" w:hAnsi="Arial" w:cs="Arial"/>
          <w:sz w:val="20"/>
        </w:rPr>
        <w:t xml:space="preserve"> será aberta uma </w:t>
      </w:r>
      <w:r>
        <w:rPr>
          <w:rFonts w:ascii="Arial" w:eastAsia="Arial" w:hAnsi="Arial" w:cs="Arial"/>
          <w:b/>
          <w:sz w:val="20"/>
        </w:rPr>
        <w:t>Conta-Depósito Vinculada ― bloqueada para movimentação</w:t>
      </w:r>
      <w:r>
        <w:rPr>
          <w:rFonts w:ascii="Arial" w:eastAsia="Arial" w:hAnsi="Arial" w:cs="Arial"/>
          <w:sz w:val="20"/>
        </w:rPr>
        <w:t xml:space="preserve"> em nome do </w:t>
      </w:r>
      <w:r>
        <w:rPr>
          <w:rFonts w:ascii="Arial" w:eastAsia="Arial" w:hAnsi="Arial" w:cs="Arial"/>
          <w:b/>
          <w:sz w:val="20"/>
        </w:rPr>
        <w:t>Prestador</w:t>
      </w:r>
      <w:r>
        <w:rPr>
          <w:rFonts w:ascii="Arial" w:eastAsia="Arial" w:hAnsi="Arial" w:cs="Arial"/>
          <w:b/>
          <w:sz w:val="20"/>
        </w:rPr>
        <w:t xml:space="preserve"> de Serviços do Contrato</w:t>
      </w: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numPr>
          <w:ilvl w:val="0"/>
          <w:numId w:val="54"/>
        </w:numPr>
        <w:spacing w:after="0" w:line="270" w:lineRule="auto"/>
        <w:ind w:right="54" w:hanging="10"/>
        <w:jc w:val="both"/>
      </w:pPr>
      <w:r>
        <w:rPr>
          <w:rFonts w:ascii="Arial" w:eastAsia="Arial" w:hAnsi="Arial" w:cs="Arial"/>
          <w:sz w:val="20"/>
        </w:rPr>
        <w:t xml:space="preserve">. A conta será exclusivamente aberta para recebimento de depósitos dos recursos retidos de rubricas constantes da planilha de custos e de formação de preços dos contratos firmados pela </w:t>
      </w:r>
      <w:r>
        <w:rPr>
          <w:rFonts w:ascii="Arial" w:eastAsia="Arial" w:hAnsi="Arial" w:cs="Arial"/>
          <w:b/>
          <w:sz w:val="20"/>
        </w:rPr>
        <w:t>ADMINISTRAÇÃO</w:t>
      </w:r>
      <w:r>
        <w:rPr>
          <w:rFonts w:ascii="Arial" w:eastAsia="Arial" w:hAnsi="Arial" w:cs="Arial"/>
          <w:sz w:val="20"/>
        </w:rPr>
        <w:t xml:space="preserve">, pagos ao </w:t>
      </w:r>
      <w:r>
        <w:rPr>
          <w:rFonts w:ascii="Arial" w:eastAsia="Arial" w:hAnsi="Arial" w:cs="Arial"/>
          <w:b/>
          <w:sz w:val="20"/>
        </w:rPr>
        <w:t>Prestador de Servi</w:t>
      </w:r>
      <w:r>
        <w:rPr>
          <w:rFonts w:ascii="Arial" w:eastAsia="Arial" w:hAnsi="Arial" w:cs="Arial"/>
          <w:b/>
          <w:sz w:val="20"/>
        </w:rPr>
        <w:t>ços</w:t>
      </w:r>
      <w:r>
        <w:rPr>
          <w:rFonts w:ascii="Arial" w:eastAsia="Arial" w:hAnsi="Arial" w:cs="Arial"/>
          <w:sz w:val="20"/>
        </w:rPr>
        <w:t xml:space="preserve"> dos Contratos e será denominada </w:t>
      </w:r>
      <w:r>
        <w:rPr>
          <w:rFonts w:ascii="Arial" w:eastAsia="Arial" w:hAnsi="Arial" w:cs="Arial"/>
          <w:b/>
          <w:sz w:val="20"/>
        </w:rPr>
        <w:t>ContaDepósito Vinculada</w:t>
      </w:r>
      <w:r>
        <w:rPr>
          <w:rFonts w:ascii="Arial" w:eastAsia="Arial" w:hAnsi="Arial" w:cs="Arial"/>
          <w:sz w:val="20"/>
        </w:rPr>
        <w:t xml:space="preserve"> ― </w:t>
      </w:r>
      <w:r>
        <w:rPr>
          <w:rFonts w:ascii="Arial" w:eastAsia="Arial" w:hAnsi="Arial" w:cs="Arial"/>
          <w:b/>
          <w:sz w:val="20"/>
        </w:rPr>
        <w:t>bloqueada para movimentação</w:t>
      </w: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numPr>
          <w:ilvl w:val="0"/>
          <w:numId w:val="54"/>
        </w:numPr>
        <w:spacing w:after="0" w:line="270" w:lineRule="auto"/>
        <w:ind w:right="54" w:hanging="10"/>
        <w:jc w:val="both"/>
      </w:pPr>
      <w:r>
        <w:rPr>
          <w:rFonts w:ascii="Arial" w:eastAsia="Arial" w:hAnsi="Arial" w:cs="Arial"/>
          <w:sz w:val="20"/>
        </w:rPr>
        <w:t xml:space="preserve">A movimentação dos recursos na </w:t>
      </w:r>
      <w:r>
        <w:rPr>
          <w:rFonts w:ascii="Arial" w:eastAsia="Arial" w:hAnsi="Arial" w:cs="Arial"/>
          <w:b/>
          <w:sz w:val="20"/>
        </w:rPr>
        <w:t>Conta-Depósito Vinculada ― bloqueada para movimentação</w:t>
      </w:r>
      <w:r>
        <w:rPr>
          <w:rFonts w:ascii="Arial" w:eastAsia="Arial" w:hAnsi="Arial" w:cs="Arial"/>
          <w:sz w:val="20"/>
        </w:rPr>
        <w:t xml:space="preserve"> será providenciada exclusivamente à ordem da </w:t>
      </w:r>
      <w:r>
        <w:rPr>
          <w:rFonts w:ascii="Arial" w:eastAsia="Arial" w:hAnsi="Arial" w:cs="Arial"/>
          <w:b/>
          <w:sz w:val="20"/>
        </w:rPr>
        <w:t>ADMINISTRAÇÃO</w:t>
      </w:r>
      <w:r>
        <w:rPr>
          <w:rFonts w:ascii="Arial" w:eastAsia="Arial" w:hAnsi="Arial" w:cs="Arial"/>
          <w:sz w:val="20"/>
        </w:rPr>
        <w:t xml:space="preserve">. </w:t>
      </w:r>
    </w:p>
    <w:p w:rsidR="006C145C" w:rsidRDefault="00C62E5A">
      <w:pPr>
        <w:spacing w:after="0"/>
        <w:jc w:val="center"/>
      </w:pPr>
      <w:r>
        <w:rPr>
          <w:rFonts w:ascii="Arial" w:eastAsia="Arial" w:hAnsi="Arial" w:cs="Arial"/>
          <w:sz w:val="20"/>
        </w:rPr>
        <w:t xml:space="preserve"> </w:t>
      </w:r>
    </w:p>
    <w:p w:rsidR="006C145C" w:rsidRDefault="00C62E5A">
      <w:pPr>
        <w:pStyle w:val="Ttulo3"/>
        <w:ind w:left="10" w:right="57"/>
      </w:pPr>
      <w:r>
        <w:t>CLÁUSULA TERC</w:t>
      </w:r>
      <w:r>
        <w:t xml:space="preserve">EIRA DO FLUXO OPERACIONAL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sz w:val="20"/>
        </w:rPr>
        <w:t xml:space="preserve">O cadastramento, captação e movimentação dos recursos dar-se-ão conforme o fluxo operacional a seguir:  </w:t>
      </w:r>
    </w:p>
    <w:p w:rsidR="006C145C" w:rsidRDefault="00C62E5A">
      <w:pPr>
        <w:spacing w:after="0"/>
      </w:pPr>
      <w:r>
        <w:rPr>
          <w:rFonts w:ascii="Arial" w:eastAsia="Arial" w:hAnsi="Arial" w:cs="Arial"/>
          <w:sz w:val="20"/>
        </w:rPr>
        <w:lastRenderedPageBreak/>
        <w:t xml:space="preserve"> </w:t>
      </w:r>
    </w:p>
    <w:p w:rsidR="006C145C" w:rsidRDefault="00C62E5A">
      <w:pPr>
        <w:numPr>
          <w:ilvl w:val="0"/>
          <w:numId w:val="55"/>
        </w:numPr>
        <w:spacing w:after="0" w:line="270" w:lineRule="auto"/>
        <w:ind w:right="54" w:hanging="221"/>
        <w:jc w:val="both"/>
      </w:pPr>
      <w:r>
        <w:rPr>
          <w:rFonts w:ascii="Arial" w:eastAsia="Arial" w:hAnsi="Arial" w:cs="Arial"/>
          <w:sz w:val="20"/>
        </w:rPr>
        <w:t xml:space="preserve">A </w:t>
      </w:r>
      <w:r>
        <w:rPr>
          <w:rFonts w:ascii="Arial" w:eastAsia="Arial" w:hAnsi="Arial" w:cs="Arial"/>
          <w:b/>
          <w:sz w:val="20"/>
        </w:rPr>
        <w:t>ADMINISTRAÇÃO</w:t>
      </w:r>
      <w:r>
        <w:rPr>
          <w:rFonts w:ascii="Arial" w:eastAsia="Arial" w:hAnsi="Arial" w:cs="Arial"/>
          <w:sz w:val="20"/>
        </w:rPr>
        <w:t xml:space="preserve"> firma o Contrato com o Prestador dos Serviços.  </w:t>
      </w:r>
    </w:p>
    <w:p w:rsidR="006C145C" w:rsidRDefault="00C62E5A">
      <w:pPr>
        <w:spacing w:after="0"/>
      </w:pPr>
      <w:r>
        <w:rPr>
          <w:rFonts w:ascii="Arial" w:eastAsia="Arial" w:hAnsi="Arial" w:cs="Arial"/>
          <w:sz w:val="20"/>
        </w:rPr>
        <w:t xml:space="preserve"> </w:t>
      </w:r>
    </w:p>
    <w:p w:rsidR="006C145C" w:rsidRDefault="00C62E5A">
      <w:pPr>
        <w:numPr>
          <w:ilvl w:val="0"/>
          <w:numId w:val="55"/>
        </w:numPr>
        <w:spacing w:after="0" w:line="270" w:lineRule="auto"/>
        <w:ind w:right="54" w:hanging="221"/>
        <w:jc w:val="both"/>
      </w:pPr>
      <w:r>
        <w:rPr>
          <w:rFonts w:ascii="Arial" w:eastAsia="Arial" w:hAnsi="Arial" w:cs="Arial"/>
          <w:sz w:val="20"/>
        </w:rPr>
        <w:t xml:space="preserve">A </w:t>
      </w:r>
      <w:r>
        <w:rPr>
          <w:rFonts w:ascii="Arial" w:eastAsia="Arial" w:hAnsi="Arial" w:cs="Arial"/>
          <w:b/>
          <w:sz w:val="20"/>
        </w:rPr>
        <w:t>ADMINISTRAÇÃO</w:t>
      </w:r>
      <w:r>
        <w:rPr>
          <w:rFonts w:ascii="Arial" w:eastAsia="Arial" w:hAnsi="Arial" w:cs="Arial"/>
          <w:sz w:val="20"/>
        </w:rPr>
        <w:t xml:space="preserve"> envia à </w:t>
      </w:r>
      <w:r>
        <w:rPr>
          <w:rFonts w:ascii="Arial" w:eastAsia="Arial" w:hAnsi="Arial" w:cs="Arial"/>
          <w:b/>
          <w:sz w:val="20"/>
        </w:rPr>
        <w:t>INSTITUIÇÃO FINANCEIRA</w:t>
      </w:r>
      <w:r>
        <w:rPr>
          <w:rFonts w:ascii="Arial" w:eastAsia="Arial" w:hAnsi="Arial" w:cs="Arial"/>
          <w:sz w:val="20"/>
        </w:rPr>
        <w:t xml:space="preserve"> </w:t>
      </w:r>
      <w:r>
        <w:rPr>
          <w:rFonts w:ascii="Arial" w:eastAsia="Arial" w:hAnsi="Arial" w:cs="Arial"/>
          <w:sz w:val="20"/>
        </w:rPr>
        <w:t xml:space="preserve">arquivo em meio magnético, em modelo específico previamente acordado entre a </w:t>
      </w:r>
      <w:r>
        <w:rPr>
          <w:rFonts w:ascii="Arial" w:eastAsia="Arial" w:hAnsi="Arial" w:cs="Arial"/>
          <w:b/>
          <w:sz w:val="20"/>
        </w:rPr>
        <w:t>ADMINISTRAÇÃO</w:t>
      </w:r>
      <w:r>
        <w:rPr>
          <w:rFonts w:ascii="Arial" w:eastAsia="Arial" w:hAnsi="Arial" w:cs="Arial"/>
          <w:sz w:val="20"/>
        </w:rPr>
        <w:t xml:space="preserve"> e a </w:t>
      </w:r>
      <w:r>
        <w:rPr>
          <w:rFonts w:ascii="Arial" w:eastAsia="Arial" w:hAnsi="Arial" w:cs="Arial"/>
          <w:b/>
          <w:sz w:val="20"/>
        </w:rPr>
        <w:t>INSTITUIÇÃO FINANCEIRA</w:t>
      </w:r>
      <w:r>
        <w:rPr>
          <w:rFonts w:ascii="Arial" w:eastAsia="Arial" w:hAnsi="Arial" w:cs="Arial"/>
          <w:sz w:val="20"/>
        </w:rPr>
        <w:t xml:space="preserve">, para abertura de Conta-Depósito Vinculada ― bloqueada para movimentação - em nome do Prestador de Serviços que tiver contrato firmado ou </w:t>
      </w:r>
      <w:r>
        <w:rPr>
          <w:rFonts w:ascii="Arial" w:eastAsia="Arial" w:hAnsi="Arial" w:cs="Arial"/>
          <w:sz w:val="20"/>
        </w:rPr>
        <w:t xml:space="preserve">envia Ofício à </w:t>
      </w:r>
      <w:r>
        <w:rPr>
          <w:rFonts w:ascii="Arial" w:eastAsia="Arial" w:hAnsi="Arial" w:cs="Arial"/>
          <w:b/>
          <w:sz w:val="20"/>
        </w:rPr>
        <w:t>INSTITUIÇÃO FINANCEIRA</w:t>
      </w:r>
      <w:r>
        <w:rPr>
          <w:rFonts w:ascii="Arial" w:eastAsia="Arial" w:hAnsi="Arial" w:cs="Arial"/>
          <w:sz w:val="20"/>
        </w:rPr>
        <w:t xml:space="preserve">, solicitando a abertura de Conta-Depósito Vinculada ― bloqueada para movimentação em nome do Prestador de Serviços.  </w:t>
      </w:r>
    </w:p>
    <w:p w:rsidR="006C145C" w:rsidRDefault="00C62E5A">
      <w:pPr>
        <w:spacing w:after="0"/>
      </w:pPr>
      <w:r>
        <w:rPr>
          <w:rFonts w:ascii="Arial" w:eastAsia="Arial" w:hAnsi="Arial" w:cs="Arial"/>
          <w:sz w:val="20"/>
        </w:rPr>
        <w:t xml:space="preserve"> </w:t>
      </w:r>
    </w:p>
    <w:p w:rsidR="006C145C" w:rsidRDefault="00C62E5A">
      <w:pPr>
        <w:numPr>
          <w:ilvl w:val="0"/>
          <w:numId w:val="55"/>
        </w:numPr>
        <w:spacing w:after="0" w:line="270" w:lineRule="auto"/>
        <w:ind w:right="54" w:hanging="221"/>
        <w:jc w:val="both"/>
      </w:pPr>
      <w:r>
        <w:rPr>
          <w:rFonts w:ascii="Arial" w:eastAsia="Arial" w:hAnsi="Arial" w:cs="Arial"/>
          <w:sz w:val="20"/>
        </w:rPr>
        <w:t xml:space="preserve">A </w:t>
      </w:r>
      <w:r>
        <w:rPr>
          <w:rFonts w:ascii="Arial" w:eastAsia="Arial" w:hAnsi="Arial" w:cs="Arial"/>
          <w:b/>
          <w:sz w:val="20"/>
        </w:rPr>
        <w:t xml:space="preserve">INSTITUIÇÃO FINANCEIRA </w:t>
      </w:r>
      <w:r>
        <w:rPr>
          <w:rFonts w:ascii="Arial" w:eastAsia="Arial" w:hAnsi="Arial" w:cs="Arial"/>
          <w:sz w:val="20"/>
        </w:rPr>
        <w:t xml:space="preserve">recebe arquivo transmitido pela </w:t>
      </w:r>
      <w:r>
        <w:rPr>
          <w:rFonts w:ascii="Arial" w:eastAsia="Arial" w:hAnsi="Arial" w:cs="Arial"/>
          <w:b/>
          <w:sz w:val="20"/>
        </w:rPr>
        <w:t>ADMINISTRAÇÃO</w:t>
      </w:r>
      <w:r>
        <w:rPr>
          <w:rFonts w:ascii="Arial" w:eastAsia="Arial" w:hAnsi="Arial" w:cs="Arial"/>
          <w:sz w:val="20"/>
        </w:rPr>
        <w:t xml:space="preserve"> e abre ContaDepósito Vincul</w:t>
      </w:r>
      <w:r>
        <w:rPr>
          <w:rFonts w:ascii="Arial" w:eastAsia="Arial" w:hAnsi="Arial" w:cs="Arial"/>
          <w:sz w:val="20"/>
        </w:rPr>
        <w:t xml:space="preserve">ada ― bloqueada para movimentação, em nome do Prestador dos Serviços para todos os registros dos arquivos válidos, nas agências da </w:t>
      </w:r>
      <w:r>
        <w:rPr>
          <w:rFonts w:ascii="Arial" w:eastAsia="Arial" w:hAnsi="Arial" w:cs="Arial"/>
          <w:b/>
          <w:sz w:val="20"/>
        </w:rPr>
        <w:t>INSTITUIÇÃO FINANCEIRA</w:t>
      </w:r>
      <w:r>
        <w:rPr>
          <w:rFonts w:ascii="Arial" w:eastAsia="Arial" w:hAnsi="Arial" w:cs="Arial"/>
          <w:sz w:val="20"/>
        </w:rPr>
        <w:t xml:space="preserve"> no território nacional ou a </w:t>
      </w:r>
      <w:r>
        <w:rPr>
          <w:rFonts w:ascii="Arial" w:eastAsia="Arial" w:hAnsi="Arial" w:cs="Arial"/>
          <w:b/>
          <w:sz w:val="20"/>
        </w:rPr>
        <w:t>INSTITUIÇÃO FINANCEIRA</w:t>
      </w:r>
      <w:r>
        <w:rPr>
          <w:rFonts w:ascii="Arial" w:eastAsia="Arial" w:hAnsi="Arial" w:cs="Arial"/>
          <w:sz w:val="20"/>
        </w:rPr>
        <w:t xml:space="preserve"> recebe Ofício da </w:t>
      </w:r>
      <w:r>
        <w:rPr>
          <w:rFonts w:ascii="Arial" w:eastAsia="Arial" w:hAnsi="Arial" w:cs="Arial"/>
          <w:b/>
          <w:sz w:val="20"/>
        </w:rPr>
        <w:t>ADMINISTRAÇÃO</w:t>
      </w:r>
      <w:r>
        <w:rPr>
          <w:rFonts w:ascii="Arial" w:eastAsia="Arial" w:hAnsi="Arial" w:cs="Arial"/>
          <w:sz w:val="20"/>
        </w:rPr>
        <w:t xml:space="preserve"> </w:t>
      </w:r>
      <w:r>
        <w:rPr>
          <w:rFonts w:ascii="Arial" w:eastAsia="Arial" w:hAnsi="Arial" w:cs="Arial"/>
          <w:sz w:val="20"/>
        </w:rPr>
        <w:t xml:space="preserve">e, após a entrega, pelo Prestador de Serviços, dos documentos necessários, procede à abertura da 99 Conta-Depósito Vinculada ― bloqueada para movimentação em nome do Prestador de Serviços.  </w:t>
      </w:r>
    </w:p>
    <w:p w:rsidR="006C145C" w:rsidRDefault="00C62E5A">
      <w:pPr>
        <w:spacing w:after="0"/>
      </w:pPr>
      <w:r>
        <w:rPr>
          <w:rFonts w:ascii="Arial" w:eastAsia="Arial" w:hAnsi="Arial" w:cs="Arial"/>
          <w:sz w:val="20"/>
        </w:rPr>
        <w:t xml:space="preserve"> </w:t>
      </w:r>
    </w:p>
    <w:p w:rsidR="006C145C" w:rsidRDefault="00C62E5A">
      <w:pPr>
        <w:numPr>
          <w:ilvl w:val="0"/>
          <w:numId w:val="55"/>
        </w:numPr>
        <w:spacing w:after="0" w:line="270" w:lineRule="auto"/>
        <w:ind w:right="54" w:hanging="221"/>
        <w:jc w:val="both"/>
      </w:pPr>
      <w:r>
        <w:rPr>
          <w:rFonts w:ascii="Arial" w:eastAsia="Arial" w:hAnsi="Arial" w:cs="Arial"/>
          <w:sz w:val="20"/>
        </w:rPr>
        <w:t xml:space="preserve">A </w:t>
      </w:r>
      <w:r>
        <w:rPr>
          <w:rFonts w:ascii="Arial" w:eastAsia="Arial" w:hAnsi="Arial" w:cs="Arial"/>
          <w:b/>
          <w:sz w:val="20"/>
        </w:rPr>
        <w:t>INSTITUIÇÃO FINANCEIRA</w:t>
      </w:r>
      <w:r>
        <w:rPr>
          <w:rFonts w:ascii="Arial" w:eastAsia="Arial" w:hAnsi="Arial" w:cs="Arial"/>
          <w:sz w:val="20"/>
        </w:rPr>
        <w:t xml:space="preserve"> envia à </w:t>
      </w:r>
      <w:r>
        <w:rPr>
          <w:rFonts w:ascii="Arial" w:eastAsia="Arial" w:hAnsi="Arial" w:cs="Arial"/>
          <w:b/>
          <w:sz w:val="20"/>
        </w:rPr>
        <w:t>ADMINISTRAÇÃO</w:t>
      </w:r>
      <w:r>
        <w:rPr>
          <w:rFonts w:ascii="Arial" w:eastAsia="Arial" w:hAnsi="Arial" w:cs="Arial"/>
          <w:sz w:val="20"/>
        </w:rPr>
        <w:t xml:space="preserve"> arquivo retorno </w:t>
      </w:r>
      <w:r>
        <w:rPr>
          <w:rFonts w:ascii="Arial" w:eastAsia="Arial" w:hAnsi="Arial" w:cs="Arial"/>
          <w:sz w:val="20"/>
        </w:rPr>
        <w:t>em modelo específico previamente acordado entre os Partícipes, contendo o cadastramento da Conta-Depósito Vinculada ― bloqueada para movimentação aberta em nome do Prestador dos Serviços, bem como as eventuais rejeições, indicando seus motivos ou envia Ofí</w:t>
      </w:r>
      <w:r>
        <w:rPr>
          <w:rFonts w:ascii="Arial" w:eastAsia="Arial" w:hAnsi="Arial" w:cs="Arial"/>
          <w:sz w:val="20"/>
        </w:rPr>
        <w:t xml:space="preserve">cio à </w:t>
      </w:r>
      <w:r>
        <w:rPr>
          <w:rFonts w:ascii="Arial" w:eastAsia="Arial" w:hAnsi="Arial" w:cs="Arial"/>
          <w:b/>
          <w:sz w:val="20"/>
        </w:rPr>
        <w:t>ADMINISTRAÇÃO</w:t>
      </w:r>
      <w:r>
        <w:rPr>
          <w:rFonts w:ascii="Arial" w:eastAsia="Arial" w:hAnsi="Arial" w:cs="Arial"/>
          <w:sz w:val="20"/>
        </w:rPr>
        <w:t xml:space="preserve">, contendo o número da contadepósito vinculada – bloqueada para movimentação em nome do Prestador de Serviços.  </w:t>
      </w:r>
    </w:p>
    <w:p w:rsidR="006C145C" w:rsidRDefault="00C62E5A">
      <w:pPr>
        <w:spacing w:after="0"/>
      </w:pPr>
      <w:r>
        <w:rPr>
          <w:rFonts w:ascii="Arial" w:eastAsia="Arial" w:hAnsi="Arial" w:cs="Arial"/>
          <w:sz w:val="20"/>
        </w:rPr>
        <w:t xml:space="preserve"> </w:t>
      </w:r>
    </w:p>
    <w:p w:rsidR="006C145C" w:rsidRDefault="00C62E5A">
      <w:pPr>
        <w:numPr>
          <w:ilvl w:val="0"/>
          <w:numId w:val="55"/>
        </w:numPr>
        <w:spacing w:after="0" w:line="270" w:lineRule="auto"/>
        <w:ind w:right="54" w:hanging="221"/>
        <w:jc w:val="both"/>
      </w:pPr>
      <w:r>
        <w:rPr>
          <w:rFonts w:ascii="Arial" w:eastAsia="Arial" w:hAnsi="Arial" w:cs="Arial"/>
          <w:sz w:val="20"/>
        </w:rPr>
        <w:t xml:space="preserve">A </w:t>
      </w:r>
      <w:r>
        <w:rPr>
          <w:rFonts w:ascii="Arial" w:eastAsia="Arial" w:hAnsi="Arial" w:cs="Arial"/>
          <w:b/>
          <w:sz w:val="20"/>
        </w:rPr>
        <w:t>INSTITUIÇÃO FINANCEIRA</w:t>
      </w:r>
      <w:r>
        <w:rPr>
          <w:rFonts w:ascii="Arial" w:eastAsia="Arial" w:hAnsi="Arial" w:cs="Arial"/>
          <w:sz w:val="20"/>
        </w:rPr>
        <w:t xml:space="preserve"> recebe o ofício da </w:t>
      </w:r>
      <w:r>
        <w:rPr>
          <w:rFonts w:ascii="Arial" w:eastAsia="Arial" w:hAnsi="Arial" w:cs="Arial"/>
          <w:b/>
          <w:sz w:val="20"/>
        </w:rPr>
        <w:t>ADMINISTRAÇÃO</w:t>
      </w:r>
      <w:r>
        <w:rPr>
          <w:rFonts w:ascii="Arial" w:eastAsia="Arial" w:hAnsi="Arial" w:cs="Arial"/>
          <w:sz w:val="20"/>
        </w:rPr>
        <w:t xml:space="preserve"> e efetua cadastro no seu sistema eletrônico.  </w:t>
      </w:r>
    </w:p>
    <w:p w:rsidR="006C145C" w:rsidRDefault="00C62E5A">
      <w:pPr>
        <w:spacing w:after="0"/>
      </w:pPr>
      <w:r>
        <w:rPr>
          <w:rFonts w:ascii="Arial" w:eastAsia="Arial" w:hAnsi="Arial" w:cs="Arial"/>
          <w:sz w:val="20"/>
        </w:rPr>
        <w:t xml:space="preserve"> </w:t>
      </w:r>
    </w:p>
    <w:p w:rsidR="006C145C" w:rsidRDefault="00C62E5A">
      <w:pPr>
        <w:numPr>
          <w:ilvl w:val="0"/>
          <w:numId w:val="55"/>
        </w:numPr>
        <w:spacing w:after="0" w:line="270" w:lineRule="auto"/>
        <w:ind w:right="54" w:hanging="221"/>
        <w:jc w:val="both"/>
      </w:pPr>
      <w:r>
        <w:rPr>
          <w:rFonts w:ascii="Arial" w:eastAsia="Arial" w:hAnsi="Arial" w:cs="Arial"/>
          <w:sz w:val="20"/>
        </w:rPr>
        <w:t xml:space="preserve">A </w:t>
      </w:r>
      <w:r>
        <w:rPr>
          <w:rFonts w:ascii="Arial" w:eastAsia="Arial" w:hAnsi="Arial" w:cs="Arial"/>
          <w:b/>
          <w:sz w:val="20"/>
        </w:rPr>
        <w:t>ADMINISTRAÇÃO</w:t>
      </w:r>
      <w:r>
        <w:rPr>
          <w:rFonts w:ascii="Arial" w:eastAsia="Arial" w:hAnsi="Arial" w:cs="Arial"/>
          <w:sz w:val="20"/>
        </w:rPr>
        <w:t xml:space="preserve"> credita mensalmente recursos retidos da planilha de custos e de formação de preços do contrato firmado pela </w:t>
      </w:r>
      <w:r>
        <w:rPr>
          <w:rFonts w:ascii="Arial" w:eastAsia="Arial" w:hAnsi="Arial" w:cs="Arial"/>
          <w:b/>
          <w:sz w:val="20"/>
        </w:rPr>
        <w:t>ADMINISTRAÇÃO</w:t>
      </w:r>
      <w:r>
        <w:rPr>
          <w:rFonts w:ascii="Arial" w:eastAsia="Arial" w:hAnsi="Arial" w:cs="Arial"/>
          <w:sz w:val="20"/>
        </w:rPr>
        <w:t xml:space="preserve"> na Conta-Depósito Vinculada ― bloqueada para movimentação, mantida exclusivamente nas agências da </w:t>
      </w:r>
      <w:r>
        <w:rPr>
          <w:rFonts w:ascii="Arial" w:eastAsia="Arial" w:hAnsi="Arial" w:cs="Arial"/>
          <w:b/>
          <w:sz w:val="20"/>
        </w:rPr>
        <w:t>INSTITUIÇÃO FINANCEIRA</w:t>
      </w:r>
      <w:r>
        <w:rPr>
          <w:rFonts w:ascii="Arial" w:eastAsia="Arial" w:hAnsi="Arial" w:cs="Arial"/>
          <w:sz w:val="20"/>
        </w:rPr>
        <w:t>, mediante em</w:t>
      </w:r>
      <w:r>
        <w:rPr>
          <w:rFonts w:ascii="Arial" w:eastAsia="Arial" w:hAnsi="Arial" w:cs="Arial"/>
          <w:sz w:val="20"/>
        </w:rPr>
        <w:t xml:space="preserve">issão de Ordem Bancária, na forma estabelecida pela </w:t>
      </w:r>
      <w:r>
        <w:rPr>
          <w:rFonts w:ascii="Arial" w:eastAsia="Arial" w:hAnsi="Arial" w:cs="Arial"/>
          <w:b/>
          <w:sz w:val="20"/>
        </w:rPr>
        <w:t>ADMINISTRAÇÃO</w:t>
      </w:r>
      <w:r>
        <w:rPr>
          <w:rFonts w:ascii="Arial" w:eastAsia="Arial" w:hAnsi="Arial" w:cs="Arial"/>
          <w:sz w:val="20"/>
        </w:rPr>
        <w:t xml:space="preserve"> e pela </w:t>
      </w:r>
      <w:r>
        <w:rPr>
          <w:rFonts w:ascii="Arial" w:eastAsia="Arial" w:hAnsi="Arial" w:cs="Arial"/>
          <w:b/>
          <w:sz w:val="20"/>
        </w:rPr>
        <w:t>INSTITUIÇÃO FINANCEIRA</w:t>
      </w: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numPr>
          <w:ilvl w:val="0"/>
          <w:numId w:val="55"/>
        </w:numPr>
        <w:spacing w:after="0" w:line="270" w:lineRule="auto"/>
        <w:ind w:right="54" w:hanging="221"/>
        <w:jc w:val="both"/>
      </w:pPr>
      <w:r>
        <w:rPr>
          <w:rFonts w:ascii="Arial" w:eastAsia="Arial" w:hAnsi="Arial" w:cs="Arial"/>
          <w:sz w:val="20"/>
        </w:rPr>
        <w:t xml:space="preserve">A </w:t>
      </w:r>
      <w:r>
        <w:rPr>
          <w:rFonts w:ascii="Arial" w:eastAsia="Arial" w:hAnsi="Arial" w:cs="Arial"/>
          <w:b/>
          <w:sz w:val="20"/>
        </w:rPr>
        <w:t>ADMINISTRAÇÃO</w:t>
      </w:r>
      <w:r>
        <w:rPr>
          <w:rFonts w:ascii="Arial" w:eastAsia="Arial" w:hAnsi="Arial" w:cs="Arial"/>
          <w:sz w:val="20"/>
        </w:rPr>
        <w:t xml:space="preserve"> solicita à </w:t>
      </w:r>
      <w:r>
        <w:rPr>
          <w:rFonts w:ascii="Arial" w:eastAsia="Arial" w:hAnsi="Arial" w:cs="Arial"/>
          <w:b/>
          <w:sz w:val="20"/>
        </w:rPr>
        <w:t>INSTITUIÇÃO FINANCEIRA</w:t>
      </w:r>
      <w:r>
        <w:rPr>
          <w:rFonts w:ascii="Arial" w:eastAsia="Arial" w:hAnsi="Arial" w:cs="Arial"/>
          <w:sz w:val="20"/>
        </w:rPr>
        <w:t xml:space="preserve"> a movimentação dos recursos, na forma do Anexo IV do presente Instrumento.  </w:t>
      </w:r>
    </w:p>
    <w:p w:rsidR="006C145C" w:rsidRDefault="00C62E5A">
      <w:pPr>
        <w:spacing w:after="0"/>
      </w:pPr>
      <w:r>
        <w:rPr>
          <w:rFonts w:ascii="Arial" w:eastAsia="Arial" w:hAnsi="Arial" w:cs="Arial"/>
          <w:sz w:val="20"/>
        </w:rPr>
        <w:t xml:space="preserve"> </w:t>
      </w:r>
    </w:p>
    <w:p w:rsidR="006C145C" w:rsidRDefault="00C62E5A">
      <w:pPr>
        <w:numPr>
          <w:ilvl w:val="0"/>
          <w:numId w:val="55"/>
        </w:numPr>
        <w:spacing w:after="0" w:line="270" w:lineRule="auto"/>
        <w:ind w:right="54" w:hanging="221"/>
        <w:jc w:val="both"/>
      </w:pPr>
      <w:r>
        <w:rPr>
          <w:rFonts w:ascii="Arial" w:eastAsia="Arial" w:hAnsi="Arial" w:cs="Arial"/>
          <w:sz w:val="20"/>
        </w:rPr>
        <w:t xml:space="preserve">A </w:t>
      </w:r>
      <w:r>
        <w:rPr>
          <w:rFonts w:ascii="Arial" w:eastAsia="Arial" w:hAnsi="Arial" w:cs="Arial"/>
          <w:b/>
          <w:sz w:val="20"/>
        </w:rPr>
        <w:t>INSTITUIÇÃO FINANCEIRA</w:t>
      </w:r>
      <w:r>
        <w:rPr>
          <w:rFonts w:ascii="Arial" w:eastAsia="Arial" w:hAnsi="Arial" w:cs="Arial"/>
          <w:sz w:val="20"/>
        </w:rPr>
        <w:t xml:space="preserve"> a</w:t>
      </w:r>
      <w:r>
        <w:rPr>
          <w:rFonts w:ascii="Arial" w:eastAsia="Arial" w:hAnsi="Arial" w:cs="Arial"/>
          <w:sz w:val="20"/>
        </w:rPr>
        <w:t xml:space="preserve">cata solicitação de movimentação financeira na Conta-Depósito Vinculada ― bloqueada para movimentação efetuada pela </w:t>
      </w:r>
      <w:r>
        <w:rPr>
          <w:rFonts w:ascii="Arial" w:eastAsia="Arial" w:hAnsi="Arial" w:cs="Arial"/>
          <w:b/>
          <w:sz w:val="20"/>
        </w:rPr>
        <w:t>ADMINISTRAÇÃO</w:t>
      </w:r>
      <w:r>
        <w:rPr>
          <w:rFonts w:ascii="Arial" w:eastAsia="Arial" w:hAnsi="Arial" w:cs="Arial"/>
          <w:sz w:val="20"/>
        </w:rPr>
        <w:t>, confirmando, por meio de Ofício, nos moldes indicados no Anexo V deste Instrumento, caso a movimentação não tenha sido efetua</w:t>
      </w:r>
      <w:r>
        <w:rPr>
          <w:rFonts w:ascii="Arial" w:eastAsia="Arial" w:hAnsi="Arial" w:cs="Arial"/>
          <w:sz w:val="20"/>
        </w:rPr>
        <w:t xml:space="preserve">da pela Administração via meio eletrônico.  </w:t>
      </w:r>
    </w:p>
    <w:p w:rsidR="006C145C" w:rsidRDefault="00C62E5A">
      <w:pPr>
        <w:spacing w:after="0"/>
      </w:pPr>
      <w:r>
        <w:rPr>
          <w:rFonts w:ascii="Arial" w:eastAsia="Arial" w:hAnsi="Arial" w:cs="Arial"/>
          <w:sz w:val="20"/>
        </w:rPr>
        <w:t xml:space="preserve"> </w:t>
      </w:r>
    </w:p>
    <w:p w:rsidR="006C145C" w:rsidRDefault="00C62E5A">
      <w:pPr>
        <w:numPr>
          <w:ilvl w:val="0"/>
          <w:numId w:val="55"/>
        </w:numPr>
        <w:spacing w:after="0" w:line="270" w:lineRule="auto"/>
        <w:ind w:right="54" w:hanging="221"/>
        <w:jc w:val="both"/>
      </w:pPr>
      <w:r>
        <w:rPr>
          <w:rFonts w:ascii="Arial" w:eastAsia="Arial" w:hAnsi="Arial" w:cs="Arial"/>
          <w:sz w:val="20"/>
        </w:rPr>
        <w:t xml:space="preserve">A </w:t>
      </w:r>
      <w:r>
        <w:rPr>
          <w:rFonts w:ascii="Arial" w:eastAsia="Arial" w:hAnsi="Arial" w:cs="Arial"/>
          <w:b/>
          <w:sz w:val="20"/>
        </w:rPr>
        <w:t>INSTITUIÇÃO FINANCEIRA</w:t>
      </w:r>
      <w:r>
        <w:rPr>
          <w:rFonts w:ascii="Arial" w:eastAsia="Arial" w:hAnsi="Arial" w:cs="Arial"/>
          <w:sz w:val="20"/>
        </w:rPr>
        <w:t xml:space="preserve"> disponibiliza à </w:t>
      </w:r>
      <w:r>
        <w:rPr>
          <w:rFonts w:ascii="Arial" w:eastAsia="Arial" w:hAnsi="Arial" w:cs="Arial"/>
          <w:b/>
          <w:sz w:val="20"/>
        </w:rPr>
        <w:t>ADMINISTRAÇÃO</w:t>
      </w:r>
      <w:r>
        <w:rPr>
          <w:rFonts w:ascii="Arial" w:eastAsia="Arial" w:hAnsi="Arial" w:cs="Arial"/>
          <w:sz w:val="20"/>
        </w:rPr>
        <w:t xml:space="preserve"> aplicativo, via internet, para consulta de saldos e extratos e para movimentação, se for o caso, da Conta-Depósito Vinculada ― bloqueada para movimentação</w:t>
      </w:r>
      <w:r>
        <w:rPr>
          <w:rFonts w:ascii="Arial" w:eastAsia="Arial" w:hAnsi="Arial" w:cs="Arial"/>
          <w:sz w:val="20"/>
        </w:rPr>
        <w:t xml:space="preserve">, após autorização expressa da </w:t>
      </w:r>
      <w:r>
        <w:rPr>
          <w:rFonts w:ascii="Arial" w:eastAsia="Arial" w:hAnsi="Arial" w:cs="Arial"/>
          <w:b/>
          <w:sz w:val="20"/>
        </w:rPr>
        <w:t>ADMINISTRAÇÃO</w:t>
      </w:r>
      <w:r>
        <w:rPr>
          <w:rFonts w:ascii="Arial" w:eastAsia="Arial" w:hAnsi="Arial" w:cs="Arial"/>
          <w:sz w:val="20"/>
        </w:rPr>
        <w:t xml:space="preserve">, para recebimento de chave e senhas de acesso a sistema eletrônico.  </w:t>
      </w:r>
    </w:p>
    <w:p w:rsidR="006C145C" w:rsidRDefault="00C62E5A">
      <w:pPr>
        <w:spacing w:after="0"/>
      </w:pPr>
      <w:r>
        <w:rPr>
          <w:rFonts w:ascii="Arial" w:eastAsia="Arial" w:hAnsi="Arial" w:cs="Arial"/>
          <w:sz w:val="20"/>
        </w:rPr>
        <w:t xml:space="preserve"> </w:t>
      </w:r>
    </w:p>
    <w:p w:rsidR="006C145C" w:rsidRDefault="00C62E5A">
      <w:pPr>
        <w:numPr>
          <w:ilvl w:val="1"/>
          <w:numId w:val="55"/>
        </w:numPr>
        <w:spacing w:after="0" w:line="270" w:lineRule="auto"/>
        <w:ind w:right="54" w:hanging="387"/>
        <w:jc w:val="both"/>
      </w:pPr>
      <w:r>
        <w:rPr>
          <w:rFonts w:ascii="Arial" w:eastAsia="Arial" w:hAnsi="Arial" w:cs="Arial"/>
          <w:sz w:val="20"/>
        </w:rPr>
        <w:t xml:space="preserve">O fluxo operacional se dará nos seguintes termos:  </w:t>
      </w:r>
    </w:p>
    <w:p w:rsidR="006C145C" w:rsidRDefault="00C62E5A">
      <w:pPr>
        <w:spacing w:after="0"/>
      </w:pPr>
      <w:r>
        <w:rPr>
          <w:rFonts w:ascii="Arial" w:eastAsia="Arial" w:hAnsi="Arial" w:cs="Arial"/>
          <w:sz w:val="20"/>
        </w:rPr>
        <w:t xml:space="preserve"> </w:t>
      </w:r>
    </w:p>
    <w:p w:rsidR="006C145C" w:rsidRDefault="00C62E5A">
      <w:pPr>
        <w:numPr>
          <w:ilvl w:val="2"/>
          <w:numId w:val="55"/>
        </w:numPr>
        <w:spacing w:after="0" w:line="270" w:lineRule="auto"/>
        <w:ind w:right="54" w:hanging="8"/>
        <w:jc w:val="both"/>
      </w:pPr>
      <w:r>
        <w:rPr>
          <w:rFonts w:ascii="Arial" w:eastAsia="Arial" w:hAnsi="Arial" w:cs="Arial"/>
          <w:sz w:val="20"/>
        </w:rPr>
        <w:t xml:space="preserve">O acesso da </w:t>
      </w:r>
      <w:r>
        <w:rPr>
          <w:rFonts w:ascii="Arial" w:eastAsia="Arial" w:hAnsi="Arial" w:cs="Arial"/>
          <w:b/>
          <w:sz w:val="20"/>
        </w:rPr>
        <w:t>ADMINISTRAÇÃO</w:t>
      </w:r>
      <w:r>
        <w:rPr>
          <w:rFonts w:ascii="Arial" w:eastAsia="Arial" w:hAnsi="Arial" w:cs="Arial"/>
          <w:sz w:val="20"/>
        </w:rPr>
        <w:t xml:space="preserve"> às contas-depósitos vinculadas – </w:t>
      </w:r>
      <w:r>
        <w:rPr>
          <w:rFonts w:ascii="Arial" w:eastAsia="Arial" w:hAnsi="Arial" w:cs="Arial"/>
          <w:sz w:val="20"/>
        </w:rPr>
        <w:t>bloqueadas para movimentação fica condicionado à expressa autorização, formalizada em caráter irrevogável e irretratável, nos termos do Anexo VI deste Instrumento, pelos Proponentes, titulares das contas, quando do processo de entrega da documentação junto</w:t>
      </w:r>
      <w:r>
        <w:rPr>
          <w:rFonts w:ascii="Arial" w:eastAsia="Arial" w:hAnsi="Arial" w:cs="Arial"/>
          <w:sz w:val="20"/>
        </w:rPr>
        <w:t xml:space="preserve"> à agência da </w:t>
      </w:r>
      <w:r>
        <w:rPr>
          <w:rFonts w:ascii="Arial" w:eastAsia="Arial" w:hAnsi="Arial" w:cs="Arial"/>
          <w:b/>
          <w:sz w:val="20"/>
        </w:rPr>
        <w:t>INSTITUIÇÃO FINANCEIRA</w:t>
      </w: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numPr>
          <w:ilvl w:val="2"/>
          <w:numId w:val="55"/>
        </w:numPr>
        <w:spacing w:after="0" w:line="270" w:lineRule="auto"/>
        <w:ind w:right="54" w:hanging="8"/>
        <w:jc w:val="both"/>
      </w:pPr>
      <w:r>
        <w:rPr>
          <w:rFonts w:ascii="Arial" w:eastAsia="Arial" w:hAnsi="Arial" w:cs="Arial"/>
          <w:sz w:val="20"/>
        </w:rPr>
        <w:lastRenderedPageBreak/>
        <w:t xml:space="preserve">Os recursos depositados nas contas-depósitos vinculadas - bloqueadas para movimentação serão remunerados conforme índice de correção da poupança pro rata die;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sz w:val="20"/>
        </w:rPr>
        <w:t xml:space="preserve">e  </w:t>
      </w:r>
    </w:p>
    <w:p w:rsidR="006C145C" w:rsidRDefault="00C62E5A">
      <w:pPr>
        <w:spacing w:after="0"/>
      </w:pPr>
      <w:r>
        <w:rPr>
          <w:rFonts w:ascii="Arial" w:eastAsia="Arial" w:hAnsi="Arial" w:cs="Arial"/>
          <w:sz w:val="20"/>
        </w:rPr>
        <w:t xml:space="preserve"> </w:t>
      </w:r>
    </w:p>
    <w:p w:rsidR="006C145C" w:rsidRDefault="00C62E5A">
      <w:pPr>
        <w:numPr>
          <w:ilvl w:val="2"/>
          <w:numId w:val="55"/>
        </w:numPr>
        <w:spacing w:after="0" w:line="270" w:lineRule="auto"/>
        <w:ind w:right="54" w:hanging="8"/>
        <w:jc w:val="both"/>
      </w:pPr>
      <w:r>
        <w:rPr>
          <w:rFonts w:ascii="Arial" w:eastAsia="Arial" w:hAnsi="Arial" w:cs="Arial"/>
          <w:sz w:val="20"/>
        </w:rPr>
        <w:t>Eventual alteração da forma de correção da pou</w:t>
      </w:r>
      <w:r>
        <w:rPr>
          <w:rFonts w:ascii="Arial" w:eastAsia="Arial" w:hAnsi="Arial" w:cs="Arial"/>
          <w:sz w:val="20"/>
        </w:rPr>
        <w:t xml:space="preserve">pança prevista no subitem 9.1.2 deste Instrumento implicará a revisão deste Termo de Cooperação Técnica.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pStyle w:val="Ttulo3"/>
        <w:ind w:left="10" w:right="54"/>
      </w:pPr>
      <w:r>
        <w:t xml:space="preserve">CLÁUSULA QUARTA DAS COMPETÊNCIAS E RESPONSABILIDADES </w:t>
      </w:r>
    </w:p>
    <w:p w:rsidR="006C145C" w:rsidRDefault="00C62E5A">
      <w:pPr>
        <w:spacing w:after="0"/>
      </w:pPr>
      <w:r>
        <w:rPr>
          <w:rFonts w:ascii="Arial" w:eastAsia="Arial" w:hAnsi="Arial" w:cs="Arial"/>
          <w:b/>
          <w:sz w:val="20"/>
        </w:rPr>
        <w:t xml:space="preserve"> </w:t>
      </w:r>
    </w:p>
    <w:p w:rsidR="006C145C" w:rsidRDefault="00C62E5A">
      <w:pPr>
        <w:spacing w:after="8" w:line="249" w:lineRule="auto"/>
        <w:ind w:left="7" w:right="37" w:hanging="10"/>
        <w:jc w:val="both"/>
      </w:pPr>
      <w:r>
        <w:rPr>
          <w:rFonts w:ascii="Arial" w:eastAsia="Arial" w:hAnsi="Arial" w:cs="Arial"/>
          <w:sz w:val="20"/>
        </w:rPr>
        <w:t xml:space="preserve">À </w:t>
      </w:r>
      <w:r>
        <w:rPr>
          <w:rFonts w:ascii="Arial" w:eastAsia="Arial" w:hAnsi="Arial" w:cs="Arial"/>
          <w:b/>
          <w:sz w:val="20"/>
        </w:rPr>
        <w:t>ADMINISTRAÇÃO</w:t>
      </w:r>
      <w:r>
        <w:rPr>
          <w:rFonts w:ascii="Arial" w:eastAsia="Arial" w:hAnsi="Arial" w:cs="Arial"/>
          <w:sz w:val="20"/>
        </w:rPr>
        <w:t xml:space="preserve"> compete:  </w:t>
      </w:r>
    </w:p>
    <w:p w:rsidR="006C145C" w:rsidRDefault="00C62E5A">
      <w:pPr>
        <w:spacing w:after="0"/>
      </w:pPr>
      <w:r>
        <w:rPr>
          <w:rFonts w:ascii="Arial" w:eastAsia="Arial" w:hAnsi="Arial" w:cs="Arial"/>
          <w:sz w:val="20"/>
        </w:rPr>
        <w:t xml:space="preserve"> </w:t>
      </w:r>
    </w:p>
    <w:p w:rsidR="006C145C" w:rsidRDefault="00C62E5A">
      <w:pPr>
        <w:numPr>
          <w:ilvl w:val="0"/>
          <w:numId w:val="56"/>
        </w:numPr>
        <w:spacing w:after="0" w:line="270" w:lineRule="auto"/>
        <w:ind w:right="54" w:hanging="221"/>
        <w:jc w:val="both"/>
      </w:pPr>
      <w:r>
        <w:rPr>
          <w:rFonts w:ascii="Arial" w:eastAsia="Arial" w:hAnsi="Arial" w:cs="Arial"/>
          <w:sz w:val="20"/>
        </w:rPr>
        <w:t xml:space="preserve">Assinar o Termo de Adesão ao Regulamento da </w:t>
      </w:r>
      <w:r>
        <w:rPr>
          <w:rFonts w:ascii="Arial" w:eastAsia="Arial" w:hAnsi="Arial" w:cs="Arial"/>
          <w:b/>
          <w:sz w:val="20"/>
        </w:rPr>
        <w:t>INSTITUIÇÃO FINANCEIRA</w:t>
      </w:r>
      <w:r>
        <w:rPr>
          <w:rFonts w:ascii="Arial" w:eastAsia="Arial" w:hAnsi="Arial" w:cs="Arial"/>
          <w:sz w:val="20"/>
        </w:rPr>
        <w:t xml:space="preserve">, onde está estabelecido o vínculo jurídico com a </w:t>
      </w:r>
      <w:r>
        <w:rPr>
          <w:rFonts w:ascii="Arial" w:eastAsia="Arial" w:hAnsi="Arial" w:cs="Arial"/>
          <w:b/>
          <w:sz w:val="20"/>
        </w:rPr>
        <w:t>INSTITUIÇÃO FINANCEIRA</w:t>
      </w:r>
      <w:r>
        <w:rPr>
          <w:rFonts w:ascii="Arial" w:eastAsia="Arial" w:hAnsi="Arial" w:cs="Arial"/>
          <w:sz w:val="20"/>
        </w:rPr>
        <w:t xml:space="preserve">, para amparar a utilização de qualquer aplicativo;  </w:t>
      </w:r>
    </w:p>
    <w:p w:rsidR="006C145C" w:rsidRDefault="00C62E5A">
      <w:pPr>
        <w:spacing w:after="0"/>
      </w:pPr>
      <w:r>
        <w:rPr>
          <w:rFonts w:ascii="Arial" w:eastAsia="Arial" w:hAnsi="Arial" w:cs="Arial"/>
          <w:sz w:val="20"/>
        </w:rPr>
        <w:t xml:space="preserve"> </w:t>
      </w:r>
    </w:p>
    <w:p w:rsidR="006C145C" w:rsidRDefault="00C62E5A">
      <w:pPr>
        <w:numPr>
          <w:ilvl w:val="0"/>
          <w:numId w:val="56"/>
        </w:numPr>
        <w:spacing w:after="0" w:line="270" w:lineRule="auto"/>
        <w:ind w:right="54" w:hanging="221"/>
        <w:jc w:val="both"/>
      </w:pPr>
      <w:r>
        <w:rPr>
          <w:rFonts w:ascii="Arial" w:eastAsia="Arial" w:hAnsi="Arial" w:cs="Arial"/>
          <w:sz w:val="20"/>
        </w:rPr>
        <w:t>Designar, por meio de Ofício, conforme Anexo VII do presente Instrumento, até, no máximo, 4 (quatro) servi</w:t>
      </w:r>
      <w:r>
        <w:rPr>
          <w:rFonts w:ascii="Arial" w:eastAsia="Arial" w:hAnsi="Arial" w:cs="Arial"/>
          <w:sz w:val="20"/>
        </w:rPr>
        <w:t xml:space="preserve">dores para os quais a </w:t>
      </w:r>
      <w:r>
        <w:rPr>
          <w:rFonts w:ascii="Arial" w:eastAsia="Arial" w:hAnsi="Arial" w:cs="Arial"/>
          <w:b/>
          <w:sz w:val="20"/>
        </w:rPr>
        <w:t>INSTITUIÇÃO FINANCEIRA</w:t>
      </w:r>
      <w:r>
        <w:rPr>
          <w:rFonts w:ascii="Arial" w:eastAsia="Arial" w:hAnsi="Arial" w:cs="Arial"/>
          <w:sz w:val="20"/>
        </w:rPr>
        <w:t xml:space="preserve"> disponibilizará chaves e senhas de acesso ao autoatendimento à Administração, com poderes somente para consultas aos saldos e aos extratos das contas-depósitos vinculadas - bloqueadas para movimentação;  </w:t>
      </w:r>
    </w:p>
    <w:p w:rsidR="006C145C" w:rsidRDefault="00C62E5A">
      <w:pPr>
        <w:spacing w:after="0"/>
      </w:pPr>
      <w:r>
        <w:rPr>
          <w:rFonts w:ascii="Arial" w:eastAsia="Arial" w:hAnsi="Arial" w:cs="Arial"/>
          <w:sz w:val="20"/>
        </w:rPr>
        <w:t xml:space="preserve"> </w:t>
      </w:r>
    </w:p>
    <w:p w:rsidR="006C145C" w:rsidRDefault="00C62E5A">
      <w:pPr>
        <w:numPr>
          <w:ilvl w:val="0"/>
          <w:numId w:val="56"/>
        </w:numPr>
        <w:spacing w:after="0" w:line="270" w:lineRule="auto"/>
        <w:ind w:right="54" w:hanging="221"/>
        <w:jc w:val="both"/>
      </w:pPr>
      <w:r>
        <w:rPr>
          <w:rFonts w:ascii="Arial" w:eastAsia="Arial" w:hAnsi="Arial" w:cs="Arial"/>
          <w:sz w:val="20"/>
        </w:rPr>
        <w:t xml:space="preserve">Remeter à </w:t>
      </w:r>
      <w:r>
        <w:rPr>
          <w:rFonts w:ascii="Arial" w:eastAsia="Arial" w:hAnsi="Arial" w:cs="Arial"/>
          <w:b/>
          <w:sz w:val="20"/>
        </w:rPr>
        <w:t>INSTITUIÇÃO FINANCEIRA</w:t>
      </w:r>
      <w:r>
        <w:rPr>
          <w:rFonts w:ascii="Arial" w:eastAsia="Arial" w:hAnsi="Arial" w:cs="Arial"/>
          <w:sz w:val="20"/>
        </w:rPr>
        <w:t xml:space="preserve"> arquivos em modelo específico, acordado entre os Partícipes, solicitando o cadastramento das contas-depósitos vinculadas - bloqueadas para movimentação ou remeter à </w:t>
      </w:r>
      <w:r>
        <w:rPr>
          <w:rFonts w:ascii="Arial" w:eastAsia="Arial" w:hAnsi="Arial" w:cs="Arial"/>
          <w:b/>
          <w:sz w:val="20"/>
        </w:rPr>
        <w:t>INSTITUIÇÃO FINANCEIRA</w:t>
      </w:r>
      <w:r>
        <w:rPr>
          <w:rFonts w:ascii="Arial" w:eastAsia="Arial" w:hAnsi="Arial" w:cs="Arial"/>
          <w:sz w:val="20"/>
        </w:rPr>
        <w:t xml:space="preserve"> Ofício, solicitando a abertura das </w:t>
      </w:r>
      <w:r>
        <w:rPr>
          <w:rFonts w:ascii="Arial" w:eastAsia="Arial" w:hAnsi="Arial" w:cs="Arial"/>
          <w:sz w:val="20"/>
        </w:rPr>
        <w:t xml:space="preserve">contasdepósitos vinculadas - bloqueadas para movimentação;  </w:t>
      </w:r>
    </w:p>
    <w:p w:rsidR="006C145C" w:rsidRDefault="00C62E5A">
      <w:pPr>
        <w:spacing w:after="0"/>
      </w:pPr>
      <w:r>
        <w:rPr>
          <w:rFonts w:ascii="Arial" w:eastAsia="Arial" w:hAnsi="Arial" w:cs="Arial"/>
          <w:sz w:val="20"/>
        </w:rPr>
        <w:t xml:space="preserve"> </w:t>
      </w:r>
    </w:p>
    <w:p w:rsidR="006C145C" w:rsidRDefault="00C62E5A">
      <w:pPr>
        <w:numPr>
          <w:ilvl w:val="0"/>
          <w:numId w:val="56"/>
        </w:numPr>
        <w:spacing w:after="0" w:line="270" w:lineRule="auto"/>
        <w:ind w:right="54" w:hanging="221"/>
        <w:jc w:val="both"/>
      </w:pPr>
      <w:r>
        <w:rPr>
          <w:rFonts w:ascii="Arial" w:eastAsia="Arial" w:hAnsi="Arial" w:cs="Arial"/>
          <w:sz w:val="20"/>
        </w:rPr>
        <w:t xml:space="preserve">Remeter Ofícios à Agência da </w:t>
      </w:r>
      <w:r>
        <w:rPr>
          <w:rFonts w:ascii="Arial" w:eastAsia="Arial" w:hAnsi="Arial" w:cs="Arial"/>
          <w:b/>
          <w:sz w:val="20"/>
        </w:rPr>
        <w:t>INSTITUIÇÃO FINANCEIRA</w:t>
      </w:r>
      <w:r>
        <w:rPr>
          <w:rFonts w:ascii="Arial" w:eastAsia="Arial" w:hAnsi="Arial" w:cs="Arial"/>
          <w:sz w:val="20"/>
        </w:rPr>
        <w:t xml:space="preserve">, solicitando a movimentação de recursos das </w:t>
      </w:r>
      <w:r>
        <w:rPr>
          <w:rFonts w:ascii="Arial" w:eastAsia="Arial" w:hAnsi="Arial" w:cs="Arial"/>
          <w:b/>
          <w:sz w:val="20"/>
        </w:rPr>
        <w:t>contas-depósitos vinculadas - bloqueadas para movimentação</w:t>
      </w:r>
      <w:r>
        <w:rPr>
          <w:rFonts w:ascii="Arial" w:eastAsia="Arial" w:hAnsi="Arial" w:cs="Arial"/>
          <w:sz w:val="20"/>
        </w:rPr>
        <w:t xml:space="preserve"> ou movimentá-los por meio eletrônico; </w:t>
      </w: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numPr>
          <w:ilvl w:val="0"/>
          <w:numId w:val="56"/>
        </w:numPr>
        <w:spacing w:after="0" w:line="270" w:lineRule="auto"/>
        <w:ind w:right="54" w:hanging="221"/>
        <w:jc w:val="both"/>
      </w:pPr>
      <w:r>
        <w:rPr>
          <w:rFonts w:ascii="Arial" w:eastAsia="Arial" w:hAnsi="Arial" w:cs="Arial"/>
          <w:sz w:val="20"/>
        </w:rPr>
        <w:t xml:space="preserve">Comunicar ao </w:t>
      </w:r>
      <w:r>
        <w:rPr>
          <w:rFonts w:ascii="Arial" w:eastAsia="Arial" w:hAnsi="Arial" w:cs="Arial"/>
          <w:b/>
          <w:sz w:val="20"/>
        </w:rPr>
        <w:t>Prestador de Serviços</w:t>
      </w:r>
      <w:r>
        <w:rPr>
          <w:rFonts w:ascii="Arial" w:eastAsia="Arial" w:hAnsi="Arial" w:cs="Arial"/>
          <w:sz w:val="20"/>
        </w:rPr>
        <w:t xml:space="preserve">, na forma do Anexo VIII do presente Instrumento, o cadastramento das </w:t>
      </w:r>
      <w:r>
        <w:rPr>
          <w:rFonts w:ascii="Arial" w:eastAsia="Arial" w:hAnsi="Arial" w:cs="Arial"/>
          <w:b/>
          <w:sz w:val="20"/>
        </w:rPr>
        <w:t>contas-depósitos vinculadas - bloqueadas para movimentação</w:t>
      </w:r>
      <w:r>
        <w:rPr>
          <w:rFonts w:ascii="Arial" w:eastAsia="Arial" w:hAnsi="Arial" w:cs="Arial"/>
          <w:sz w:val="20"/>
        </w:rPr>
        <w:t xml:space="preserve">, orientando-os a comparecer à Agência da </w:t>
      </w:r>
      <w:r>
        <w:rPr>
          <w:rFonts w:ascii="Arial" w:eastAsia="Arial" w:hAnsi="Arial" w:cs="Arial"/>
          <w:b/>
          <w:sz w:val="20"/>
        </w:rPr>
        <w:t>INSTITUIÇÃO FINANCEIRA</w:t>
      </w:r>
      <w:r>
        <w:rPr>
          <w:rFonts w:ascii="Arial" w:eastAsia="Arial" w:hAnsi="Arial" w:cs="Arial"/>
          <w:sz w:val="20"/>
        </w:rPr>
        <w:t>, para providenciar a regu</w:t>
      </w:r>
      <w:r>
        <w:rPr>
          <w:rFonts w:ascii="Arial" w:eastAsia="Arial" w:hAnsi="Arial" w:cs="Arial"/>
          <w:sz w:val="20"/>
        </w:rPr>
        <w:t xml:space="preserve">larização, entrega de documentos e assinatura da autorização, em caráter irrevogável e irretratável, nos termos do Anexo VI deste instrumento, para que a </w:t>
      </w:r>
      <w:r>
        <w:rPr>
          <w:rFonts w:ascii="Arial" w:eastAsia="Arial" w:hAnsi="Arial" w:cs="Arial"/>
          <w:b/>
          <w:sz w:val="20"/>
        </w:rPr>
        <w:t>ADMINISTRAÇÃO</w:t>
      </w:r>
      <w:r>
        <w:rPr>
          <w:rFonts w:ascii="Arial" w:eastAsia="Arial" w:hAnsi="Arial" w:cs="Arial"/>
          <w:sz w:val="20"/>
        </w:rPr>
        <w:t xml:space="preserve"> possa ter acesso aos saldos e aos extratos da Conta-Depósito Vinculada ― bloqueada para </w:t>
      </w:r>
      <w:r>
        <w:rPr>
          <w:rFonts w:ascii="Arial" w:eastAsia="Arial" w:hAnsi="Arial" w:cs="Arial"/>
          <w:sz w:val="20"/>
        </w:rPr>
        <w:t xml:space="preserve">movimentação, bem como solicitar movimentações financeiras;  </w:t>
      </w:r>
    </w:p>
    <w:p w:rsidR="006C145C" w:rsidRDefault="00C62E5A">
      <w:pPr>
        <w:spacing w:after="0"/>
      </w:pPr>
      <w:r>
        <w:rPr>
          <w:rFonts w:ascii="Arial" w:eastAsia="Arial" w:hAnsi="Arial" w:cs="Arial"/>
          <w:sz w:val="20"/>
        </w:rPr>
        <w:t xml:space="preserve"> </w:t>
      </w:r>
    </w:p>
    <w:p w:rsidR="006C145C" w:rsidRDefault="00C62E5A">
      <w:pPr>
        <w:numPr>
          <w:ilvl w:val="0"/>
          <w:numId w:val="56"/>
        </w:numPr>
        <w:spacing w:after="0" w:line="270" w:lineRule="auto"/>
        <w:ind w:right="54" w:hanging="221"/>
        <w:jc w:val="both"/>
      </w:pPr>
      <w:r>
        <w:rPr>
          <w:rFonts w:ascii="Arial" w:eastAsia="Arial" w:hAnsi="Arial" w:cs="Arial"/>
          <w:sz w:val="20"/>
        </w:rPr>
        <w:t>Prover os ajustes técnicos de tecnologia da informação para possibilitar o acesso aos sistemas de autoatendimento, por intermédio do qual será viabilizado o acesso aos saldos e aos extratos da</w:t>
      </w:r>
      <w:r>
        <w:rPr>
          <w:rFonts w:ascii="Arial" w:eastAsia="Arial" w:hAnsi="Arial" w:cs="Arial"/>
          <w:sz w:val="20"/>
        </w:rPr>
        <w:t xml:space="preserve">s </w:t>
      </w:r>
      <w:r>
        <w:rPr>
          <w:rFonts w:ascii="Arial" w:eastAsia="Arial" w:hAnsi="Arial" w:cs="Arial"/>
          <w:b/>
          <w:sz w:val="20"/>
        </w:rPr>
        <w:t xml:space="preserve">contas-depósitos vinculadas-bloqueadas para movimentação;  </w:t>
      </w:r>
    </w:p>
    <w:p w:rsidR="006C145C" w:rsidRDefault="00C62E5A">
      <w:pPr>
        <w:spacing w:after="0"/>
      </w:pPr>
      <w:r>
        <w:rPr>
          <w:rFonts w:ascii="Arial" w:eastAsia="Arial" w:hAnsi="Arial" w:cs="Arial"/>
          <w:sz w:val="20"/>
        </w:rPr>
        <w:t xml:space="preserve"> </w:t>
      </w:r>
    </w:p>
    <w:p w:rsidR="006C145C" w:rsidRDefault="00C62E5A">
      <w:pPr>
        <w:numPr>
          <w:ilvl w:val="0"/>
          <w:numId w:val="56"/>
        </w:numPr>
        <w:spacing w:after="0" w:line="270" w:lineRule="auto"/>
        <w:ind w:right="54" w:hanging="221"/>
        <w:jc w:val="both"/>
      </w:pPr>
      <w:r>
        <w:rPr>
          <w:rFonts w:ascii="Arial" w:eastAsia="Arial" w:hAnsi="Arial" w:cs="Arial"/>
          <w:sz w:val="20"/>
        </w:rPr>
        <w:t xml:space="preserve">Adequar-se a eventuais alterações nos serviços oferecidos pela </w:t>
      </w:r>
      <w:r>
        <w:rPr>
          <w:rFonts w:ascii="Arial" w:eastAsia="Arial" w:hAnsi="Arial" w:cs="Arial"/>
          <w:b/>
          <w:sz w:val="20"/>
        </w:rPr>
        <w:t>INSTITUIÇÃO FINANCEIRA</w:t>
      </w:r>
      <w:r>
        <w:rPr>
          <w:rFonts w:ascii="Arial" w:eastAsia="Arial" w:hAnsi="Arial" w:cs="Arial"/>
          <w:sz w:val="20"/>
        </w:rPr>
        <w:t xml:space="preserve">; </w:t>
      </w:r>
    </w:p>
    <w:p w:rsidR="006C145C" w:rsidRDefault="00C62E5A">
      <w:pPr>
        <w:spacing w:after="463"/>
      </w:pPr>
      <w:r>
        <w:rPr>
          <w:rFonts w:ascii="Arial" w:eastAsia="Arial" w:hAnsi="Arial" w:cs="Arial"/>
          <w:sz w:val="20"/>
        </w:rPr>
        <w:t xml:space="preserve"> </w:t>
      </w:r>
    </w:p>
    <w:p w:rsidR="006C145C" w:rsidRDefault="00C62E5A">
      <w:pPr>
        <w:spacing w:after="129" w:line="270" w:lineRule="auto"/>
        <w:ind w:left="357" w:right="54" w:hanging="360"/>
        <w:jc w:val="both"/>
      </w:pPr>
      <w:r>
        <w:rPr>
          <w:rFonts w:ascii="Arial" w:eastAsia="Arial" w:hAnsi="Arial" w:cs="Arial"/>
          <w:sz w:val="20"/>
        </w:rPr>
        <w:t xml:space="preserve">Instruir os usuários sobre forma de acesso às transações dos sistemas de autoatendimento da </w:t>
      </w:r>
      <w:r>
        <w:rPr>
          <w:rFonts w:ascii="Arial" w:eastAsia="Arial" w:hAnsi="Arial" w:cs="Arial"/>
          <w:b/>
          <w:sz w:val="20"/>
        </w:rPr>
        <w:t>INSTITUIÇÃ</w:t>
      </w:r>
      <w:r>
        <w:rPr>
          <w:rFonts w:ascii="Arial" w:eastAsia="Arial" w:hAnsi="Arial" w:cs="Arial"/>
          <w:b/>
          <w:sz w:val="20"/>
        </w:rPr>
        <w:t>O FINANCEIRA</w:t>
      </w:r>
      <w:r>
        <w:rPr>
          <w:rFonts w:ascii="Arial" w:eastAsia="Arial" w:hAnsi="Arial" w:cs="Arial"/>
          <w:sz w:val="20"/>
        </w:rPr>
        <w:t xml:space="preserve">;  </w:t>
      </w:r>
    </w:p>
    <w:p w:rsidR="006C145C" w:rsidRDefault="00C62E5A">
      <w:pPr>
        <w:numPr>
          <w:ilvl w:val="0"/>
          <w:numId w:val="57"/>
        </w:numPr>
        <w:spacing w:after="0" w:line="270" w:lineRule="auto"/>
        <w:ind w:right="115" w:hanging="8"/>
        <w:jc w:val="both"/>
      </w:pPr>
      <w:r>
        <w:rPr>
          <w:rFonts w:ascii="Arial" w:eastAsia="Arial" w:hAnsi="Arial" w:cs="Arial"/>
          <w:sz w:val="20"/>
        </w:rPr>
        <w:t xml:space="preserve">Manter rígido controle de segurança das senhas de acesso aos sistemas de autoatendimento da </w:t>
      </w:r>
      <w:r>
        <w:rPr>
          <w:rFonts w:ascii="Arial" w:eastAsia="Arial" w:hAnsi="Arial" w:cs="Arial"/>
          <w:b/>
          <w:sz w:val="20"/>
        </w:rPr>
        <w:t>INSTITUIÇÃO FINANCEIRA</w:t>
      </w:r>
      <w:r>
        <w:rPr>
          <w:rFonts w:ascii="Arial" w:eastAsia="Arial" w:hAnsi="Arial" w:cs="Arial"/>
          <w:sz w:val="20"/>
        </w:rPr>
        <w:t xml:space="preserve">;  </w:t>
      </w:r>
    </w:p>
    <w:p w:rsidR="006C145C" w:rsidRDefault="00C62E5A">
      <w:pPr>
        <w:spacing w:after="0"/>
      </w:pPr>
      <w:r>
        <w:rPr>
          <w:rFonts w:ascii="Arial" w:eastAsia="Arial" w:hAnsi="Arial" w:cs="Arial"/>
          <w:sz w:val="20"/>
        </w:rPr>
        <w:lastRenderedPageBreak/>
        <w:t xml:space="preserve"> </w:t>
      </w:r>
    </w:p>
    <w:p w:rsidR="006C145C" w:rsidRDefault="00C62E5A">
      <w:pPr>
        <w:numPr>
          <w:ilvl w:val="0"/>
          <w:numId w:val="57"/>
        </w:numPr>
        <w:spacing w:after="0" w:line="270" w:lineRule="auto"/>
        <w:ind w:right="115" w:hanging="8"/>
        <w:jc w:val="both"/>
      </w:pPr>
      <w:r>
        <w:rPr>
          <w:rFonts w:ascii="Arial" w:eastAsia="Arial" w:hAnsi="Arial" w:cs="Arial"/>
          <w:sz w:val="20"/>
        </w:rPr>
        <w:t>Assumir como de sua inteira responsabilidade os prejuízos que decorrerem do mau uso ou da quebra de sigilo das senhas do</w:t>
      </w:r>
      <w:r>
        <w:rPr>
          <w:rFonts w:ascii="Arial" w:eastAsia="Arial" w:hAnsi="Arial" w:cs="Arial"/>
          <w:sz w:val="20"/>
        </w:rPr>
        <w:t xml:space="preserve">s servidores devidamente cadastrados nos sistemas de autoatendimento, conforme item 2 desta cláusula, cuidando de substituí-las, imediatamente, caso suspeite de que tenham se tornado de conhecimento de terceiros não autorizados;  </w:t>
      </w:r>
    </w:p>
    <w:p w:rsidR="006C145C" w:rsidRDefault="00C62E5A">
      <w:pPr>
        <w:spacing w:after="0"/>
      </w:pPr>
      <w:r>
        <w:rPr>
          <w:rFonts w:ascii="Arial" w:eastAsia="Arial" w:hAnsi="Arial" w:cs="Arial"/>
          <w:sz w:val="20"/>
        </w:rPr>
        <w:t xml:space="preserve"> </w:t>
      </w:r>
    </w:p>
    <w:p w:rsidR="006C145C" w:rsidRDefault="00C62E5A">
      <w:pPr>
        <w:numPr>
          <w:ilvl w:val="0"/>
          <w:numId w:val="57"/>
        </w:numPr>
        <w:spacing w:after="0" w:line="270" w:lineRule="auto"/>
        <w:ind w:right="115" w:hanging="8"/>
        <w:jc w:val="both"/>
      </w:pPr>
      <w:r>
        <w:rPr>
          <w:rFonts w:ascii="Arial" w:eastAsia="Arial" w:hAnsi="Arial" w:cs="Arial"/>
          <w:sz w:val="20"/>
        </w:rPr>
        <w:t xml:space="preserve">Responsabilizar-se por </w:t>
      </w:r>
      <w:r>
        <w:rPr>
          <w:rFonts w:ascii="Arial" w:eastAsia="Arial" w:hAnsi="Arial" w:cs="Arial"/>
          <w:sz w:val="20"/>
        </w:rPr>
        <w:t xml:space="preserve">prejuízos decorrentes de transações não concluídas em razão de falha de seu equipamento e/ou erros de processamento devido da inexistência de informação ou de fornecimento incompleto de informações;  </w:t>
      </w:r>
    </w:p>
    <w:p w:rsidR="006C145C" w:rsidRDefault="00C62E5A">
      <w:pPr>
        <w:spacing w:after="0"/>
      </w:pPr>
      <w:r>
        <w:rPr>
          <w:rFonts w:ascii="Arial" w:eastAsia="Arial" w:hAnsi="Arial" w:cs="Arial"/>
          <w:sz w:val="20"/>
        </w:rPr>
        <w:t xml:space="preserve"> </w:t>
      </w:r>
    </w:p>
    <w:p w:rsidR="006C145C" w:rsidRDefault="00C62E5A">
      <w:pPr>
        <w:numPr>
          <w:ilvl w:val="0"/>
          <w:numId w:val="57"/>
        </w:numPr>
        <w:spacing w:after="0" w:line="270" w:lineRule="auto"/>
        <w:ind w:right="115" w:hanging="8"/>
        <w:jc w:val="both"/>
      </w:pPr>
      <w:r>
        <w:rPr>
          <w:rFonts w:ascii="Arial" w:eastAsia="Arial" w:hAnsi="Arial" w:cs="Arial"/>
          <w:sz w:val="20"/>
        </w:rPr>
        <w:t xml:space="preserve">Comunicar tempestivamente à </w:t>
      </w:r>
      <w:r>
        <w:rPr>
          <w:rFonts w:ascii="Arial" w:eastAsia="Arial" w:hAnsi="Arial" w:cs="Arial"/>
          <w:b/>
          <w:sz w:val="20"/>
        </w:rPr>
        <w:t>INSTITUIÇÃO FINANCEIRA</w:t>
      </w:r>
      <w:r>
        <w:rPr>
          <w:rFonts w:ascii="Arial" w:eastAsia="Arial" w:hAnsi="Arial" w:cs="Arial"/>
          <w:sz w:val="20"/>
        </w:rPr>
        <w:t xml:space="preserve"> qu</w:t>
      </w:r>
      <w:r>
        <w:rPr>
          <w:rFonts w:ascii="Arial" w:eastAsia="Arial" w:hAnsi="Arial" w:cs="Arial"/>
          <w:sz w:val="20"/>
        </w:rPr>
        <w:t xml:space="preserve">alquer anormalidade detectada que possa comprometer o perfeito funcionamento da conexão aos sistemas de autoatendimento, em especial, no que concerne à segurança das informações;  </w:t>
      </w:r>
    </w:p>
    <w:p w:rsidR="006C145C" w:rsidRDefault="00C62E5A">
      <w:pPr>
        <w:spacing w:after="0"/>
      </w:pPr>
      <w:r>
        <w:rPr>
          <w:rFonts w:ascii="Arial" w:eastAsia="Arial" w:hAnsi="Arial" w:cs="Arial"/>
          <w:sz w:val="20"/>
        </w:rPr>
        <w:t xml:space="preserve"> </w:t>
      </w:r>
    </w:p>
    <w:p w:rsidR="006C145C" w:rsidRDefault="00C62E5A">
      <w:pPr>
        <w:numPr>
          <w:ilvl w:val="0"/>
          <w:numId w:val="57"/>
        </w:numPr>
        <w:spacing w:after="0" w:line="270" w:lineRule="auto"/>
        <w:ind w:right="115" w:hanging="8"/>
        <w:jc w:val="both"/>
      </w:pPr>
      <w:r>
        <w:rPr>
          <w:rFonts w:ascii="Arial" w:eastAsia="Arial" w:hAnsi="Arial" w:cs="Arial"/>
          <w:sz w:val="20"/>
        </w:rPr>
        <w:t xml:space="preserve">Permitir, a qualquer tempo, que técnicos da </w:t>
      </w:r>
      <w:r>
        <w:rPr>
          <w:rFonts w:ascii="Arial" w:eastAsia="Arial" w:hAnsi="Arial" w:cs="Arial"/>
          <w:b/>
          <w:sz w:val="20"/>
        </w:rPr>
        <w:t>INSTITUIÇÃO FINANCEIRA</w:t>
      </w:r>
      <w:r>
        <w:rPr>
          <w:rFonts w:ascii="Arial" w:eastAsia="Arial" w:hAnsi="Arial" w:cs="Arial"/>
          <w:sz w:val="20"/>
        </w:rPr>
        <w:t xml:space="preserve"> possam</w:t>
      </w:r>
      <w:r>
        <w:rPr>
          <w:rFonts w:ascii="Arial" w:eastAsia="Arial" w:hAnsi="Arial" w:cs="Arial"/>
          <w:sz w:val="20"/>
        </w:rPr>
        <w:t xml:space="preserve"> vistoriar o hardware e software utilizados para conexão aos sistemas de autoatendimento;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sz w:val="20"/>
        </w:rPr>
        <w:t xml:space="preserve">e  </w:t>
      </w:r>
    </w:p>
    <w:p w:rsidR="006C145C" w:rsidRDefault="00C62E5A">
      <w:pPr>
        <w:spacing w:after="0"/>
      </w:pPr>
      <w:r>
        <w:rPr>
          <w:rFonts w:ascii="Arial" w:eastAsia="Arial" w:hAnsi="Arial" w:cs="Arial"/>
          <w:sz w:val="20"/>
        </w:rPr>
        <w:t xml:space="preserve"> </w:t>
      </w:r>
    </w:p>
    <w:p w:rsidR="006C145C" w:rsidRDefault="00C62E5A">
      <w:pPr>
        <w:numPr>
          <w:ilvl w:val="0"/>
          <w:numId w:val="57"/>
        </w:numPr>
        <w:spacing w:after="0" w:line="270" w:lineRule="auto"/>
        <w:ind w:right="115" w:hanging="8"/>
        <w:jc w:val="both"/>
      </w:pPr>
      <w:r>
        <w:rPr>
          <w:rFonts w:ascii="Arial" w:eastAsia="Arial" w:hAnsi="Arial" w:cs="Arial"/>
          <w:sz w:val="20"/>
        </w:rPr>
        <w:t xml:space="preserve">Não divulgar quaisquer informações contidas nas transações efetuadas nos sistemas de autoatendimento colocados à sua disposição, de modo a manter o sigilo bancário, a privacidade em face de servidores, e outras pessoas integrantes da </w:t>
      </w:r>
      <w:r>
        <w:rPr>
          <w:rFonts w:ascii="Arial" w:eastAsia="Arial" w:hAnsi="Arial" w:cs="Arial"/>
          <w:b/>
          <w:sz w:val="20"/>
        </w:rPr>
        <w:t>ADMINISTRAÇÃO</w:t>
      </w:r>
      <w:r>
        <w:rPr>
          <w:rFonts w:ascii="Arial" w:eastAsia="Arial" w:hAnsi="Arial" w:cs="Arial"/>
          <w:sz w:val="20"/>
        </w:rPr>
        <w:t xml:space="preserve"> que não </w:t>
      </w:r>
      <w:r>
        <w:rPr>
          <w:rFonts w:ascii="Arial" w:eastAsia="Arial" w:hAnsi="Arial" w:cs="Arial"/>
          <w:sz w:val="20"/>
        </w:rPr>
        <w:t xml:space="preserve">sejam usuários, e as normas de segurança da informação da </w:t>
      </w:r>
      <w:r>
        <w:rPr>
          <w:rFonts w:ascii="Arial" w:eastAsia="Arial" w:hAnsi="Arial" w:cs="Arial"/>
          <w:b/>
          <w:sz w:val="20"/>
        </w:rPr>
        <w:t>INSTITUIÇÃO FINANCEIRA</w:t>
      </w: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pStyle w:val="Ttulo3"/>
        <w:ind w:left="10" w:right="115"/>
      </w:pPr>
      <w:r>
        <w:t>CLÁUSULA QUINTA DAS COMPETÊNCIAS E RESPONSABILIDADES DA INSTITUIÇÃO FINANCEIRA</w:t>
      </w:r>
      <w:r>
        <w:rPr>
          <w:b w:val="0"/>
        </w:rPr>
        <w:t xml:space="preserve"> </w:t>
      </w:r>
    </w:p>
    <w:p w:rsidR="006C145C" w:rsidRDefault="00C62E5A">
      <w:pPr>
        <w:spacing w:after="0"/>
        <w:ind w:right="57"/>
        <w:jc w:val="center"/>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8" w:line="249" w:lineRule="auto"/>
        <w:ind w:left="7" w:right="37" w:hanging="10"/>
        <w:jc w:val="both"/>
      </w:pPr>
      <w:r>
        <w:rPr>
          <w:rFonts w:ascii="Arial" w:eastAsia="Arial" w:hAnsi="Arial" w:cs="Arial"/>
          <w:sz w:val="20"/>
        </w:rPr>
        <w:t xml:space="preserve">À </w:t>
      </w:r>
      <w:r>
        <w:rPr>
          <w:rFonts w:ascii="Arial" w:eastAsia="Arial" w:hAnsi="Arial" w:cs="Arial"/>
          <w:b/>
          <w:sz w:val="20"/>
        </w:rPr>
        <w:t>INSTITUIÇÃO FINANCEIRA</w:t>
      </w:r>
      <w:r>
        <w:rPr>
          <w:rFonts w:ascii="Arial" w:eastAsia="Arial" w:hAnsi="Arial" w:cs="Arial"/>
          <w:sz w:val="20"/>
        </w:rPr>
        <w:t xml:space="preserve"> compete:  </w:t>
      </w:r>
    </w:p>
    <w:p w:rsidR="006C145C" w:rsidRDefault="00C62E5A">
      <w:pPr>
        <w:spacing w:after="0"/>
      </w:pPr>
      <w:r>
        <w:rPr>
          <w:rFonts w:ascii="Arial" w:eastAsia="Arial" w:hAnsi="Arial" w:cs="Arial"/>
          <w:sz w:val="20"/>
        </w:rPr>
        <w:t xml:space="preserve"> </w:t>
      </w:r>
    </w:p>
    <w:p w:rsidR="006C145C" w:rsidRDefault="00C62E5A">
      <w:pPr>
        <w:numPr>
          <w:ilvl w:val="0"/>
          <w:numId w:val="58"/>
        </w:numPr>
        <w:spacing w:after="0" w:line="270" w:lineRule="auto"/>
        <w:ind w:right="54" w:hanging="222"/>
        <w:jc w:val="both"/>
      </w:pPr>
      <w:r>
        <w:rPr>
          <w:rFonts w:ascii="Arial" w:eastAsia="Arial" w:hAnsi="Arial" w:cs="Arial"/>
          <w:sz w:val="20"/>
        </w:rPr>
        <w:t xml:space="preserve">Disponibilizar os sistemas de autoatendimento </w:t>
      </w:r>
      <w:r>
        <w:rPr>
          <w:rFonts w:ascii="Arial" w:eastAsia="Arial" w:hAnsi="Arial" w:cs="Arial"/>
          <w:sz w:val="20"/>
        </w:rPr>
        <w:t xml:space="preserve">à </w:t>
      </w:r>
      <w:r>
        <w:rPr>
          <w:rFonts w:ascii="Arial" w:eastAsia="Arial" w:hAnsi="Arial" w:cs="Arial"/>
          <w:b/>
          <w:sz w:val="20"/>
        </w:rPr>
        <w:t>ADMINISTRAÇÃO</w:t>
      </w: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numPr>
          <w:ilvl w:val="0"/>
          <w:numId w:val="58"/>
        </w:numPr>
        <w:spacing w:after="0" w:line="270" w:lineRule="auto"/>
        <w:ind w:right="54" w:hanging="222"/>
        <w:jc w:val="both"/>
      </w:pPr>
      <w:r>
        <w:rPr>
          <w:rFonts w:ascii="Arial" w:eastAsia="Arial" w:hAnsi="Arial" w:cs="Arial"/>
          <w:sz w:val="20"/>
        </w:rPr>
        <w:t>Gerar e fornecer até 4 (quatro) chaves e senhas iniciais de acesso, para utilização na primeira conexão aos sistemas de autoatendimento, oportunidade na qual as senhas serão obrigatoriamente substituídas pelos respectivos detentores da</w:t>
      </w:r>
      <w:r>
        <w:rPr>
          <w:rFonts w:ascii="Arial" w:eastAsia="Arial" w:hAnsi="Arial" w:cs="Arial"/>
          <w:sz w:val="20"/>
        </w:rPr>
        <w:t xml:space="preserve">s chaves, por outra de conhecimento exclusivo do usuário;  </w:t>
      </w:r>
    </w:p>
    <w:p w:rsidR="006C145C" w:rsidRDefault="00C62E5A">
      <w:pPr>
        <w:spacing w:after="0"/>
      </w:pPr>
      <w:r>
        <w:rPr>
          <w:rFonts w:ascii="Arial" w:eastAsia="Arial" w:hAnsi="Arial" w:cs="Arial"/>
          <w:sz w:val="20"/>
        </w:rPr>
        <w:t xml:space="preserve"> </w:t>
      </w:r>
    </w:p>
    <w:p w:rsidR="006C145C" w:rsidRDefault="00C62E5A">
      <w:pPr>
        <w:numPr>
          <w:ilvl w:val="0"/>
          <w:numId w:val="58"/>
        </w:numPr>
        <w:spacing w:after="0" w:line="270" w:lineRule="auto"/>
        <w:ind w:right="54" w:hanging="222"/>
        <w:jc w:val="both"/>
      </w:pPr>
      <w:r>
        <w:rPr>
          <w:rFonts w:ascii="Arial" w:eastAsia="Arial" w:hAnsi="Arial" w:cs="Arial"/>
          <w:sz w:val="20"/>
        </w:rPr>
        <w:t xml:space="preserve">Informar à </w:t>
      </w:r>
      <w:r>
        <w:rPr>
          <w:rFonts w:ascii="Arial" w:eastAsia="Arial" w:hAnsi="Arial" w:cs="Arial"/>
          <w:b/>
          <w:sz w:val="20"/>
        </w:rPr>
        <w:t>ADMINISTRAÇÃO</w:t>
      </w:r>
      <w:r>
        <w:rPr>
          <w:rFonts w:ascii="Arial" w:eastAsia="Arial" w:hAnsi="Arial" w:cs="Arial"/>
          <w:sz w:val="20"/>
        </w:rPr>
        <w:t xml:space="preserve"> quaisquer alterações nos serviços oferecidos pela </w:t>
      </w:r>
      <w:r>
        <w:rPr>
          <w:rFonts w:ascii="Arial" w:eastAsia="Arial" w:hAnsi="Arial" w:cs="Arial"/>
          <w:b/>
          <w:sz w:val="20"/>
        </w:rPr>
        <w:t>INSTITUIÇÃO FINANCEIRA</w:t>
      </w:r>
      <w:r>
        <w:rPr>
          <w:rFonts w:ascii="Arial" w:eastAsia="Arial" w:hAnsi="Arial" w:cs="Arial"/>
          <w:sz w:val="20"/>
        </w:rPr>
        <w:t xml:space="preserve">, por intermédio dos sistemas de autoatendimento ou via Ofício;  </w:t>
      </w:r>
    </w:p>
    <w:p w:rsidR="006C145C" w:rsidRDefault="00C62E5A">
      <w:pPr>
        <w:spacing w:after="0"/>
      </w:pPr>
      <w:r>
        <w:rPr>
          <w:rFonts w:ascii="Arial" w:eastAsia="Arial" w:hAnsi="Arial" w:cs="Arial"/>
          <w:sz w:val="20"/>
        </w:rPr>
        <w:t xml:space="preserve"> </w:t>
      </w:r>
    </w:p>
    <w:p w:rsidR="006C145C" w:rsidRDefault="00C62E5A">
      <w:pPr>
        <w:numPr>
          <w:ilvl w:val="0"/>
          <w:numId w:val="58"/>
        </w:numPr>
        <w:spacing w:after="0" w:line="270" w:lineRule="auto"/>
        <w:ind w:right="54" w:hanging="222"/>
        <w:jc w:val="both"/>
      </w:pPr>
      <w:r>
        <w:rPr>
          <w:rFonts w:ascii="Arial" w:eastAsia="Arial" w:hAnsi="Arial" w:cs="Arial"/>
          <w:sz w:val="20"/>
        </w:rPr>
        <w:t xml:space="preserve">Prestar o apoio técnico que se fizer necessário à manutenção do serviço, objeto deste Instrumento, e ao cadastramento de contas-depósitos vinculadas ― bloqueadas para movimentação;  </w:t>
      </w:r>
    </w:p>
    <w:p w:rsidR="006C145C" w:rsidRDefault="00C62E5A">
      <w:pPr>
        <w:spacing w:after="0"/>
      </w:pPr>
      <w:r>
        <w:rPr>
          <w:rFonts w:ascii="Arial" w:eastAsia="Arial" w:hAnsi="Arial" w:cs="Arial"/>
          <w:sz w:val="20"/>
        </w:rPr>
        <w:t xml:space="preserve"> </w:t>
      </w:r>
    </w:p>
    <w:p w:rsidR="006C145C" w:rsidRDefault="00C62E5A">
      <w:pPr>
        <w:numPr>
          <w:ilvl w:val="0"/>
          <w:numId w:val="58"/>
        </w:numPr>
        <w:spacing w:after="0" w:line="270" w:lineRule="auto"/>
        <w:ind w:right="54" w:hanging="222"/>
        <w:jc w:val="both"/>
      </w:pPr>
      <w:r>
        <w:rPr>
          <w:rFonts w:ascii="Arial" w:eastAsia="Arial" w:hAnsi="Arial" w:cs="Arial"/>
          <w:sz w:val="20"/>
        </w:rPr>
        <w:t>Gerar e encaminhar, via sistema de autoatendimento, os arquivos retorno</w:t>
      </w:r>
      <w:r>
        <w:rPr>
          <w:rFonts w:ascii="Arial" w:eastAsia="Arial" w:hAnsi="Arial" w:cs="Arial"/>
          <w:sz w:val="20"/>
        </w:rPr>
        <w:t xml:space="preserve"> do resultado do cadastramento das contas-depósitos vinculadas-bloqueadas para movimentação ou encaminhar Ofício, contendo o número da conta aberta em nome do Prestador dos Serviços;  </w:t>
      </w:r>
    </w:p>
    <w:p w:rsidR="006C145C" w:rsidRDefault="00C62E5A">
      <w:pPr>
        <w:spacing w:after="0"/>
      </w:pPr>
      <w:r>
        <w:rPr>
          <w:rFonts w:ascii="Arial" w:eastAsia="Arial" w:hAnsi="Arial" w:cs="Arial"/>
          <w:sz w:val="20"/>
        </w:rPr>
        <w:t xml:space="preserve"> </w:t>
      </w:r>
    </w:p>
    <w:p w:rsidR="006C145C" w:rsidRDefault="00C62E5A">
      <w:pPr>
        <w:numPr>
          <w:ilvl w:val="0"/>
          <w:numId w:val="58"/>
        </w:numPr>
        <w:spacing w:after="0" w:line="270" w:lineRule="auto"/>
        <w:ind w:right="54" w:hanging="222"/>
        <w:jc w:val="both"/>
      </w:pPr>
      <w:r>
        <w:rPr>
          <w:rFonts w:ascii="Arial" w:eastAsia="Arial" w:hAnsi="Arial" w:cs="Arial"/>
          <w:sz w:val="20"/>
        </w:rPr>
        <w:t>Orientar sua rede de agências quanto aos procedimentos operacionais e</w:t>
      </w:r>
      <w:r>
        <w:rPr>
          <w:rFonts w:ascii="Arial" w:eastAsia="Arial" w:hAnsi="Arial" w:cs="Arial"/>
          <w:sz w:val="20"/>
        </w:rPr>
        <w:t xml:space="preserve">specíficos objeto deste Instrumento;  </w:t>
      </w:r>
    </w:p>
    <w:p w:rsidR="006C145C" w:rsidRDefault="00C62E5A">
      <w:pPr>
        <w:spacing w:after="0"/>
      </w:pPr>
      <w:r>
        <w:rPr>
          <w:rFonts w:ascii="Arial" w:eastAsia="Arial" w:hAnsi="Arial" w:cs="Arial"/>
          <w:sz w:val="20"/>
        </w:rPr>
        <w:t xml:space="preserve"> </w:t>
      </w:r>
    </w:p>
    <w:p w:rsidR="006C145C" w:rsidRDefault="00C62E5A">
      <w:pPr>
        <w:spacing w:after="129" w:line="270" w:lineRule="auto"/>
        <w:ind w:left="5" w:right="54" w:hanging="8"/>
        <w:jc w:val="both"/>
      </w:pPr>
      <w:r>
        <w:rPr>
          <w:rFonts w:ascii="Arial" w:eastAsia="Arial" w:hAnsi="Arial" w:cs="Arial"/>
          <w:sz w:val="20"/>
        </w:rPr>
        <w:t xml:space="preserve">e </w:t>
      </w:r>
    </w:p>
    <w:p w:rsidR="006C145C" w:rsidRDefault="00C62E5A">
      <w:pPr>
        <w:spacing w:after="0"/>
      </w:pPr>
      <w:r>
        <w:rPr>
          <w:rFonts w:ascii="Arial" w:eastAsia="Arial" w:hAnsi="Arial" w:cs="Arial"/>
          <w:sz w:val="20"/>
        </w:rPr>
        <w:t xml:space="preserve"> </w:t>
      </w:r>
    </w:p>
    <w:p w:rsidR="006C145C" w:rsidRDefault="00C62E5A">
      <w:pPr>
        <w:numPr>
          <w:ilvl w:val="0"/>
          <w:numId w:val="58"/>
        </w:numPr>
        <w:spacing w:after="0" w:line="270" w:lineRule="auto"/>
        <w:ind w:right="54" w:hanging="222"/>
        <w:jc w:val="both"/>
      </w:pPr>
      <w:r>
        <w:rPr>
          <w:rFonts w:ascii="Arial" w:eastAsia="Arial" w:hAnsi="Arial" w:cs="Arial"/>
          <w:sz w:val="20"/>
        </w:rPr>
        <w:lastRenderedPageBreak/>
        <w:t xml:space="preserve">Informar à </w:t>
      </w:r>
      <w:r>
        <w:rPr>
          <w:rFonts w:ascii="Arial" w:eastAsia="Arial" w:hAnsi="Arial" w:cs="Arial"/>
          <w:b/>
          <w:sz w:val="20"/>
        </w:rPr>
        <w:t>ADMINISTRAÇÃO</w:t>
      </w:r>
      <w:r>
        <w:rPr>
          <w:rFonts w:ascii="Arial" w:eastAsia="Arial" w:hAnsi="Arial" w:cs="Arial"/>
          <w:sz w:val="20"/>
        </w:rPr>
        <w:t xml:space="preserve"> os procedimentos adotados, em atenção aos Ofícios recebidos.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pStyle w:val="Ttulo3"/>
        <w:ind w:left="10" w:right="56"/>
      </w:pPr>
      <w:r>
        <w:t xml:space="preserve">CLÁUSULA SEXTA DOS RECURSOS FINANCEIROS E MATERIAIS </w:t>
      </w:r>
    </w:p>
    <w:p w:rsidR="006C145C" w:rsidRDefault="00C62E5A">
      <w:pPr>
        <w:spacing w:after="0"/>
      </w:pPr>
      <w:r>
        <w:rPr>
          <w:rFonts w:ascii="Arial" w:eastAsia="Arial" w:hAnsi="Arial" w:cs="Arial"/>
          <w:b/>
          <w:sz w:val="20"/>
        </w:rPr>
        <w:t xml:space="preserve"> </w:t>
      </w:r>
    </w:p>
    <w:p w:rsidR="006C145C" w:rsidRDefault="00C62E5A">
      <w:pPr>
        <w:spacing w:after="0" w:line="270" w:lineRule="auto"/>
        <w:ind w:left="5" w:right="54" w:hanging="8"/>
        <w:jc w:val="both"/>
      </w:pPr>
      <w:r>
        <w:rPr>
          <w:rFonts w:ascii="Arial" w:eastAsia="Arial" w:hAnsi="Arial" w:cs="Arial"/>
          <w:sz w:val="20"/>
        </w:rPr>
        <w:t>Este Termo de Cooperação Técnica não implica desembolso, a qual</w:t>
      </w:r>
      <w:r>
        <w:rPr>
          <w:rFonts w:ascii="Arial" w:eastAsia="Arial" w:hAnsi="Arial" w:cs="Arial"/>
          <w:sz w:val="20"/>
        </w:rPr>
        <w:t>quer título, presente ou futuro, sendo vedada a transferência de recursos financeiros entre os Partícipes.</w:t>
      </w:r>
      <w:r>
        <w:rPr>
          <w:rFonts w:ascii="Arial" w:eastAsia="Arial" w:hAnsi="Arial" w:cs="Arial"/>
          <w:b/>
          <w:sz w:val="20"/>
        </w:rPr>
        <w:t xml:space="preserve">  </w:t>
      </w:r>
    </w:p>
    <w:p w:rsidR="006C145C" w:rsidRDefault="00C62E5A">
      <w:pPr>
        <w:spacing w:after="0"/>
      </w:pPr>
      <w:r>
        <w:rPr>
          <w:rFonts w:ascii="Arial" w:eastAsia="Arial" w:hAnsi="Arial" w:cs="Arial"/>
          <w:b/>
          <w:sz w:val="20"/>
        </w:rPr>
        <w:t xml:space="preserve"> </w:t>
      </w:r>
    </w:p>
    <w:p w:rsidR="006C145C" w:rsidRDefault="00C62E5A">
      <w:pPr>
        <w:spacing w:after="0"/>
      </w:pPr>
      <w:r>
        <w:rPr>
          <w:rFonts w:ascii="Arial" w:eastAsia="Arial" w:hAnsi="Arial" w:cs="Arial"/>
          <w:b/>
          <w:sz w:val="20"/>
        </w:rPr>
        <w:t xml:space="preserve"> </w:t>
      </w:r>
    </w:p>
    <w:p w:rsidR="006C145C" w:rsidRDefault="00C62E5A">
      <w:pPr>
        <w:pStyle w:val="Ttulo3"/>
        <w:ind w:left="10" w:right="55"/>
      </w:pPr>
      <w:r>
        <w:t xml:space="preserve">CLÁUSULA SÉTIMA DA VIGÊNCIA </w:t>
      </w:r>
    </w:p>
    <w:p w:rsidR="006C145C" w:rsidRDefault="00C62E5A">
      <w:pPr>
        <w:spacing w:after="0" w:line="265" w:lineRule="auto"/>
        <w:ind w:left="10" w:right="64" w:hanging="10"/>
        <w:jc w:val="center"/>
      </w:pPr>
      <w:r>
        <w:rPr>
          <w:rFonts w:ascii="Arial" w:eastAsia="Arial" w:hAnsi="Arial" w:cs="Arial"/>
          <w:b/>
          <w:sz w:val="20"/>
        </w:rPr>
        <w:t xml:space="preserve">* Observar a Orientação Normativa/AGU nº 44, de 26 de fevereiro de 2014. </w:t>
      </w:r>
    </w:p>
    <w:p w:rsidR="006C145C" w:rsidRDefault="00C62E5A">
      <w:pPr>
        <w:spacing w:after="0"/>
      </w:pPr>
      <w:r>
        <w:rPr>
          <w:rFonts w:ascii="Arial" w:eastAsia="Arial" w:hAnsi="Arial" w:cs="Arial"/>
          <w:b/>
          <w:sz w:val="20"/>
        </w:rPr>
        <w:t xml:space="preserve"> </w:t>
      </w:r>
    </w:p>
    <w:p w:rsidR="006C145C" w:rsidRDefault="00C62E5A">
      <w:pPr>
        <w:spacing w:after="0" w:line="270" w:lineRule="auto"/>
        <w:ind w:left="5" w:right="54" w:hanging="8"/>
        <w:jc w:val="both"/>
      </w:pPr>
      <w:r>
        <w:rPr>
          <w:rFonts w:ascii="Arial" w:eastAsia="Arial" w:hAnsi="Arial" w:cs="Arial"/>
          <w:sz w:val="20"/>
        </w:rPr>
        <w:t>O presente Termo de Cooperação Técnica poderá ter sua vigência limitada a até 60 (sessenta) meses, a contar da data de sua assinatura.</w:t>
      </w:r>
      <w:r>
        <w:rPr>
          <w:rFonts w:ascii="Arial" w:eastAsia="Arial" w:hAnsi="Arial" w:cs="Arial"/>
          <w:b/>
          <w:sz w:val="20"/>
        </w:rPr>
        <w:t xml:space="preserve">  </w:t>
      </w:r>
    </w:p>
    <w:p w:rsidR="006C145C" w:rsidRDefault="00C62E5A">
      <w:pPr>
        <w:spacing w:after="0"/>
      </w:pPr>
      <w:r>
        <w:rPr>
          <w:rFonts w:ascii="Arial" w:eastAsia="Arial" w:hAnsi="Arial" w:cs="Arial"/>
          <w:b/>
          <w:sz w:val="20"/>
        </w:rPr>
        <w:t xml:space="preserve"> </w:t>
      </w:r>
    </w:p>
    <w:p w:rsidR="006C145C" w:rsidRDefault="00C62E5A">
      <w:pPr>
        <w:spacing w:after="0"/>
      </w:pPr>
      <w:r>
        <w:rPr>
          <w:rFonts w:ascii="Arial" w:eastAsia="Arial" w:hAnsi="Arial" w:cs="Arial"/>
          <w:b/>
          <w:sz w:val="20"/>
        </w:rPr>
        <w:t xml:space="preserve"> </w:t>
      </w:r>
    </w:p>
    <w:p w:rsidR="006C145C" w:rsidRDefault="00C62E5A">
      <w:pPr>
        <w:pStyle w:val="Ttulo3"/>
        <w:ind w:left="10" w:right="54"/>
      </w:pPr>
      <w:r>
        <w:t xml:space="preserve">CLÁUSULA OITAVA DA PUBLICAÇÃO </w:t>
      </w:r>
    </w:p>
    <w:p w:rsidR="006C145C" w:rsidRDefault="00C62E5A">
      <w:pPr>
        <w:spacing w:after="0"/>
      </w:pPr>
      <w:r>
        <w:rPr>
          <w:rFonts w:ascii="Arial" w:eastAsia="Arial" w:hAnsi="Arial" w:cs="Arial"/>
          <w:b/>
          <w:sz w:val="20"/>
        </w:rPr>
        <w:t xml:space="preserve"> </w:t>
      </w:r>
    </w:p>
    <w:p w:rsidR="006C145C" w:rsidRDefault="00C62E5A">
      <w:pPr>
        <w:spacing w:after="0" w:line="270" w:lineRule="auto"/>
        <w:ind w:left="5" w:right="54" w:hanging="8"/>
        <w:jc w:val="both"/>
      </w:pPr>
      <w:r>
        <w:rPr>
          <w:rFonts w:ascii="Arial" w:eastAsia="Arial" w:hAnsi="Arial" w:cs="Arial"/>
          <w:sz w:val="20"/>
        </w:rPr>
        <w:t>A publicação de extrato do presente Instrumento no Diário Oficial da União será pr</w:t>
      </w:r>
      <w:r>
        <w:rPr>
          <w:rFonts w:ascii="Arial" w:eastAsia="Arial" w:hAnsi="Arial" w:cs="Arial"/>
          <w:sz w:val="20"/>
        </w:rPr>
        <w:t xml:space="preserve">ovidenciada pela </w:t>
      </w:r>
      <w:r>
        <w:rPr>
          <w:rFonts w:ascii="Arial" w:eastAsia="Arial" w:hAnsi="Arial" w:cs="Arial"/>
          <w:b/>
          <w:sz w:val="20"/>
        </w:rPr>
        <w:t>ADMINISTRAÇÃO</w:t>
      </w:r>
      <w:r>
        <w:rPr>
          <w:rFonts w:ascii="Arial" w:eastAsia="Arial" w:hAnsi="Arial" w:cs="Arial"/>
          <w:sz w:val="20"/>
        </w:rPr>
        <w:t xml:space="preserve"> até o 5º (quinto) dia útil do mês subsequente à data de sua assinatura, para ocorrer no prazo de 20 (vinte) dias a partir daquela data</w:t>
      </w:r>
      <w:r>
        <w:rPr>
          <w:rFonts w:ascii="Arial" w:eastAsia="Arial" w:hAnsi="Arial" w:cs="Arial"/>
          <w:b/>
          <w:sz w:val="20"/>
        </w:rPr>
        <w:t xml:space="preserve">. </w:t>
      </w:r>
    </w:p>
    <w:p w:rsidR="006C145C" w:rsidRDefault="00C62E5A">
      <w:pPr>
        <w:spacing w:after="0"/>
      </w:pPr>
      <w:r>
        <w:rPr>
          <w:rFonts w:ascii="Arial" w:eastAsia="Arial" w:hAnsi="Arial" w:cs="Arial"/>
          <w:b/>
          <w:sz w:val="20"/>
        </w:rPr>
        <w:t xml:space="preserve"> </w:t>
      </w:r>
    </w:p>
    <w:p w:rsidR="006C145C" w:rsidRDefault="00C62E5A">
      <w:pPr>
        <w:spacing w:after="0"/>
      </w:pPr>
      <w:r>
        <w:rPr>
          <w:rFonts w:ascii="Arial" w:eastAsia="Arial" w:hAnsi="Arial" w:cs="Arial"/>
          <w:b/>
          <w:sz w:val="20"/>
        </w:rPr>
        <w:t xml:space="preserve"> </w:t>
      </w:r>
    </w:p>
    <w:p w:rsidR="006C145C" w:rsidRDefault="00C62E5A">
      <w:pPr>
        <w:spacing w:after="0"/>
        <w:jc w:val="center"/>
      </w:pPr>
      <w:r>
        <w:rPr>
          <w:rFonts w:ascii="Arial" w:eastAsia="Arial" w:hAnsi="Arial" w:cs="Arial"/>
          <w:b/>
          <w:sz w:val="20"/>
        </w:rPr>
        <w:t xml:space="preserve"> </w:t>
      </w:r>
    </w:p>
    <w:p w:rsidR="006C145C" w:rsidRDefault="00C62E5A">
      <w:pPr>
        <w:pStyle w:val="Ttulo3"/>
        <w:ind w:left="10" w:right="56"/>
      </w:pPr>
      <w:r>
        <w:t>CLÁUSULA NONA DAS ALTERAÇÕES</w:t>
      </w:r>
      <w:r>
        <w:rPr>
          <w:b w:val="0"/>
        </w:rPr>
        <w:t xml:space="preserve">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sz w:val="20"/>
        </w:rPr>
        <w:t>Sempre que necessário, as cláusulas deste Termo de</w:t>
      </w:r>
      <w:r>
        <w:rPr>
          <w:rFonts w:ascii="Arial" w:eastAsia="Arial" w:hAnsi="Arial" w:cs="Arial"/>
          <w:sz w:val="20"/>
        </w:rPr>
        <w:t xml:space="preserve"> Cooperação Técnica, à exceção da que trata do objeto, poderão ser aditadas, modificadas ou suprimidas, mediante Termo Aditivo, celebrado entre os Partícipes, passando esses termos a fazer parte integrante deste Instrumento como um todo, único e indivisíve</w:t>
      </w:r>
      <w:r>
        <w:rPr>
          <w:rFonts w:ascii="Arial" w:eastAsia="Arial" w:hAnsi="Arial" w:cs="Arial"/>
          <w:sz w:val="20"/>
        </w:rPr>
        <w:t xml:space="preserve">l.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b/>
          <w:sz w:val="20"/>
        </w:rPr>
        <w:t xml:space="preserve"> </w:t>
      </w:r>
    </w:p>
    <w:p w:rsidR="006C145C" w:rsidRDefault="00C62E5A">
      <w:pPr>
        <w:pStyle w:val="Ttulo3"/>
        <w:ind w:left="10" w:right="51"/>
      </w:pPr>
      <w:r>
        <w:t xml:space="preserve">CLÁUSULA DÉCIMA DA RESCISÃO </w:t>
      </w:r>
    </w:p>
    <w:p w:rsidR="006C145C" w:rsidRDefault="00C62E5A">
      <w:pPr>
        <w:spacing w:after="0"/>
      </w:pPr>
      <w:r>
        <w:rPr>
          <w:rFonts w:ascii="Arial" w:eastAsia="Arial" w:hAnsi="Arial" w:cs="Arial"/>
          <w:b/>
          <w:sz w:val="20"/>
        </w:rPr>
        <w:t xml:space="preserve"> </w:t>
      </w:r>
    </w:p>
    <w:p w:rsidR="006C145C" w:rsidRDefault="00C62E5A">
      <w:pPr>
        <w:spacing w:after="0"/>
      </w:pPr>
      <w:r>
        <w:rPr>
          <w:rFonts w:ascii="Arial" w:eastAsia="Arial" w:hAnsi="Arial" w:cs="Arial"/>
          <w:b/>
          <w:sz w:val="20"/>
        </w:rPr>
        <w:t xml:space="preserve"> </w:t>
      </w:r>
    </w:p>
    <w:p w:rsidR="006C145C" w:rsidRDefault="00C62E5A">
      <w:pPr>
        <w:spacing w:after="0" w:line="270" w:lineRule="auto"/>
        <w:ind w:left="5" w:right="54" w:hanging="8"/>
        <w:jc w:val="both"/>
      </w:pPr>
      <w:r>
        <w:rPr>
          <w:rFonts w:ascii="Arial" w:eastAsia="Arial" w:hAnsi="Arial" w:cs="Arial"/>
          <w:sz w:val="20"/>
        </w:rPr>
        <w:t xml:space="preserve">Este Termo de Cooperação Técnica poderá ser denunciado por qualquer dos Partícipes em razão do descumprimento de qualquer das obrigações ou condições nele pactuadas, bem assim pela superveniência de norma legal ou fato administrativo que o torne formal ou </w:t>
      </w:r>
      <w:r>
        <w:rPr>
          <w:rFonts w:ascii="Arial" w:eastAsia="Arial" w:hAnsi="Arial" w:cs="Arial"/>
          <w:sz w:val="20"/>
        </w:rPr>
        <w:t>materialmente inexequível ou, ainda, por ato unilateral, mediante comunicação prévia da parte que dele se desinteressar, com antecedência mínima de 90 (noventa) dias, ficando os Partícipes responsáveis pelas obrigações anteriormente assumidas</w:t>
      </w:r>
      <w:r>
        <w:rPr>
          <w:rFonts w:ascii="Arial" w:eastAsia="Arial" w:hAnsi="Arial" w:cs="Arial"/>
          <w:b/>
          <w:sz w:val="20"/>
        </w:rPr>
        <w:t xml:space="preserve">. </w:t>
      </w:r>
    </w:p>
    <w:p w:rsidR="006C145C" w:rsidRDefault="00C62E5A">
      <w:pPr>
        <w:spacing w:after="0"/>
      </w:pPr>
      <w:r>
        <w:rPr>
          <w:rFonts w:ascii="Arial" w:eastAsia="Arial" w:hAnsi="Arial" w:cs="Arial"/>
          <w:b/>
          <w:sz w:val="20"/>
        </w:rPr>
        <w:t xml:space="preserve"> </w:t>
      </w:r>
    </w:p>
    <w:p w:rsidR="006C145C" w:rsidRDefault="00C62E5A">
      <w:pPr>
        <w:spacing w:after="0"/>
      </w:pPr>
      <w:r>
        <w:rPr>
          <w:rFonts w:ascii="Arial" w:eastAsia="Arial" w:hAnsi="Arial" w:cs="Arial"/>
          <w:b/>
          <w:sz w:val="20"/>
        </w:rPr>
        <w:t xml:space="preserve"> </w:t>
      </w:r>
    </w:p>
    <w:p w:rsidR="006C145C" w:rsidRDefault="00C62E5A">
      <w:pPr>
        <w:pStyle w:val="Ttulo3"/>
        <w:ind w:left="10" w:right="56"/>
      </w:pPr>
      <w:r>
        <w:t>CLÁUSUL</w:t>
      </w:r>
      <w:r>
        <w:t xml:space="preserve">A DÉCIMA PRIMEIRA DO FORO </w:t>
      </w:r>
    </w:p>
    <w:p w:rsidR="006C145C" w:rsidRDefault="00C62E5A">
      <w:pPr>
        <w:spacing w:after="0"/>
      </w:pPr>
      <w:r>
        <w:rPr>
          <w:rFonts w:ascii="Arial" w:eastAsia="Arial" w:hAnsi="Arial" w:cs="Arial"/>
          <w:b/>
          <w:sz w:val="20"/>
        </w:rPr>
        <w:t xml:space="preserve"> </w:t>
      </w:r>
    </w:p>
    <w:p w:rsidR="006C145C" w:rsidRDefault="00C62E5A">
      <w:pPr>
        <w:spacing w:after="0" w:line="270" w:lineRule="auto"/>
        <w:ind w:left="5" w:right="54" w:hanging="8"/>
        <w:jc w:val="both"/>
      </w:pPr>
      <w:r>
        <w:rPr>
          <w:rFonts w:ascii="Arial" w:eastAsia="Arial" w:hAnsi="Arial" w:cs="Arial"/>
          <w:sz w:val="20"/>
        </w:rPr>
        <w:t>Os casos omissos e/ou situações contraditórias deste Termo de Cooperação Técnica deverão ser resolvidos mediante conciliação entre os Partícipes, com prévia comunicação por escrito da ocorrência, consignando prazo para resposta</w:t>
      </w:r>
      <w:r>
        <w:rPr>
          <w:rFonts w:ascii="Arial" w:eastAsia="Arial" w:hAnsi="Arial" w:cs="Arial"/>
          <w:sz w:val="20"/>
        </w:rPr>
        <w:t xml:space="preserve">, e todos aqueles que não puderem ser resolvidos dessa forma serão dirimidos pela Justiça Federal, na Seção Judiciária de_________.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sz w:val="20"/>
        </w:rPr>
        <w:lastRenderedPageBreak/>
        <w:t>E por estarem justos e de acordo, os Partícipes firmam o presente instrumento em 2 (duas) vias de igual teor e forma, pe</w:t>
      </w:r>
      <w:r>
        <w:rPr>
          <w:rFonts w:ascii="Arial" w:eastAsia="Arial" w:hAnsi="Arial" w:cs="Arial"/>
          <w:sz w:val="20"/>
        </w:rPr>
        <w:t>rante as testemunhas que também o subscrevem, para que produza os legítimos efeitos de direito.</w:t>
      </w:r>
      <w:r>
        <w:rPr>
          <w:rFonts w:ascii="Arial" w:eastAsia="Arial" w:hAnsi="Arial" w:cs="Arial"/>
          <w:b/>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3"/>
        <w:ind w:left="10" w:right="105" w:hanging="10"/>
        <w:jc w:val="right"/>
      </w:pPr>
      <w:r>
        <w:rPr>
          <w:rFonts w:ascii="Arial" w:eastAsia="Arial" w:hAnsi="Arial" w:cs="Arial"/>
          <w:sz w:val="20"/>
        </w:rPr>
        <w:t xml:space="preserve"> ____________________________ </w:t>
      </w:r>
    </w:p>
    <w:p w:rsidR="006C145C" w:rsidRDefault="00C62E5A">
      <w:pPr>
        <w:spacing w:after="3"/>
        <w:ind w:left="10" w:right="105" w:hanging="10"/>
        <w:jc w:val="right"/>
      </w:pPr>
      <w:r>
        <w:rPr>
          <w:rFonts w:ascii="Arial" w:eastAsia="Arial" w:hAnsi="Arial" w:cs="Arial"/>
          <w:sz w:val="20"/>
        </w:rPr>
        <w:t xml:space="preserve"> (Local e data)</w:t>
      </w:r>
      <w:r>
        <w:rPr>
          <w:rFonts w:ascii="Arial" w:eastAsia="Arial" w:hAnsi="Arial" w:cs="Arial"/>
          <w:b/>
          <w:sz w:val="20"/>
        </w:rPr>
        <w:t xml:space="preserve">  </w:t>
      </w:r>
    </w:p>
    <w:p w:rsidR="006C145C" w:rsidRDefault="00C62E5A">
      <w:pPr>
        <w:spacing w:after="0"/>
        <w:ind w:right="58"/>
        <w:jc w:val="right"/>
      </w:pPr>
      <w:r>
        <w:rPr>
          <w:rFonts w:ascii="Arial" w:eastAsia="Arial" w:hAnsi="Arial" w:cs="Arial"/>
          <w:b/>
          <w:sz w:val="20"/>
        </w:rPr>
        <w:t xml:space="preserve"> </w:t>
      </w:r>
    </w:p>
    <w:tbl>
      <w:tblPr>
        <w:tblStyle w:val="TableGrid"/>
        <w:tblW w:w="8250" w:type="dxa"/>
        <w:tblInd w:w="0" w:type="dxa"/>
        <w:tblCellMar>
          <w:top w:w="0" w:type="dxa"/>
          <w:left w:w="0" w:type="dxa"/>
          <w:bottom w:w="0" w:type="dxa"/>
          <w:right w:w="0" w:type="dxa"/>
        </w:tblCellMar>
        <w:tblLook w:val="04A0" w:firstRow="1" w:lastRow="0" w:firstColumn="1" w:lastColumn="0" w:noHBand="0" w:noVBand="1"/>
      </w:tblPr>
      <w:tblGrid>
        <w:gridCol w:w="4643"/>
        <w:gridCol w:w="761"/>
        <w:gridCol w:w="2846"/>
      </w:tblGrid>
      <w:tr w:rsidR="006C145C">
        <w:trPr>
          <w:trHeight w:val="226"/>
        </w:trPr>
        <w:tc>
          <w:tcPr>
            <w:tcW w:w="4643" w:type="dxa"/>
            <w:tcBorders>
              <w:top w:val="nil"/>
              <w:left w:val="nil"/>
              <w:bottom w:val="nil"/>
              <w:right w:val="nil"/>
            </w:tcBorders>
          </w:tcPr>
          <w:p w:rsidR="006C145C" w:rsidRDefault="00C62E5A">
            <w:pPr>
              <w:spacing w:after="0"/>
            </w:pPr>
            <w:r>
              <w:rPr>
                <w:rFonts w:ascii="Arial" w:eastAsia="Arial" w:hAnsi="Arial" w:cs="Arial"/>
                <w:sz w:val="20"/>
              </w:rPr>
              <w:t xml:space="preserve"> </w:t>
            </w:r>
          </w:p>
        </w:tc>
        <w:tc>
          <w:tcPr>
            <w:tcW w:w="761" w:type="dxa"/>
            <w:tcBorders>
              <w:top w:val="nil"/>
              <w:left w:val="nil"/>
              <w:bottom w:val="nil"/>
              <w:right w:val="nil"/>
            </w:tcBorders>
          </w:tcPr>
          <w:p w:rsidR="006C145C" w:rsidRDefault="006C145C"/>
        </w:tc>
        <w:tc>
          <w:tcPr>
            <w:tcW w:w="2847" w:type="dxa"/>
            <w:tcBorders>
              <w:top w:val="nil"/>
              <w:left w:val="nil"/>
              <w:bottom w:val="nil"/>
              <w:right w:val="nil"/>
            </w:tcBorders>
          </w:tcPr>
          <w:p w:rsidR="006C145C" w:rsidRDefault="006C145C"/>
        </w:tc>
      </w:tr>
      <w:tr w:rsidR="006C145C">
        <w:trPr>
          <w:trHeight w:val="1610"/>
        </w:trPr>
        <w:tc>
          <w:tcPr>
            <w:tcW w:w="4643" w:type="dxa"/>
            <w:tcBorders>
              <w:top w:val="nil"/>
              <w:left w:val="nil"/>
              <w:bottom w:val="nil"/>
              <w:right w:val="nil"/>
            </w:tcBorders>
          </w:tcPr>
          <w:p w:rsidR="006C145C" w:rsidRDefault="00C62E5A">
            <w:pPr>
              <w:spacing w:after="0"/>
              <w:ind w:right="108"/>
              <w:jc w:val="center"/>
            </w:pPr>
            <w:r>
              <w:rPr>
                <w:rFonts w:ascii="Arial" w:eastAsia="Arial" w:hAnsi="Arial" w:cs="Arial"/>
                <w:sz w:val="20"/>
              </w:rPr>
              <w:t xml:space="preserve">Assinatura do representante da </w:t>
            </w:r>
          </w:p>
          <w:p w:rsidR="006C145C" w:rsidRDefault="00C62E5A">
            <w:pPr>
              <w:spacing w:after="0"/>
              <w:ind w:right="111"/>
              <w:jc w:val="center"/>
            </w:pPr>
            <w:r>
              <w:rPr>
                <w:rFonts w:ascii="Arial" w:eastAsia="Arial" w:hAnsi="Arial" w:cs="Arial"/>
                <w:b/>
                <w:sz w:val="20"/>
              </w:rPr>
              <w:t xml:space="preserve">ADMINISTRAÇÃO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Testemunhas: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tc>
        <w:tc>
          <w:tcPr>
            <w:tcW w:w="761" w:type="dxa"/>
            <w:tcBorders>
              <w:top w:val="nil"/>
              <w:left w:val="nil"/>
              <w:bottom w:val="nil"/>
              <w:right w:val="nil"/>
            </w:tcBorders>
          </w:tcPr>
          <w:p w:rsidR="006C145C" w:rsidRDefault="006C145C"/>
        </w:tc>
        <w:tc>
          <w:tcPr>
            <w:tcW w:w="2847" w:type="dxa"/>
            <w:tcBorders>
              <w:top w:val="nil"/>
              <w:left w:val="nil"/>
              <w:bottom w:val="nil"/>
              <w:right w:val="nil"/>
            </w:tcBorders>
          </w:tcPr>
          <w:p w:rsidR="006C145C" w:rsidRDefault="00C62E5A">
            <w:pPr>
              <w:spacing w:after="0"/>
              <w:ind w:left="113" w:hanging="113"/>
              <w:jc w:val="both"/>
            </w:pPr>
            <w:r>
              <w:rPr>
                <w:rFonts w:ascii="Arial" w:eastAsia="Arial" w:hAnsi="Arial" w:cs="Arial"/>
                <w:sz w:val="20"/>
              </w:rPr>
              <w:t xml:space="preserve">Assinatura do representante da </w:t>
            </w:r>
            <w:r>
              <w:rPr>
                <w:rFonts w:ascii="Arial" w:eastAsia="Arial" w:hAnsi="Arial" w:cs="Arial"/>
                <w:b/>
                <w:sz w:val="20"/>
              </w:rPr>
              <w:t xml:space="preserve">INSTITUIÇÃO FINANCEIRA </w:t>
            </w:r>
          </w:p>
        </w:tc>
      </w:tr>
      <w:tr w:rsidR="006C145C">
        <w:trPr>
          <w:trHeight w:val="457"/>
        </w:trPr>
        <w:tc>
          <w:tcPr>
            <w:tcW w:w="4643" w:type="dxa"/>
            <w:tcBorders>
              <w:top w:val="nil"/>
              <w:left w:val="nil"/>
              <w:bottom w:val="nil"/>
              <w:right w:val="nil"/>
            </w:tcBorders>
          </w:tcPr>
          <w:p w:rsidR="006C145C" w:rsidRDefault="00C62E5A">
            <w:pPr>
              <w:spacing w:after="0"/>
              <w:ind w:left="113" w:right="3433"/>
            </w:pPr>
            <w:r>
              <w:rPr>
                <w:rFonts w:ascii="Arial" w:eastAsia="Arial" w:hAnsi="Arial" w:cs="Arial"/>
                <w:sz w:val="20"/>
              </w:rPr>
              <w:t>Nome: CPF:</w:t>
            </w:r>
            <w:r>
              <w:rPr>
                <w:rFonts w:ascii="Arial" w:eastAsia="Arial" w:hAnsi="Arial" w:cs="Arial"/>
                <w:b/>
                <w:sz w:val="20"/>
              </w:rPr>
              <w:t xml:space="preserve"> </w:t>
            </w:r>
          </w:p>
        </w:tc>
        <w:tc>
          <w:tcPr>
            <w:tcW w:w="761" w:type="dxa"/>
            <w:tcBorders>
              <w:top w:val="nil"/>
              <w:left w:val="nil"/>
              <w:bottom w:val="nil"/>
              <w:right w:val="nil"/>
            </w:tcBorders>
          </w:tcPr>
          <w:p w:rsidR="006C145C" w:rsidRDefault="00C62E5A">
            <w:pPr>
              <w:spacing w:after="0"/>
            </w:pPr>
            <w:r>
              <w:rPr>
                <w:rFonts w:ascii="Arial" w:eastAsia="Arial" w:hAnsi="Arial" w:cs="Arial"/>
                <w:sz w:val="20"/>
              </w:rPr>
              <w:t>Nome: CPF:</w:t>
            </w:r>
            <w:r>
              <w:rPr>
                <w:rFonts w:ascii="Arial" w:eastAsia="Arial" w:hAnsi="Arial" w:cs="Arial"/>
                <w:b/>
                <w:sz w:val="20"/>
              </w:rPr>
              <w:t xml:space="preserve"> </w:t>
            </w:r>
          </w:p>
        </w:tc>
        <w:tc>
          <w:tcPr>
            <w:tcW w:w="2847" w:type="dxa"/>
            <w:tcBorders>
              <w:top w:val="nil"/>
              <w:left w:val="nil"/>
              <w:bottom w:val="nil"/>
              <w:right w:val="nil"/>
            </w:tcBorders>
          </w:tcPr>
          <w:p w:rsidR="006C145C" w:rsidRDefault="006C145C"/>
        </w:tc>
      </w:tr>
    </w:tbl>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r>
        <w:rPr>
          <w:rFonts w:ascii="Arial" w:eastAsia="Arial" w:hAnsi="Arial" w:cs="Arial"/>
          <w:sz w:val="20"/>
        </w:rPr>
        <w:tab/>
        <w:t xml:space="preserve"> </w:t>
      </w:r>
      <w:r>
        <w:br w:type="page"/>
      </w:r>
    </w:p>
    <w:tbl>
      <w:tblPr>
        <w:tblStyle w:val="TableGrid"/>
        <w:tblW w:w="9300" w:type="dxa"/>
        <w:tblInd w:w="-113" w:type="dxa"/>
        <w:tblCellMar>
          <w:top w:w="29" w:type="dxa"/>
          <w:left w:w="113" w:type="dxa"/>
          <w:bottom w:w="0" w:type="dxa"/>
          <w:right w:w="0" w:type="dxa"/>
        </w:tblCellMar>
        <w:tblLook w:val="04A0" w:firstRow="1" w:lastRow="0" w:firstColumn="1" w:lastColumn="0" w:noHBand="0" w:noVBand="1"/>
      </w:tblPr>
      <w:tblGrid>
        <w:gridCol w:w="9300"/>
      </w:tblGrid>
      <w:tr w:rsidR="006C145C">
        <w:trPr>
          <w:trHeight w:val="10861"/>
        </w:trPr>
        <w:tc>
          <w:tcPr>
            <w:tcW w:w="9300"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right="120"/>
              <w:jc w:val="center"/>
            </w:pPr>
            <w:r>
              <w:rPr>
                <w:rFonts w:ascii="Arial" w:eastAsia="Arial" w:hAnsi="Arial" w:cs="Arial"/>
                <w:b/>
                <w:sz w:val="20"/>
              </w:rPr>
              <w:lastRenderedPageBreak/>
              <w:t xml:space="preserve">Anexo A do Termo de Cooperação Técnica nº _____/_____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Ofício nº _____/_____ - ADMINISTRAÇÃO PÚBLICA FEDERAL </w:t>
            </w:r>
          </w:p>
          <w:p w:rsidR="006C145C" w:rsidRDefault="00C62E5A">
            <w:pPr>
              <w:spacing w:after="0"/>
            </w:pPr>
            <w:r>
              <w:rPr>
                <w:rFonts w:ascii="Arial" w:eastAsia="Arial" w:hAnsi="Arial" w:cs="Arial"/>
                <w:sz w:val="20"/>
              </w:rPr>
              <w:t xml:space="preserve"> </w:t>
            </w:r>
          </w:p>
          <w:p w:rsidR="006C145C" w:rsidRDefault="00C62E5A">
            <w:pPr>
              <w:spacing w:after="0"/>
              <w:ind w:right="117"/>
              <w:jc w:val="right"/>
            </w:pPr>
            <w:r>
              <w:rPr>
                <w:rFonts w:ascii="Arial" w:eastAsia="Arial" w:hAnsi="Arial" w:cs="Arial"/>
                <w:sz w:val="20"/>
              </w:rPr>
              <w:t xml:space="preserve">__________ de _______________de 20__.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A Sua Senhoria o(a) Senhor(a)  </w:t>
            </w:r>
          </w:p>
          <w:p w:rsidR="006C145C" w:rsidRDefault="00C62E5A">
            <w:pPr>
              <w:spacing w:after="0"/>
            </w:pPr>
            <w:r>
              <w:rPr>
                <w:rFonts w:ascii="Arial" w:eastAsia="Arial" w:hAnsi="Arial" w:cs="Arial"/>
                <w:sz w:val="20"/>
              </w:rPr>
              <w:t xml:space="preserve">(nome)  </w:t>
            </w:r>
          </w:p>
          <w:p w:rsidR="006C145C" w:rsidRDefault="00C62E5A">
            <w:pPr>
              <w:spacing w:after="0"/>
            </w:pPr>
            <w:r>
              <w:rPr>
                <w:rFonts w:ascii="Arial" w:eastAsia="Arial" w:hAnsi="Arial" w:cs="Arial"/>
                <w:sz w:val="20"/>
              </w:rPr>
              <w:t xml:space="preserve">(cargo/Gerente)  </w:t>
            </w:r>
          </w:p>
          <w:p w:rsidR="006C145C" w:rsidRDefault="00C62E5A">
            <w:pPr>
              <w:spacing w:after="0"/>
            </w:pPr>
            <w:r>
              <w:rPr>
                <w:rFonts w:ascii="Arial" w:eastAsia="Arial" w:hAnsi="Arial" w:cs="Arial"/>
                <w:sz w:val="20"/>
              </w:rPr>
              <w:t xml:space="preserve">(Endereço com CEP)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Senhor(a) Gerente,  </w:t>
            </w:r>
          </w:p>
          <w:p w:rsidR="006C145C" w:rsidRDefault="00C62E5A">
            <w:pPr>
              <w:spacing w:after="0"/>
            </w:pPr>
            <w:r>
              <w:rPr>
                <w:rFonts w:ascii="Arial" w:eastAsia="Arial" w:hAnsi="Arial" w:cs="Arial"/>
                <w:sz w:val="20"/>
              </w:rPr>
              <w:t xml:space="preserve"> </w:t>
            </w:r>
          </w:p>
          <w:p w:rsidR="006C145C" w:rsidRDefault="00C62E5A">
            <w:pPr>
              <w:spacing w:after="0" w:line="241" w:lineRule="auto"/>
              <w:ind w:right="118"/>
              <w:jc w:val="both"/>
            </w:pPr>
            <w:r>
              <w:rPr>
                <w:rFonts w:ascii="Arial" w:eastAsia="Arial" w:hAnsi="Arial" w:cs="Arial"/>
                <w:sz w:val="20"/>
              </w:rPr>
              <w:t>Reporto-me ao Termo de Cooperação Técnica nº _____/_____, firmado com essa Instituição, para solicitar que, excepcionalmente, promova o cadastramento d</w:t>
            </w:r>
            <w:r>
              <w:rPr>
                <w:rFonts w:ascii="Arial" w:eastAsia="Arial" w:hAnsi="Arial" w:cs="Arial"/>
                <w:sz w:val="20"/>
              </w:rPr>
              <w:t xml:space="preserve">e contadepósito vinculada – bloqueada para movimentação –, em nome do Prestador de Serviços a seguir indicado, destinada a receber recursos retidos de rubricas constantes na planilha de custos e formação de preços do Contrato nº ___/____, firmado por esta </w:t>
            </w:r>
            <w:r>
              <w:rPr>
                <w:rFonts w:ascii="Arial" w:eastAsia="Arial" w:hAnsi="Arial" w:cs="Arial"/>
                <w:sz w:val="20"/>
              </w:rPr>
              <w:t xml:space="preserve">ADMINISTRAÇÃO PÚBLICA FEDERAL: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CNPJ: ______________  </w:t>
            </w:r>
          </w:p>
          <w:p w:rsidR="006C145C" w:rsidRDefault="00C62E5A">
            <w:pPr>
              <w:spacing w:after="0"/>
            </w:pPr>
            <w:r>
              <w:rPr>
                <w:rFonts w:ascii="Arial" w:eastAsia="Arial" w:hAnsi="Arial" w:cs="Arial"/>
                <w:sz w:val="20"/>
              </w:rPr>
              <w:t xml:space="preserve">Razão Social:________________________  </w:t>
            </w:r>
          </w:p>
          <w:p w:rsidR="006C145C" w:rsidRDefault="00C62E5A">
            <w:pPr>
              <w:spacing w:after="0" w:line="241" w:lineRule="auto"/>
              <w:ind w:right="3418"/>
            </w:pPr>
            <w:r>
              <w:rPr>
                <w:rFonts w:ascii="Arial" w:eastAsia="Arial" w:hAnsi="Arial" w:cs="Arial"/>
                <w:sz w:val="20"/>
              </w:rPr>
              <w:t xml:space="preserve">Nome Personalizado: _________________________  Endereço: __________________________________  </w:t>
            </w:r>
          </w:p>
          <w:p w:rsidR="006C145C" w:rsidRDefault="00C62E5A">
            <w:pPr>
              <w:spacing w:after="0"/>
            </w:pPr>
            <w:r>
              <w:rPr>
                <w:rFonts w:ascii="Arial" w:eastAsia="Arial" w:hAnsi="Arial" w:cs="Arial"/>
                <w:sz w:val="20"/>
              </w:rPr>
              <w:t xml:space="preserve">Representante Legal: __________________________  </w:t>
            </w:r>
          </w:p>
          <w:p w:rsidR="006C145C" w:rsidRDefault="00C62E5A">
            <w:pPr>
              <w:spacing w:after="0"/>
            </w:pPr>
            <w:r>
              <w:rPr>
                <w:rFonts w:ascii="Arial" w:eastAsia="Arial" w:hAnsi="Arial" w:cs="Arial"/>
                <w:sz w:val="20"/>
              </w:rPr>
              <w:t xml:space="preserve">CPF do Representante Legal: ______________________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Atenciosamente,  </w:t>
            </w:r>
          </w:p>
          <w:p w:rsidR="006C145C" w:rsidRDefault="00C62E5A">
            <w:pPr>
              <w:spacing w:after="0"/>
            </w:pPr>
            <w:r>
              <w:rPr>
                <w:rFonts w:ascii="Arial" w:eastAsia="Arial" w:hAnsi="Arial" w:cs="Arial"/>
                <w:sz w:val="20"/>
              </w:rPr>
              <w:t xml:space="preserve"> </w:t>
            </w:r>
          </w:p>
          <w:p w:rsidR="006C145C" w:rsidRDefault="00C62E5A">
            <w:pPr>
              <w:spacing w:after="0" w:line="241" w:lineRule="auto"/>
              <w:ind w:left="1728" w:right="1788"/>
              <w:jc w:val="center"/>
            </w:pPr>
            <w:r>
              <w:rPr>
                <w:rFonts w:ascii="Arial" w:eastAsia="Arial" w:hAnsi="Arial" w:cs="Arial"/>
                <w:sz w:val="20"/>
              </w:rPr>
              <w:t xml:space="preserve">__________________________________________ Assinatura do </w:t>
            </w:r>
          </w:p>
          <w:p w:rsidR="006C145C" w:rsidRDefault="00C62E5A">
            <w:pPr>
              <w:spacing w:after="2" w:line="239" w:lineRule="auto"/>
              <w:ind w:left="1812" w:right="1872"/>
              <w:jc w:val="center"/>
            </w:pPr>
            <w:r>
              <w:rPr>
                <w:rFonts w:ascii="Arial" w:eastAsia="Arial" w:hAnsi="Arial" w:cs="Arial"/>
                <w:sz w:val="20"/>
              </w:rPr>
              <w:t xml:space="preserve">Ordenador de Despesas da Administração Pública Federal ou do servidor previamente designado pelo ordenador </w:t>
            </w:r>
          </w:p>
          <w:p w:rsidR="006C145C" w:rsidRDefault="00C62E5A">
            <w:pPr>
              <w:spacing w:after="0"/>
              <w:ind w:right="57"/>
              <w:jc w:val="center"/>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tc>
      </w:tr>
    </w:tbl>
    <w:p w:rsidR="006C145C" w:rsidRDefault="00C62E5A">
      <w:pPr>
        <w:spacing w:after="0"/>
        <w:jc w:val="both"/>
      </w:pPr>
      <w:r>
        <w:rPr>
          <w:rFonts w:ascii="Arial" w:eastAsia="Arial" w:hAnsi="Arial" w:cs="Arial"/>
          <w:sz w:val="20"/>
        </w:rPr>
        <w:t xml:space="preserve"> </w:t>
      </w:r>
      <w:r>
        <w:rPr>
          <w:rFonts w:ascii="Arial" w:eastAsia="Arial" w:hAnsi="Arial" w:cs="Arial"/>
          <w:sz w:val="20"/>
        </w:rPr>
        <w:tab/>
        <w:t xml:space="preserve"> </w:t>
      </w:r>
    </w:p>
    <w:tbl>
      <w:tblPr>
        <w:tblStyle w:val="TableGrid"/>
        <w:tblW w:w="9179" w:type="dxa"/>
        <w:tblInd w:w="-53" w:type="dxa"/>
        <w:tblCellMar>
          <w:top w:w="31" w:type="dxa"/>
          <w:left w:w="53" w:type="dxa"/>
          <w:bottom w:w="0" w:type="dxa"/>
          <w:right w:w="0" w:type="dxa"/>
        </w:tblCellMar>
        <w:tblLook w:val="04A0" w:firstRow="1" w:lastRow="0" w:firstColumn="1" w:lastColumn="0" w:noHBand="0" w:noVBand="1"/>
      </w:tblPr>
      <w:tblGrid>
        <w:gridCol w:w="9179"/>
      </w:tblGrid>
      <w:tr w:rsidR="006C145C">
        <w:trPr>
          <w:trHeight w:val="12242"/>
        </w:trPr>
        <w:tc>
          <w:tcPr>
            <w:tcW w:w="9179"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sz w:val="20"/>
              </w:rPr>
              <w:lastRenderedPageBreak/>
              <w:t xml:space="preserve"> </w:t>
            </w:r>
          </w:p>
          <w:p w:rsidR="006C145C" w:rsidRDefault="00C62E5A">
            <w:pPr>
              <w:spacing w:after="0"/>
              <w:ind w:right="61"/>
              <w:jc w:val="center"/>
            </w:pPr>
            <w:r>
              <w:rPr>
                <w:rFonts w:ascii="Arial" w:eastAsia="Arial" w:hAnsi="Arial" w:cs="Arial"/>
                <w:b/>
                <w:sz w:val="20"/>
              </w:rPr>
              <w:t xml:space="preserve">Anexo B do Termo de Cooperação Técnica nº _______/_________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INSTITUIÇÃO  </w:t>
            </w:r>
          </w:p>
          <w:p w:rsidR="006C145C" w:rsidRDefault="00C62E5A">
            <w:pPr>
              <w:spacing w:after="0" w:line="241" w:lineRule="auto"/>
              <w:ind w:right="6627"/>
            </w:pPr>
            <w:r>
              <w:rPr>
                <w:rFonts w:ascii="Arial" w:eastAsia="Arial" w:hAnsi="Arial" w:cs="Arial"/>
                <w:sz w:val="20"/>
              </w:rPr>
              <w:t xml:space="preserve">FINANCEIRA  (LOGOTIPO) </w:t>
            </w:r>
          </w:p>
          <w:p w:rsidR="006C145C" w:rsidRDefault="00C62E5A">
            <w:pPr>
              <w:spacing w:after="0"/>
              <w:ind w:right="57"/>
              <w:jc w:val="right"/>
            </w:pPr>
            <w:r>
              <w:rPr>
                <w:rFonts w:ascii="Arial" w:eastAsia="Arial" w:hAnsi="Arial" w:cs="Arial"/>
                <w:sz w:val="20"/>
              </w:rPr>
              <w:t xml:space="preserve"> __________, ___ de ___________ de 20__. </w:t>
            </w:r>
          </w:p>
          <w:p w:rsidR="006C145C" w:rsidRDefault="00C62E5A">
            <w:pPr>
              <w:spacing w:after="0"/>
              <w:ind w:right="-3"/>
              <w:jc w:val="right"/>
            </w:pPr>
            <w:r>
              <w:rPr>
                <w:rFonts w:ascii="Arial" w:eastAsia="Arial" w:hAnsi="Arial" w:cs="Arial"/>
                <w:sz w:val="20"/>
              </w:rPr>
              <w:t xml:space="preserve"> </w:t>
            </w:r>
          </w:p>
          <w:p w:rsidR="006C145C" w:rsidRDefault="00C62E5A">
            <w:pPr>
              <w:spacing w:after="0"/>
              <w:ind w:right="-3"/>
              <w:jc w:val="right"/>
            </w:pPr>
            <w:r>
              <w:rPr>
                <w:rFonts w:ascii="Arial" w:eastAsia="Arial" w:hAnsi="Arial" w:cs="Arial"/>
                <w:sz w:val="20"/>
              </w:rPr>
              <w:t xml:space="preserve"> </w:t>
            </w:r>
          </w:p>
          <w:p w:rsidR="006C145C" w:rsidRDefault="00C62E5A">
            <w:pPr>
              <w:spacing w:after="0"/>
              <w:ind w:right="-3"/>
              <w:jc w:val="right"/>
            </w:pPr>
            <w:r>
              <w:rPr>
                <w:rFonts w:ascii="Arial" w:eastAsia="Arial" w:hAnsi="Arial" w:cs="Arial"/>
                <w:sz w:val="20"/>
              </w:rPr>
              <w:t xml:space="preserve"> </w:t>
            </w:r>
          </w:p>
          <w:p w:rsidR="006C145C" w:rsidRDefault="00C62E5A">
            <w:pPr>
              <w:spacing w:after="0"/>
              <w:ind w:right="-3"/>
              <w:jc w:val="right"/>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Ao (A) Senhor (a)  </w:t>
            </w:r>
          </w:p>
          <w:p w:rsidR="006C145C" w:rsidRDefault="00C62E5A">
            <w:pPr>
              <w:spacing w:after="2" w:line="240" w:lineRule="auto"/>
              <w:ind w:right="1445"/>
            </w:pPr>
            <w:r>
              <w:rPr>
                <w:rFonts w:ascii="Arial" w:eastAsia="Arial" w:hAnsi="Arial" w:cs="Arial"/>
                <w:sz w:val="20"/>
              </w:rPr>
              <w:t xml:space="preserve">Nome e cargo do representante da ADMINISTRAÇÃO PÚBLICA FEDERAL  Endereço </w:t>
            </w:r>
          </w:p>
          <w:p w:rsidR="006C145C" w:rsidRDefault="00C62E5A">
            <w:pPr>
              <w:spacing w:after="0"/>
              <w:ind w:right="-3"/>
              <w:jc w:val="right"/>
            </w:pPr>
            <w:r>
              <w:rPr>
                <w:rFonts w:ascii="Arial" w:eastAsia="Arial" w:hAnsi="Arial" w:cs="Arial"/>
                <w:sz w:val="20"/>
              </w:rPr>
              <w:t xml:space="preserve"> </w:t>
            </w:r>
          </w:p>
          <w:p w:rsidR="006C145C" w:rsidRDefault="00C62E5A">
            <w:pPr>
              <w:spacing w:after="0"/>
              <w:ind w:right="-3"/>
              <w:jc w:val="right"/>
            </w:pPr>
            <w:r>
              <w:rPr>
                <w:rFonts w:ascii="Arial" w:eastAsia="Arial" w:hAnsi="Arial" w:cs="Arial"/>
                <w:sz w:val="20"/>
              </w:rPr>
              <w:t xml:space="preserve"> </w:t>
            </w:r>
          </w:p>
          <w:p w:rsidR="006C145C" w:rsidRDefault="00C62E5A">
            <w:pPr>
              <w:spacing w:after="0"/>
              <w:ind w:right="-3"/>
              <w:jc w:val="right"/>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line="242" w:lineRule="auto"/>
              <w:ind w:right="56"/>
              <w:jc w:val="both"/>
            </w:pPr>
            <w:r>
              <w:rPr>
                <w:rFonts w:ascii="Arial" w:eastAsia="Arial" w:hAnsi="Arial" w:cs="Arial"/>
                <w:sz w:val="20"/>
              </w:rPr>
              <w:t>Senhor (a) _________, Em atenção ao Ofício ________ informamos que o representante legal da empresa_______________________, CNPJ _________________, deverá comparecer à agênci</w:t>
            </w:r>
            <w:r>
              <w:rPr>
                <w:rFonts w:ascii="Arial" w:eastAsia="Arial" w:hAnsi="Arial" w:cs="Arial"/>
                <w:sz w:val="20"/>
              </w:rPr>
              <w:t>a_____________________ para assinar o contrato da abertura de ContaDepósito Vinculada ― bloqueada para movimentação, destinada a receber créditos ao amparo na IN nº ___de ___ de ___ de ____, a título de provisão para encargos trabalhistas do Contrato nº___</w:t>
            </w:r>
            <w:r>
              <w:rPr>
                <w:rFonts w:ascii="Arial" w:eastAsia="Arial" w:hAnsi="Arial" w:cs="Arial"/>
                <w:sz w:val="20"/>
              </w:rPr>
              <w:t xml:space="preserve">_____.  </w:t>
            </w:r>
          </w:p>
          <w:p w:rsidR="006C145C" w:rsidRDefault="00C62E5A">
            <w:pPr>
              <w:spacing w:after="0"/>
            </w:pPr>
            <w:r>
              <w:rPr>
                <w:rFonts w:ascii="Arial" w:eastAsia="Arial" w:hAnsi="Arial" w:cs="Arial"/>
                <w:sz w:val="20"/>
              </w:rPr>
              <w:t xml:space="preserve"> </w:t>
            </w:r>
          </w:p>
          <w:p w:rsidR="006C145C" w:rsidRDefault="00C62E5A">
            <w:pPr>
              <w:spacing w:after="0" w:line="241" w:lineRule="auto"/>
              <w:ind w:right="54"/>
              <w:jc w:val="both"/>
            </w:pPr>
            <w:r>
              <w:rPr>
                <w:rFonts w:ascii="Arial" w:eastAsia="Arial" w:hAnsi="Arial" w:cs="Arial"/>
                <w:sz w:val="20"/>
              </w:rPr>
              <w:t xml:space="preserve">Ratifico que, conforme previsto no Termo de Cooperação Técnica nº ____/- _____firmado com a Instituição Financeira, qualquer tipo de movimentação financeira somente ocorrerá mediante solicitação da ADMINISTRAÇÃO PÚBLICA FEDERAL.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ind w:right="61"/>
              <w:jc w:val="center"/>
            </w:pPr>
            <w:r>
              <w:rPr>
                <w:rFonts w:ascii="Arial" w:eastAsia="Arial" w:hAnsi="Arial" w:cs="Arial"/>
                <w:sz w:val="20"/>
              </w:rPr>
              <w:t xml:space="preserve">_________________________________, </w:t>
            </w:r>
          </w:p>
          <w:p w:rsidR="006C145C" w:rsidRDefault="00C62E5A">
            <w:pPr>
              <w:spacing w:after="0"/>
              <w:ind w:right="58"/>
              <w:jc w:val="center"/>
            </w:pPr>
            <w:r>
              <w:rPr>
                <w:rFonts w:ascii="Arial" w:eastAsia="Arial" w:hAnsi="Arial" w:cs="Arial"/>
                <w:sz w:val="20"/>
              </w:rPr>
              <w:t xml:space="preserve">Gerente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lastRenderedPageBreak/>
              <w:t xml:space="preserve"> </w:t>
            </w:r>
          </w:p>
          <w:p w:rsidR="006C145C" w:rsidRDefault="00C62E5A">
            <w:pPr>
              <w:spacing w:after="0"/>
            </w:pPr>
            <w:r>
              <w:rPr>
                <w:rFonts w:ascii="Arial" w:eastAsia="Arial" w:hAnsi="Arial" w:cs="Arial"/>
                <w:sz w:val="20"/>
              </w:rPr>
              <w:t xml:space="preserve"> </w:t>
            </w:r>
          </w:p>
        </w:tc>
      </w:tr>
    </w:tbl>
    <w:p w:rsidR="006C145C" w:rsidRDefault="00C62E5A">
      <w:pPr>
        <w:spacing w:after="0"/>
      </w:pPr>
      <w:r>
        <w:rPr>
          <w:rFonts w:ascii="Arial" w:eastAsia="Arial" w:hAnsi="Arial" w:cs="Arial"/>
          <w:sz w:val="20"/>
        </w:rPr>
        <w:lastRenderedPageBreak/>
        <w:t xml:space="preserve"> </w:t>
      </w:r>
      <w:r>
        <w:rPr>
          <w:rFonts w:ascii="Arial" w:eastAsia="Arial" w:hAnsi="Arial" w:cs="Arial"/>
          <w:sz w:val="20"/>
        </w:rPr>
        <w:tab/>
        <w:t xml:space="preserve"> </w:t>
      </w:r>
    </w:p>
    <w:p w:rsidR="006C145C" w:rsidRDefault="00C62E5A">
      <w:pPr>
        <w:pBdr>
          <w:top w:val="single" w:sz="4" w:space="0" w:color="000000"/>
          <w:left w:val="single" w:sz="4" w:space="0" w:color="000000"/>
          <w:bottom w:val="single" w:sz="4" w:space="0" w:color="000000"/>
          <w:right w:val="single" w:sz="4" w:space="0" w:color="000000"/>
        </w:pBdr>
        <w:spacing w:after="0"/>
        <w:ind w:left="10" w:hanging="10"/>
        <w:jc w:val="center"/>
      </w:pPr>
      <w:r>
        <w:rPr>
          <w:rFonts w:ascii="Arial" w:eastAsia="Arial" w:hAnsi="Arial" w:cs="Arial"/>
          <w:b/>
          <w:sz w:val="20"/>
        </w:rPr>
        <w:t xml:space="preserve">Anexo C do Termo de Cooperação Técnica nº _______/_________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4" w:line="249" w:lineRule="auto"/>
        <w:ind w:left="10" w:hanging="10"/>
        <w:jc w:val="both"/>
      </w:pPr>
      <w:r>
        <w:rPr>
          <w:rFonts w:ascii="Arial" w:eastAsia="Arial" w:hAnsi="Arial" w:cs="Arial"/>
          <w:sz w:val="20"/>
        </w:rPr>
        <w:lastRenderedPageBreak/>
        <w:t xml:space="preserve">INSTITUIÇÃO  </w:t>
      </w:r>
    </w:p>
    <w:p w:rsidR="006C145C" w:rsidRDefault="00C62E5A">
      <w:pPr>
        <w:pBdr>
          <w:top w:val="single" w:sz="4" w:space="0" w:color="000000"/>
          <w:left w:val="single" w:sz="4" w:space="0" w:color="000000"/>
          <w:bottom w:val="single" w:sz="4" w:space="0" w:color="000000"/>
          <w:right w:val="single" w:sz="4" w:space="0" w:color="000000"/>
        </w:pBdr>
        <w:spacing w:after="4" w:line="249" w:lineRule="auto"/>
        <w:ind w:left="10" w:hanging="10"/>
        <w:jc w:val="both"/>
      </w:pPr>
      <w:r>
        <w:rPr>
          <w:rFonts w:ascii="Arial" w:eastAsia="Arial" w:hAnsi="Arial" w:cs="Arial"/>
          <w:sz w:val="20"/>
        </w:rPr>
        <w:t xml:space="preserve">FINANCEIRA  </w:t>
      </w:r>
    </w:p>
    <w:p w:rsidR="006C145C" w:rsidRDefault="00C62E5A">
      <w:pPr>
        <w:pBdr>
          <w:top w:val="single" w:sz="4" w:space="0" w:color="000000"/>
          <w:left w:val="single" w:sz="4" w:space="0" w:color="000000"/>
          <w:bottom w:val="single" w:sz="4" w:space="0" w:color="000000"/>
          <w:right w:val="single" w:sz="4" w:space="0" w:color="000000"/>
        </w:pBdr>
        <w:spacing w:after="4" w:line="249" w:lineRule="auto"/>
        <w:ind w:left="10" w:hanging="10"/>
        <w:jc w:val="both"/>
      </w:pPr>
      <w:r>
        <w:rPr>
          <w:rFonts w:ascii="Arial" w:eastAsia="Arial" w:hAnsi="Arial" w:cs="Arial"/>
          <w:sz w:val="20"/>
        </w:rPr>
        <w:t xml:space="preserve">(LOGOTIPO)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4" w:line="249" w:lineRule="auto"/>
        <w:ind w:left="10" w:hanging="10"/>
        <w:jc w:val="both"/>
      </w:pPr>
      <w:r>
        <w:rPr>
          <w:rFonts w:ascii="Arial" w:eastAsia="Arial" w:hAnsi="Arial" w:cs="Arial"/>
          <w:sz w:val="20"/>
        </w:rPr>
        <w:t xml:space="preserve">Ofício nº ________/______ </w:t>
      </w:r>
    </w:p>
    <w:p w:rsidR="006C145C" w:rsidRDefault="00C62E5A">
      <w:pPr>
        <w:pBdr>
          <w:top w:val="single" w:sz="4" w:space="0" w:color="000000"/>
          <w:left w:val="single" w:sz="4" w:space="0" w:color="000000"/>
          <w:bottom w:val="single" w:sz="4" w:space="0" w:color="000000"/>
          <w:right w:val="single" w:sz="4" w:space="0" w:color="000000"/>
        </w:pBdr>
        <w:spacing w:after="0"/>
        <w:jc w:val="right"/>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jc w:val="right"/>
      </w:pPr>
      <w:r>
        <w:rPr>
          <w:rFonts w:ascii="Arial" w:eastAsia="Arial" w:hAnsi="Arial" w:cs="Arial"/>
          <w:sz w:val="20"/>
        </w:rPr>
        <w:t xml:space="preserve"> </w:t>
      </w:r>
      <w:r>
        <w:rPr>
          <w:rFonts w:ascii="Arial" w:eastAsia="Arial" w:hAnsi="Arial" w:cs="Arial"/>
          <w:sz w:val="20"/>
        </w:rPr>
        <w:t xml:space="preserve">__________, ___ de ___________ de 20__.  </w:t>
      </w:r>
    </w:p>
    <w:p w:rsidR="006C145C" w:rsidRDefault="00C62E5A">
      <w:pPr>
        <w:pBdr>
          <w:top w:val="single" w:sz="4" w:space="0" w:color="000000"/>
          <w:left w:val="single" w:sz="4" w:space="0" w:color="000000"/>
          <w:bottom w:val="single" w:sz="4" w:space="0" w:color="000000"/>
          <w:right w:val="single" w:sz="4" w:space="0" w:color="000000"/>
        </w:pBdr>
        <w:spacing w:after="0"/>
        <w:jc w:val="right"/>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jc w:val="right"/>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4" w:line="249" w:lineRule="auto"/>
        <w:ind w:left="10" w:hanging="10"/>
        <w:jc w:val="both"/>
      </w:pPr>
      <w:r>
        <w:rPr>
          <w:rFonts w:ascii="Arial" w:eastAsia="Arial" w:hAnsi="Arial" w:cs="Arial"/>
          <w:sz w:val="20"/>
        </w:rPr>
        <w:t xml:space="preserve">Senhor (a),  </w:t>
      </w:r>
    </w:p>
    <w:p w:rsidR="006C145C" w:rsidRDefault="00C62E5A">
      <w:pPr>
        <w:pBdr>
          <w:top w:val="single" w:sz="4" w:space="0" w:color="000000"/>
          <w:left w:val="single" w:sz="4" w:space="0" w:color="000000"/>
          <w:bottom w:val="single" w:sz="4" w:space="0" w:color="000000"/>
          <w:right w:val="single" w:sz="4" w:space="0" w:color="000000"/>
        </w:pBdr>
        <w:spacing w:after="0"/>
        <w:jc w:val="right"/>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4" w:line="249" w:lineRule="auto"/>
        <w:ind w:left="10" w:hanging="10"/>
        <w:jc w:val="both"/>
      </w:pPr>
      <w:r>
        <w:rPr>
          <w:rFonts w:ascii="Arial" w:eastAsia="Arial" w:hAnsi="Arial" w:cs="Arial"/>
          <w:sz w:val="20"/>
        </w:rPr>
        <w:t>Informamos abaixo os dados para abertura de Conta-Depósito Vinculada ― bloqueada para movimentação à empresa____________________, CNPJ _________________, na Agência _____________, da Instituição</w:t>
      </w:r>
      <w:r>
        <w:rPr>
          <w:rFonts w:ascii="Arial" w:eastAsia="Arial" w:hAnsi="Arial" w:cs="Arial"/>
          <w:sz w:val="20"/>
        </w:rPr>
        <w:t xml:space="preserve"> Financeira ______________, prefixo _______, destinada a receber os créditos ao amparo da IN nº ___de ___ de ___ de ____, da Secretaria de Gestão do Ministério do Planejamento, Desenvolvimento e Gestão: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4" w:line="249" w:lineRule="auto"/>
        <w:ind w:left="10" w:hanging="10"/>
        <w:jc w:val="both"/>
      </w:pPr>
      <w:r>
        <w:rPr>
          <w:rFonts w:ascii="Arial" w:eastAsia="Arial" w:hAnsi="Arial" w:cs="Arial"/>
          <w:sz w:val="20"/>
        </w:rPr>
        <w:t xml:space="preserve">Agência: ___________________  </w:t>
      </w:r>
    </w:p>
    <w:p w:rsidR="006C145C" w:rsidRDefault="00C62E5A">
      <w:pPr>
        <w:pBdr>
          <w:top w:val="single" w:sz="4" w:space="0" w:color="000000"/>
          <w:left w:val="single" w:sz="4" w:space="0" w:color="000000"/>
          <w:bottom w:val="single" w:sz="4" w:space="0" w:color="000000"/>
          <w:right w:val="single" w:sz="4" w:space="0" w:color="000000"/>
        </w:pBdr>
        <w:spacing w:after="4" w:line="249" w:lineRule="auto"/>
        <w:ind w:left="10" w:hanging="10"/>
        <w:jc w:val="both"/>
      </w:pPr>
      <w:r>
        <w:rPr>
          <w:rFonts w:ascii="Arial" w:eastAsia="Arial" w:hAnsi="Arial" w:cs="Arial"/>
          <w:sz w:val="20"/>
        </w:rPr>
        <w:t xml:space="preserve">Convenente Subordinante: Administração Pública Federal  </w:t>
      </w:r>
    </w:p>
    <w:p w:rsidR="006C145C" w:rsidRDefault="00C62E5A">
      <w:pPr>
        <w:pBdr>
          <w:top w:val="single" w:sz="4" w:space="0" w:color="000000"/>
          <w:left w:val="single" w:sz="4" w:space="0" w:color="000000"/>
          <w:bottom w:val="single" w:sz="4" w:space="0" w:color="000000"/>
          <w:right w:val="single" w:sz="4" w:space="0" w:color="000000"/>
        </w:pBdr>
        <w:spacing w:after="4" w:line="249" w:lineRule="auto"/>
        <w:ind w:left="10" w:hanging="10"/>
        <w:jc w:val="both"/>
      </w:pPr>
      <w:r>
        <w:rPr>
          <w:rFonts w:ascii="Arial" w:eastAsia="Arial" w:hAnsi="Arial" w:cs="Arial"/>
          <w:sz w:val="20"/>
        </w:rPr>
        <w:t xml:space="preserve">Cidade/Município: ____________________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4" w:line="249" w:lineRule="auto"/>
        <w:ind w:left="10" w:hanging="10"/>
        <w:jc w:val="both"/>
      </w:pPr>
      <w:r>
        <w:rPr>
          <w:rFonts w:ascii="Arial" w:eastAsia="Arial" w:hAnsi="Arial" w:cs="Arial"/>
          <w:sz w:val="20"/>
        </w:rPr>
        <w:t xml:space="preserve">Comunico que essa Administração Pública poderá realizar os créditos após pré- cadastramento no portal da Instituição Financeira, sítio __________________.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4" w:line="249" w:lineRule="auto"/>
        <w:ind w:left="10" w:hanging="10"/>
        <w:jc w:val="both"/>
      </w:pPr>
      <w:r>
        <w:rPr>
          <w:rFonts w:ascii="Arial" w:eastAsia="Arial" w:hAnsi="Arial" w:cs="Arial"/>
          <w:sz w:val="20"/>
        </w:rPr>
        <w:t xml:space="preserve">Ratifico que a conta somente será aberta após o acolhimento do primeiro depósito e, conforme Termo de Cooperação Técnica nº _____/_________, qualquer tipo de movimentação financeira ocorrerá mediante solicitação da ADMINISTRAÇÃOPÚBLICA FEDERAL.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4" w:line="249" w:lineRule="auto"/>
        <w:ind w:left="10" w:hanging="10"/>
        <w:jc w:val="both"/>
      </w:pPr>
      <w:r>
        <w:rPr>
          <w:rFonts w:ascii="Arial" w:eastAsia="Arial" w:hAnsi="Arial" w:cs="Arial"/>
          <w:sz w:val="20"/>
        </w:rPr>
        <w:t xml:space="preserve"> At</w:t>
      </w:r>
      <w:r>
        <w:rPr>
          <w:rFonts w:ascii="Arial" w:eastAsia="Arial" w:hAnsi="Arial" w:cs="Arial"/>
          <w:sz w:val="20"/>
        </w:rPr>
        <w:t xml:space="preserve">enciosamente,  </w:t>
      </w:r>
    </w:p>
    <w:p w:rsidR="006C145C" w:rsidRDefault="00C62E5A">
      <w:pPr>
        <w:pBdr>
          <w:top w:val="single" w:sz="4" w:space="0" w:color="000000"/>
          <w:left w:val="single" w:sz="4" w:space="0" w:color="000000"/>
          <w:bottom w:val="single" w:sz="4" w:space="0" w:color="000000"/>
          <w:right w:val="single" w:sz="4" w:space="0" w:color="000000"/>
        </w:pBdr>
        <w:spacing w:after="0"/>
        <w:jc w:val="right"/>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jc w:val="right"/>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jc w:val="right"/>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jc w:val="right"/>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3"/>
        <w:ind w:left="10" w:hanging="10"/>
        <w:jc w:val="center"/>
      </w:pPr>
      <w:r>
        <w:rPr>
          <w:rFonts w:ascii="Arial" w:eastAsia="Arial" w:hAnsi="Arial" w:cs="Arial"/>
          <w:sz w:val="20"/>
        </w:rPr>
        <w:t xml:space="preserve">_________________________________, </w:t>
      </w:r>
    </w:p>
    <w:p w:rsidR="006C145C" w:rsidRDefault="00C62E5A">
      <w:pPr>
        <w:pBdr>
          <w:top w:val="single" w:sz="4" w:space="0" w:color="000000"/>
          <w:left w:val="single" w:sz="4" w:space="0" w:color="000000"/>
          <w:bottom w:val="single" w:sz="4" w:space="0" w:color="000000"/>
          <w:right w:val="single" w:sz="4" w:space="0" w:color="000000"/>
        </w:pBdr>
        <w:spacing w:after="3"/>
        <w:ind w:left="10" w:hanging="10"/>
        <w:jc w:val="center"/>
      </w:pPr>
      <w:r>
        <w:rPr>
          <w:rFonts w:ascii="Arial" w:eastAsia="Arial" w:hAnsi="Arial" w:cs="Arial"/>
          <w:sz w:val="20"/>
        </w:rPr>
        <w:t xml:space="preserve">Gerente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lastRenderedPageBreak/>
        <w:t xml:space="preserve"> </w:t>
      </w:r>
    </w:p>
    <w:p w:rsidR="006C145C" w:rsidRDefault="00C62E5A">
      <w:pPr>
        <w:pBdr>
          <w:top w:val="single" w:sz="4" w:space="0" w:color="000000"/>
          <w:left w:val="single" w:sz="4" w:space="0" w:color="000000"/>
          <w:bottom w:val="single" w:sz="4" w:space="0" w:color="000000"/>
          <w:right w:val="single" w:sz="4" w:space="0" w:color="000000"/>
        </w:pBdr>
        <w:spacing w:after="12"/>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r>
        <w:rPr>
          <w:rFonts w:ascii="Arial" w:eastAsia="Arial" w:hAnsi="Arial" w:cs="Arial"/>
          <w:sz w:val="20"/>
        </w:rPr>
        <w:tab/>
        <w:t xml:space="preserve"> </w:t>
      </w:r>
    </w:p>
    <w:tbl>
      <w:tblPr>
        <w:tblStyle w:val="TableGrid"/>
        <w:tblW w:w="9179" w:type="dxa"/>
        <w:tblInd w:w="-53" w:type="dxa"/>
        <w:tblCellMar>
          <w:top w:w="29" w:type="dxa"/>
          <w:left w:w="53" w:type="dxa"/>
          <w:bottom w:w="0" w:type="dxa"/>
          <w:right w:w="0" w:type="dxa"/>
        </w:tblCellMar>
        <w:tblLook w:val="04A0" w:firstRow="1" w:lastRow="0" w:firstColumn="1" w:lastColumn="0" w:noHBand="0" w:noVBand="1"/>
      </w:tblPr>
      <w:tblGrid>
        <w:gridCol w:w="9179"/>
      </w:tblGrid>
      <w:tr w:rsidR="006C145C">
        <w:trPr>
          <w:trHeight w:val="13161"/>
        </w:trPr>
        <w:tc>
          <w:tcPr>
            <w:tcW w:w="9179"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right="59"/>
              <w:jc w:val="center"/>
            </w:pPr>
            <w:r>
              <w:rPr>
                <w:rFonts w:ascii="Arial" w:eastAsia="Arial" w:hAnsi="Arial" w:cs="Arial"/>
                <w:b/>
                <w:sz w:val="20"/>
              </w:rPr>
              <w:lastRenderedPageBreak/>
              <w:t xml:space="preserve">Anexo D do Termo de Cooperação Técnica nº _______/_________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Ofício nº ________/______ </w:t>
            </w:r>
          </w:p>
          <w:p w:rsidR="006C145C" w:rsidRDefault="00C62E5A">
            <w:pPr>
              <w:spacing w:after="0"/>
              <w:ind w:right="-3"/>
              <w:jc w:val="right"/>
            </w:pPr>
            <w:r>
              <w:rPr>
                <w:rFonts w:ascii="Arial" w:eastAsia="Arial" w:hAnsi="Arial" w:cs="Arial"/>
                <w:sz w:val="20"/>
              </w:rPr>
              <w:t xml:space="preserve"> </w:t>
            </w:r>
          </w:p>
          <w:p w:rsidR="006C145C" w:rsidRDefault="00C62E5A">
            <w:pPr>
              <w:spacing w:after="0"/>
              <w:ind w:right="58"/>
              <w:jc w:val="right"/>
            </w:pPr>
            <w:r>
              <w:rPr>
                <w:rFonts w:ascii="Arial" w:eastAsia="Arial" w:hAnsi="Arial" w:cs="Arial"/>
                <w:sz w:val="20"/>
              </w:rPr>
              <w:t xml:space="preserve">Local, ___ de ___________ de 20__. </w:t>
            </w:r>
          </w:p>
          <w:p w:rsidR="006C145C" w:rsidRDefault="00C62E5A">
            <w:pPr>
              <w:spacing w:after="0"/>
              <w:ind w:right="-3"/>
              <w:jc w:val="right"/>
            </w:pPr>
            <w:r>
              <w:rPr>
                <w:rFonts w:ascii="Arial" w:eastAsia="Arial" w:hAnsi="Arial" w:cs="Arial"/>
                <w:sz w:val="20"/>
              </w:rPr>
              <w:t xml:space="preserve"> </w:t>
            </w:r>
          </w:p>
          <w:p w:rsidR="006C145C" w:rsidRDefault="00C62E5A">
            <w:pPr>
              <w:spacing w:after="0"/>
              <w:ind w:right="-3"/>
              <w:jc w:val="right"/>
            </w:pPr>
            <w:r>
              <w:rPr>
                <w:rFonts w:ascii="Arial" w:eastAsia="Arial" w:hAnsi="Arial" w:cs="Arial"/>
                <w:sz w:val="20"/>
              </w:rPr>
              <w:t xml:space="preserve"> </w:t>
            </w:r>
          </w:p>
          <w:p w:rsidR="006C145C" w:rsidRDefault="00C62E5A">
            <w:pPr>
              <w:spacing w:after="0"/>
              <w:ind w:right="-3"/>
              <w:jc w:val="right"/>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A(o) Senhor(a) Gerente  </w:t>
            </w:r>
          </w:p>
          <w:p w:rsidR="006C145C" w:rsidRDefault="00C62E5A">
            <w:pPr>
              <w:spacing w:after="0"/>
            </w:pPr>
            <w:r>
              <w:rPr>
                <w:rFonts w:ascii="Arial" w:eastAsia="Arial" w:hAnsi="Arial" w:cs="Arial"/>
                <w:sz w:val="20"/>
              </w:rPr>
              <w:t xml:space="preserve">(nome do gerente)  </w:t>
            </w:r>
          </w:p>
          <w:p w:rsidR="006C145C" w:rsidRDefault="00C62E5A">
            <w:pPr>
              <w:spacing w:after="0"/>
            </w:pPr>
            <w:r>
              <w:rPr>
                <w:rFonts w:ascii="Arial" w:eastAsia="Arial" w:hAnsi="Arial" w:cs="Arial"/>
                <w:sz w:val="20"/>
              </w:rPr>
              <w:t xml:space="preserve">(endereço da agência com CEP) </w:t>
            </w:r>
          </w:p>
          <w:p w:rsidR="006C145C" w:rsidRDefault="00C62E5A">
            <w:pPr>
              <w:spacing w:after="0"/>
            </w:pPr>
            <w:r>
              <w:rPr>
                <w:rFonts w:ascii="Arial" w:eastAsia="Arial" w:hAnsi="Arial" w:cs="Arial"/>
                <w:sz w:val="20"/>
              </w:rPr>
              <w:t xml:space="preserve"> </w:t>
            </w:r>
          </w:p>
          <w:p w:rsidR="006C145C" w:rsidRDefault="00C62E5A">
            <w:pPr>
              <w:spacing w:after="0"/>
              <w:ind w:right="-3"/>
              <w:jc w:val="right"/>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Senhor (a) Gerente,  </w:t>
            </w:r>
          </w:p>
          <w:p w:rsidR="006C145C" w:rsidRDefault="00C62E5A">
            <w:pPr>
              <w:spacing w:after="0"/>
            </w:pPr>
            <w:r>
              <w:rPr>
                <w:rFonts w:ascii="Arial" w:eastAsia="Arial" w:hAnsi="Arial" w:cs="Arial"/>
                <w:sz w:val="20"/>
              </w:rPr>
              <w:t xml:space="preserve"> </w:t>
            </w:r>
          </w:p>
          <w:p w:rsidR="006C145C" w:rsidRDefault="00C62E5A">
            <w:pPr>
              <w:spacing w:after="0" w:line="241" w:lineRule="auto"/>
              <w:ind w:right="65"/>
              <w:jc w:val="both"/>
            </w:pPr>
            <w:r>
              <w:rPr>
                <w:rFonts w:ascii="Arial" w:eastAsia="Arial" w:hAnsi="Arial" w:cs="Arial"/>
                <w:sz w:val="20"/>
              </w:rPr>
              <w:t xml:space="preserve">Solicito DEBITAR, conforme indicado a seguir, a movimentação de R$ ______ da conta nº_________________ da agência nº _______de titularidade de____________________,  (nome do proponente)  </w:t>
            </w:r>
          </w:p>
          <w:p w:rsidR="006C145C" w:rsidRDefault="00C62E5A">
            <w:pPr>
              <w:spacing w:after="0"/>
            </w:pPr>
            <w:r>
              <w:rPr>
                <w:rFonts w:ascii="Arial" w:eastAsia="Arial" w:hAnsi="Arial" w:cs="Arial"/>
                <w:sz w:val="20"/>
              </w:rPr>
              <w:t xml:space="preserve"> </w:t>
            </w:r>
          </w:p>
          <w:p w:rsidR="006C145C" w:rsidRDefault="00C62E5A">
            <w:pPr>
              <w:spacing w:after="0" w:line="244" w:lineRule="auto"/>
              <w:ind w:right="56"/>
              <w:jc w:val="both"/>
            </w:pPr>
            <w:r>
              <w:rPr>
                <w:rFonts w:ascii="Arial" w:eastAsia="Arial" w:hAnsi="Arial" w:cs="Arial"/>
                <w:sz w:val="20"/>
              </w:rPr>
              <w:t xml:space="preserve">Inscrito no CNPJ sob o nº __________________________, aberta para </w:t>
            </w:r>
            <w:r>
              <w:rPr>
                <w:rFonts w:ascii="Arial" w:eastAsia="Arial" w:hAnsi="Arial" w:cs="Arial"/>
                <w:sz w:val="20"/>
              </w:rPr>
              <w:t xml:space="preserve">receber recursos retidos de rubricas constantes da planilha de custos e formação de preços do Contrato nº___/____, firmado por esta ADMINISTRAÇÃO PÚBLICA FEDERAL, e CREDITAR na seguinte Conta-Depósito Vinculada ― bloqueada para movimentação: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tabs>
                <w:tab w:val="center" w:pos="3192"/>
                <w:tab w:val="center" w:pos="4249"/>
                <w:tab w:val="center" w:pos="5222"/>
                <w:tab w:val="center" w:pos="6888"/>
              </w:tabs>
              <w:spacing w:after="0"/>
            </w:pPr>
            <w:r>
              <w:rPr>
                <w:rFonts w:ascii="Arial" w:eastAsia="Arial" w:hAnsi="Arial" w:cs="Arial"/>
                <w:sz w:val="20"/>
              </w:rPr>
              <w:t>Ins</w:t>
            </w:r>
            <w:r>
              <w:rPr>
                <w:rFonts w:ascii="Arial" w:eastAsia="Arial" w:hAnsi="Arial" w:cs="Arial"/>
                <w:sz w:val="20"/>
              </w:rPr>
              <w:t xml:space="preserve">tituição Financeira   </w:t>
            </w:r>
            <w:r>
              <w:rPr>
                <w:rFonts w:ascii="Arial" w:eastAsia="Arial" w:hAnsi="Arial" w:cs="Arial"/>
                <w:sz w:val="20"/>
              </w:rPr>
              <w:tab/>
              <w:t xml:space="preserve">Agência  </w:t>
            </w:r>
            <w:r>
              <w:rPr>
                <w:rFonts w:ascii="Arial" w:eastAsia="Arial" w:hAnsi="Arial" w:cs="Arial"/>
                <w:sz w:val="20"/>
              </w:rPr>
              <w:tab/>
              <w:t xml:space="preserve"> </w:t>
            </w:r>
            <w:r>
              <w:rPr>
                <w:rFonts w:ascii="Arial" w:eastAsia="Arial" w:hAnsi="Arial" w:cs="Arial"/>
                <w:sz w:val="20"/>
              </w:rPr>
              <w:tab/>
              <w:t xml:space="preserve">Conta   </w:t>
            </w:r>
            <w:r>
              <w:rPr>
                <w:rFonts w:ascii="Arial" w:eastAsia="Arial" w:hAnsi="Arial" w:cs="Arial"/>
                <w:sz w:val="20"/>
              </w:rPr>
              <w:tab/>
              <w:t xml:space="preserve">CPF /CNPJ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Atenciosamente,  </w:t>
            </w:r>
          </w:p>
          <w:p w:rsidR="006C145C" w:rsidRDefault="00C62E5A">
            <w:pPr>
              <w:spacing w:after="0"/>
              <w:ind w:right="-3"/>
              <w:jc w:val="right"/>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ind w:right="62"/>
              <w:jc w:val="center"/>
            </w:pPr>
            <w:r>
              <w:rPr>
                <w:rFonts w:ascii="Arial" w:eastAsia="Arial" w:hAnsi="Arial" w:cs="Arial"/>
                <w:sz w:val="20"/>
              </w:rPr>
              <w:t xml:space="preserve">_________________________________________ </w:t>
            </w:r>
          </w:p>
          <w:p w:rsidR="006C145C" w:rsidRDefault="00C62E5A">
            <w:pPr>
              <w:spacing w:after="0"/>
              <w:ind w:right="56"/>
              <w:jc w:val="center"/>
            </w:pPr>
            <w:r>
              <w:rPr>
                <w:rFonts w:ascii="Arial" w:eastAsia="Arial" w:hAnsi="Arial" w:cs="Arial"/>
                <w:sz w:val="20"/>
              </w:rPr>
              <w:t xml:space="preserve">Assinatura do </w:t>
            </w:r>
          </w:p>
          <w:p w:rsidR="006C145C" w:rsidRDefault="00C62E5A">
            <w:pPr>
              <w:spacing w:after="0" w:line="241" w:lineRule="auto"/>
              <w:ind w:left="1428" w:right="1428"/>
              <w:jc w:val="center"/>
            </w:pPr>
            <w:r>
              <w:rPr>
                <w:rFonts w:ascii="Arial" w:eastAsia="Arial" w:hAnsi="Arial" w:cs="Arial"/>
                <w:sz w:val="20"/>
              </w:rPr>
              <w:t xml:space="preserve">Ordenador de Despesas da Administração Pública Federal/ou servidor previamente designado pelo ordenador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lastRenderedPageBreak/>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tc>
      </w:tr>
    </w:tbl>
    <w:p w:rsidR="006C145C" w:rsidRDefault="00C62E5A">
      <w:pPr>
        <w:spacing w:after="0"/>
      </w:pPr>
      <w:r>
        <w:rPr>
          <w:rFonts w:ascii="Arial" w:eastAsia="Arial" w:hAnsi="Arial" w:cs="Arial"/>
          <w:sz w:val="20"/>
        </w:rPr>
        <w:lastRenderedPageBreak/>
        <w:t xml:space="preserve"> </w:t>
      </w:r>
      <w:r>
        <w:rPr>
          <w:rFonts w:ascii="Arial" w:eastAsia="Arial" w:hAnsi="Arial" w:cs="Arial"/>
          <w:sz w:val="20"/>
        </w:rPr>
        <w:tab/>
        <w:t xml:space="preserve"> </w:t>
      </w:r>
    </w:p>
    <w:tbl>
      <w:tblPr>
        <w:tblStyle w:val="TableGrid"/>
        <w:tblW w:w="9180" w:type="dxa"/>
        <w:tblInd w:w="-53" w:type="dxa"/>
        <w:tblCellMar>
          <w:top w:w="29" w:type="dxa"/>
          <w:left w:w="53" w:type="dxa"/>
          <w:bottom w:w="0" w:type="dxa"/>
          <w:right w:w="0" w:type="dxa"/>
        </w:tblCellMar>
        <w:tblLook w:val="04A0" w:firstRow="1" w:lastRow="0" w:firstColumn="1" w:lastColumn="0" w:noHBand="0" w:noVBand="1"/>
      </w:tblPr>
      <w:tblGrid>
        <w:gridCol w:w="9180"/>
      </w:tblGrid>
      <w:tr w:rsidR="006C145C">
        <w:trPr>
          <w:trHeight w:val="12242"/>
        </w:trPr>
        <w:tc>
          <w:tcPr>
            <w:tcW w:w="9180"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right="61"/>
              <w:jc w:val="center"/>
            </w:pPr>
            <w:r>
              <w:rPr>
                <w:rFonts w:ascii="Arial" w:eastAsia="Arial" w:hAnsi="Arial" w:cs="Arial"/>
                <w:b/>
                <w:sz w:val="20"/>
              </w:rPr>
              <w:lastRenderedPageBreak/>
              <w:t xml:space="preserve">Anexo E do Termo de Cooperação Técnica nº _______/_________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INSTITUIÇÃO  </w:t>
            </w:r>
          </w:p>
          <w:p w:rsidR="006C145C" w:rsidRDefault="00C62E5A">
            <w:pPr>
              <w:spacing w:after="0"/>
            </w:pPr>
            <w:r>
              <w:rPr>
                <w:rFonts w:ascii="Arial" w:eastAsia="Arial" w:hAnsi="Arial" w:cs="Arial"/>
                <w:sz w:val="20"/>
              </w:rPr>
              <w:t xml:space="preserve">FINANCEIRA  </w:t>
            </w:r>
          </w:p>
          <w:p w:rsidR="006C145C" w:rsidRDefault="00C62E5A">
            <w:pPr>
              <w:spacing w:after="0"/>
            </w:pPr>
            <w:r>
              <w:rPr>
                <w:rFonts w:ascii="Arial" w:eastAsia="Arial" w:hAnsi="Arial" w:cs="Arial"/>
                <w:sz w:val="20"/>
              </w:rPr>
              <w:t xml:space="preserve">(LOGOTIPO)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Ofício/Carta nº ________ (número sequencial) </w:t>
            </w:r>
          </w:p>
          <w:p w:rsidR="006C145C" w:rsidRDefault="00C62E5A">
            <w:pPr>
              <w:spacing w:after="0"/>
              <w:ind w:right="-3"/>
              <w:jc w:val="right"/>
            </w:pPr>
            <w:r>
              <w:rPr>
                <w:rFonts w:ascii="Arial" w:eastAsia="Arial" w:hAnsi="Arial" w:cs="Arial"/>
                <w:sz w:val="20"/>
              </w:rPr>
              <w:t xml:space="preserve"> </w:t>
            </w:r>
          </w:p>
          <w:p w:rsidR="006C145C" w:rsidRDefault="00C62E5A">
            <w:pPr>
              <w:spacing w:after="0"/>
              <w:ind w:right="60"/>
              <w:jc w:val="right"/>
            </w:pPr>
            <w:r>
              <w:rPr>
                <w:rFonts w:ascii="Arial" w:eastAsia="Arial" w:hAnsi="Arial" w:cs="Arial"/>
                <w:sz w:val="20"/>
              </w:rPr>
              <w:t xml:space="preserve">___________, ___ de ___________ de 20__. </w:t>
            </w:r>
          </w:p>
          <w:p w:rsidR="006C145C" w:rsidRDefault="00C62E5A">
            <w:pPr>
              <w:spacing w:after="0"/>
              <w:ind w:right="-3"/>
              <w:jc w:val="right"/>
            </w:pPr>
            <w:r>
              <w:rPr>
                <w:rFonts w:ascii="Arial" w:eastAsia="Arial" w:hAnsi="Arial" w:cs="Arial"/>
                <w:sz w:val="20"/>
              </w:rPr>
              <w:t xml:space="preserve"> </w:t>
            </w:r>
          </w:p>
          <w:p w:rsidR="006C145C" w:rsidRDefault="00C62E5A">
            <w:pPr>
              <w:spacing w:after="0"/>
              <w:ind w:right="-3"/>
              <w:jc w:val="right"/>
            </w:pPr>
            <w:r>
              <w:rPr>
                <w:rFonts w:ascii="Arial" w:eastAsia="Arial" w:hAnsi="Arial" w:cs="Arial"/>
                <w:sz w:val="20"/>
              </w:rPr>
              <w:t xml:space="preserve"> </w:t>
            </w:r>
          </w:p>
          <w:p w:rsidR="006C145C" w:rsidRDefault="00C62E5A">
            <w:pPr>
              <w:spacing w:after="0"/>
              <w:ind w:right="-3"/>
              <w:jc w:val="right"/>
            </w:pPr>
            <w:r>
              <w:rPr>
                <w:rFonts w:ascii="Arial" w:eastAsia="Arial" w:hAnsi="Arial" w:cs="Arial"/>
                <w:sz w:val="20"/>
              </w:rPr>
              <w:t xml:space="preserve"> </w:t>
            </w:r>
          </w:p>
          <w:p w:rsidR="006C145C" w:rsidRDefault="00C62E5A">
            <w:pPr>
              <w:spacing w:after="2" w:line="240" w:lineRule="auto"/>
              <w:ind w:left="708" w:right="2007"/>
            </w:pPr>
            <w:r>
              <w:rPr>
                <w:rFonts w:ascii="Arial" w:eastAsia="Arial" w:hAnsi="Arial" w:cs="Arial"/>
                <w:sz w:val="20"/>
              </w:rPr>
              <w:t xml:space="preserve">Senhor (a) __________________________________________,           (nome do representante da Administração Pública Federal) </w:t>
            </w:r>
          </w:p>
          <w:p w:rsidR="006C145C" w:rsidRDefault="00C62E5A">
            <w:pPr>
              <w:spacing w:after="0"/>
              <w:ind w:left="708"/>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line="253" w:lineRule="auto"/>
            </w:pPr>
            <w:r>
              <w:rPr>
                <w:rFonts w:ascii="Arial" w:eastAsia="Arial" w:hAnsi="Arial" w:cs="Arial"/>
                <w:sz w:val="20"/>
              </w:rPr>
              <w:t>Em atenção ao seu Ofício nº _______/20___ - _____, de _____/_____/20___, informo a efetivação de DÉBITO na conta-depósito vincu</w:t>
            </w:r>
            <w:r>
              <w:rPr>
                <w:rFonts w:ascii="Arial" w:eastAsia="Arial" w:hAnsi="Arial" w:cs="Arial"/>
                <w:sz w:val="20"/>
              </w:rPr>
              <w:t xml:space="preserve">lada – bloqueada para movimentação - de nº ___________________, da agência nº ________, da Instituição Financeira, e CRÉDITO na seguinte Conta-Depósito Vinculada ― bloqueada para movimentação: </w:t>
            </w:r>
          </w:p>
          <w:p w:rsidR="006C145C" w:rsidRDefault="00C62E5A">
            <w:pPr>
              <w:spacing w:after="0"/>
              <w:ind w:right="-3"/>
              <w:jc w:val="right"/>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CREDITAR </w:t>
            </w:r>
          </w:p>
          <w:p w:rsidR="006C145C" w:rsidRDefault="00C62E5A">
            <w:pPr>
              <w:tabs>
                <w:tab w:val="center" w:pos="3193"/>
                <w:tab w:val="center" w:pos="4249"/>
                <w:tab w:val="center" w:pos="5222"/>
                <w:tab w:val="center" w:pos="6889"/>
              </w:tabs>
              <w:spacing w:after="0"/>
            </w:pPr>
            <w:r>
              <w:rPr>
                <w:rFonts w:ascii="Arial" w:eastAsia="Arial" w:hAnsi="Arial" w:cs="Arial"/>
                <w:sz w:val="20"/>
              </w:rPr>
              <w:t xml:space="preserve">Instituição Financeira   </w:t>
            </w:r>
            <w:r>
              <w:rPr>
                <w:rFonts w:ascii="Arial" w:eastAsia="Arial" w:hAnsi="Arial" w:cs="Arial"/>
                <w:sz w:val="20"/>
              </w:rPr>
              <w:tab/>
              <w:t xml:space="preserve">Agência  </w:t>
            </w:r>
            <w:r>
              <w:rPr>
                <w:rFonts w:ascii="Arial" w:eastAsia="Arial" w:hAnsi="Arial" w:cs="Arial"/>
                <w:sz w:val="20"/>
              </w:rPr>
              <w:tab/>
              <w:t xml:space="preserve"> </w:t>
            </w:r>
            <w:r>
              <w:rPr>
                <w:rFonts w:ascii="Arial" w:eastAsia="Arial" w:hAnsi="Arial" w:cs="Arial"/>
                <w:sz w:val="20"/>
              </w:rPr>
              <w:tab/>
              <w:t xml:space="preserve">Conta </w:t>
            </w:r>
            <w:r>
              <w:rPr>
                <w:rFonts w:ascii="Arial" w:eastAsia="Arial" w:hAnsi="Arial" w:cs="Arial"/>
                <w:sz w:val="20"/>
              </w:rPr>
              <w:t xml:space="preserve">  </w:t>
            </w:r>
            <w:r>
              <w:rPr>
                <w:rFonts w:ascii="Arial" w:eastAsia="Arial" w:hAnsi="Arial" w:cs="Arial"/>
                <w:sz w:val="20"/>
              </w:rPr>
              <w:tab/>
              <w:t xml:space="preserve">CPF /CNPJ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Atenciosamente,  </w:t>
            </w:r>
          </w:p>
          <w:p w:rsidR="006C145C" w:rsidRDefault="00C62E5A">
            <w:pPr>
              <w:spacing w:after="0"/>
              <w:ind w:right="-3"/>
              <w:jc w:val="right"/>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line="241" w:lineRule="auto"/>
              <w:ind w:left="2894" w:right="2894"/>
              <w:jc w:val="center"/>
            </w:pPr>
            <w:r>
              <w:rPr>
                <w:rFonts w:ascii="Arial" w:eastAsia="Arial" w:hAnsi="Arial" w:cs="Arial"/>
                <w:sz w:val="20"/>
              </w:rPr>
              <w:t xml:space="preserve">_________________________ nome do Gerente) </w:t>
            </w:r>
          </w:p>
          <w:p w:rsidR="006C145C" w:rsidRDefault="00C62E5A">
            <w:pPr>
              <w:spacing w:after="0"/>
              <w:ind w:right="58"/>
              <w:jc w:val="center"/>
            </w:pPr>
            <w:r>
              <w:rPr>
                <w:rFonts w:ascii="Arial" w:eastAsia="Arial" w:hAnsi="Arial" w:cs="Arial"/>
                <w:sz w:val="20"/>
              </w:rPr>
              <w:t xml:space="preserve">Nº da Agência da Instituição Financeira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lastRenderedPageBreak/>
              <w:t xml:space="preserve"> </w:t>
            </w:r>
          </w:p>
          <w:p w:rsidR="006C145C" w:rsidRDefault="00C62E5A">
            <w:pPr>
              <w:spacing w:after="0"/>
            </w:pPr>
            <w:r>
              <w:rPr>
                <w:rFonts w:ascii="Arial" w:eastAsia="Arial" w:hAnsi="Arial" w:cs="Arial"/>
                <w:sz w:val="20"/>
              </w:rPr>
              <w:t xml:space="preserve"> </w:t>
            </w:r>
          </w:p>
        </w:tc>
      </w:tr>
    </w:tbl>
    <w:p w:rsidR="006C145C" w:rsidRDefault="00C62E5A">
      <w:pPr>
        <w:spacing w:after="0"/>
      </w:pPr>
      <w:r>
        <w:rPr>
          <w:rFonts w:ascii="Arial" w:eastAsia="Arial" w:hAnsi="Arial" w:cs="Arial"/>
          <w:sz w:val="20"/>
        </w:rPr>
        <w:lastRenderedPageBreak/>
        <w:t xml:space="preserve"> </w:t>
      </w:r>
      <w:r>
        <w:rPr>
          <w:rFonts w:ascii="Arial" w:eastAsia="Arial" w:hAnsi="Arial" w:cs="Arial"/>
          <w:sz w:val="20"/>
        </w:rPr>
        <w:tab/>
        <w:t xml:space="preserve"> </w:t>
      </w:r>
    </w:p>
    <w:p w:rsidR="006C145C" w:rsidRDefault="00C62E5A">
      <w:pPr>
        <w:spacing w:after="1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ind w:left="10" w:hanging="10"/>
        <w:jc w:val="center"/>
      </w:pPr>
      <w:r>
        <w:rPr>
          <w:rFonts w:ascii="Arial" w:eastAsia="Arial" w:hAnsi="Arial" w:cs="Arial"/>
          <w:b/>
          <w:sz w:val="20"/>
        </w:rPr>
        <w:t xml:space="preserve">Anexo F do Termo de Cooperação Técnica nº _____/_____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3"/>
        <w:ind w:left="10" w:hanging="10"/>
        <w:jc w:val="center"/>
      </w:pPr>
      <w:r>
        <w:rPr>
          <w:rFonts w:ascii="Arial" w:eastAsia="Arial" w:hAnsi="Arial" w:cs="Arial"/>
          <w:sz w:val="20"/>
        </w:rPr>
        <w:lastRenderedPageBreak/>
        <w:t xml:space="preserve">A U T O R I Z A Ç Ã O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4" w:line="249" w:lineRule="auto"/>
        <w:ind w:left="10" w:hanging="10"/>
        <w:jc w:val="both"/>
      </w:pPr>
      <w:r>
        <w:rPr>
          <w:rFonts w:ascii="Arial" w:eastAsia="Arial" w:hAnsi="Arial" w:cs="Arial"/>
          <w:sz w:val="20"/>
        </w:rPr>
        <w:t xml:space="preserve">À Agência ______________________ da Instituição Financeira ___________  </w:t>
      </w:r>
    </w:p>
    <w:p w:rsidR="006C145C" w:rsidRDefault="00C62E5A">
      <w:pPr>
        <w:pBdr>
          <w:top w:val="single" w:sz="4" w:space="0" w:color="000000"/>
          <w:left w:val="single" w:sz="4" w:space="0" w:color="000000"/>
          <w:bottom w:val="single" w:sz="4" w:space="0" w:color="000000"/>
          <w:right w:val="single" w:sz="4" w:space="0" w:color="000000"/>
        </w:pBdr>
        <w:spacing w:after="4" w:line="249" w:lineRule="auto"/>
        <w:ind w:left="10" w:hanging="10"/>
        <w:jc w:val="both"/>
      </w:pPr>
      <w:r>
        <w:rPr>
          <w:rFonts w:ascii="Arial" w:eastAsia="Arial" w:hAnsi="Arial" w:cs="Arial"/>
          <w:sz w:val="20"/>
        </w:rPr>
        <w:t xml:space="preserve">(endereço da agência)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4" w:line="249" w:lineRule="auto"/>
        <w:ind w:left="10" w:hanging="10"/>
        <w:jc w:val="both"/>
      </w:pPr>
      <w:r>
        <w:rPr>
          <w:rFonts w:ascii="Arial" w:eastAsia="Arial" w:hAnsi="Arial" w:cs="Arial"/>
          <w:sz w:val="20"/>
        </w:rPr>
        <w:t xml:space="preserve">Senhor (a) Gerente,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4" w:line="249" w:lineRule="auto"/>
        <w:ind w:left="10" w:hanging="10"/>
        <w:jc w:val="both"/>
      </w:pPr>
      <w:r>
        <w:rPr>
          <w:rFonts w:ascii="Arial" w:eastAsia="Arial" w:hAnsi="Arial" w:cs="Arial"/>
          <w:sz w:val="20"/>
        </w:rPr>
        <w:t>Autorizo, em caráter irrevogável e irretratável, que a ADMINISTRAÇÃO PÚBLICA FEDERAL solicite a essa agência bancária, na forma indic</w:t>
      </w:r>
      <w:r>
        <w:rPr>
          <w:rFonts w:ascii="Arial" w:eastAsia="Arial" w:hAnsi="Arial" w:cs="Arial"/>
          <w:sz w:val="20"/>
        </w:rPr>
        <w:t>ada por essa agência, qualquer tipo de movimentação financeira na Conta-Depósito Vinculada ― bloqueada para movimentação nº ________________ - bloqueada para movimentação, de minha titularidade, aberta para receber recursos retidos de rubricas constantes d</w:t>
      </w:r>
      <w:r>
        <w:rPr>
          <w:rFonts w:ascii="Arial" w:eastAsia="Arial" w:hAnsi="Arial" w:cs="Arial"/>
          <w:sz w:val="20"/>
        </w:rPr>
        <w:t>a planilha de custos e formação de preços do Contrato nº ___/____, firmado com a ADMINISTRAÇÃO PÚBLICA FEDERAL, bem como tenha acesso irrestrito aos saldos da referida Conta-Depósito Vinculada ― bloqueada para movimentação, extratos e movimentações finance</w:t>
      </w:r>
      <w:r>
        <w:rPr>
          <w:rFonts w:ascii="Arial" w:eastAsia="Arial" w:hAnsi="Arial" w:cs="Arial"/>
          <w:sz w:val="20"/>
        </w:rPr>
        <w:t xml:space="preserve">iras, inclusive de aplicações financeiras.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4" w:line="249" w:lineRule="auto"/>
        <w:ind w:left="10" w:hanging="10"/>
        <w:jc w:val="both"/>
      </w:pPr>
      <w:r>
        <w:rPr>
          <w:rFonts w:ascii="Arial" w:eastAsia="Arial" w:hAnsi="Arial" w:cs="Arial"/>
          <w:sz w:val="20"/>
        </w:rPr>
        <w:t xml:space="preserve">Atenciosamente,  </w:t>
      </w:r>
    </w:p>
    <w:p w:rsidR="006C145C" w:rsidRDefault="00C62E5A">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jc w:val="center"/>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jc w:val="center"/>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3"/>
        <w:ind w:left="10" w:hanging="10"/>
        <w:jc w:val="center"/>
      </w:pPr>
      <w:r>
        <w:rPr>
          <w:rFonts w:ascii="Arial" w:eastAsia="Arial" w:hAnsi="Arial" w:cs="Arial"/>
          <w:sz w:val="20"/>
        </w:rPr>
        <w:t xml:space="preserve">____________________________ </w:t>
      </w:r>
    </w:p>
    <w:p w:rsidR="006C145C" w:rsidRDefault="00C62E5A">
      <w:pPr>
        <w:pBdr>
          <w:top w:val="single" w:sz="4" w:space="0" w:color="000000"/>
          <w:left w:val="single" w:sz="4" w:space="0" w:color="000000"/>
          <w:bottom w:val="single" w:sz="4" w:space="0" w:color="000000"/>
          <w:right w:val="single" w:sz="4" w:space="0" w:color="000000"/>
        </w:pBdr>
        <w:spacing w:after="3"/>
        <w:ind w:left="10" w:hanging="10"/>
        <w:jc w:val="center"/>
      </w:pPr>
      <w:r>
        <w:rPr>
          <w:rFonts w:ascii="Arial" w:eastAsia="Arial" w:hAnsi="Arial" w:cs="Arial"/>
          <w:sz w:val="20"/>
        </w:rPr>
        <w:t xml:space="preserve">(local e data) </w:t>
      </w:r>
    </w:p>
    <w:p w:rsidR="006C145C" w:rsidRDefault="00C62E5A">
      <w:pPr>
        <w:pBdr>
          <w:top w:val="single" w:sz="4" w:space="0" w:color="000000"/>
          <w:left w:val="single" w:sz="4" w:space="0" w:color="000000"/>
          <w:bottom w:val="single" w:sz="4" w:space="0" w:color="000000"/>
          <w:right w:val="single" w:sz="4" w:space="0" w:color="000000"/>
        </w:pBdr>
        <w:spacing w:after="0"/>
        <w:jc w:val="center"/>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0"/>
        <w:jc w:val="center"/>
      </w:pPr>
      <w:r>
        <w:rPr>
          <w:rFonts w:ascii="Arial" w:eastAsia="Arial" w:hAnsi="Arial" w:cs="Arial"/>
          <w:sz w:val="20"/>
        </w:rPr>
        <w:t xml:space="preserve"> </w:t>
      </w:r>
    </w:p>
    <w:p w:rsidR="006C145C" w:rsidRDefault="00C62E5A">
      <w:pPr>
        <w:pBdr>
          <w:top w:val="single" w:sz="4" w:space="0" w:color="000000"/>
          <w:left w:val="single" w:sz="4" w:space="0" w:color="000000"/>
          <w:bottom w:val="single" w:sz="4" w:space="0" w:color="000000"/>
          <w:right w:val="single" w:sz="4" w:space="0" w:color="000000"/>
        </w:pBdr>
        <w:spacing w:after="3"/>
        <w:ind w:left="10" w:hanging="10"/>
        <w:jc w:val="center"/>
      </w:pPr>
      <w:r>
        <w:rPr>
          <w:rFonts w:ascii="Arial" w:eastAsia="Arial" w:hAnsi="Arial" w:cs="Arial"/>
          <w:sz w:val="20"/>
        </w:rPr>
        <w:t xml:space="preserve">________________________________ </w:t>
      </w:r>
    </w:p>
    <w:p w:rsidR="006C145C" w:rsidRDefault="00C62E5A">
      <w:pPr>
        <w:pBdr>
          <w:top w:val="single" w:sz="4" w:space="0" w:color="000000"/>
          <w:left w:val="single" w:sz="4" w:space="0" w:color="000000"/>
          <w:bottom w:val="single" w:sz="4" w:space="0" w:color="000000"/>
          <w:right w:val="single" w:sz="4" w:space="0" w:color="000000"/>
        </w:pBdr>
        <w:spacing w:after="3"/>
        <w:ind w:left="10" w:hanging="10"/>
        <w:jc w:val="center"/>
      </w:pPr>
      <w:r>
        <w:rPr>
          <w:rFonts w:ascii="Arial" w:eastAsia="Arial" w:hAnsi="Arial" w:cs="Arial"/>
          <w:sz w:val="20"/>
        </w:rPr>
        <w:t xml:space="preserve">Assinatura do titular da Conta-Depósito Vinculada ― bloqueada para movimentação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lastRenderedPageBreak/>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tbl>
      <w:tblPr>
        <w:tblStyle w:val="TableGrid"/>
        <w:tblW w:w="9180" w:type="dxa"/>
        <w:tblInd w:w="-53" w:type="dxa"/>
        <w:tblCellMar>
          <w:top w:w="29" w:type="dxa"/>
          <w:left w:w="53" w:type="dxa"/>
          <w:bottom w:w="0" w:type="dxa"/>
          <w:right w:w="0" w:type="dxa"/>
        </w:tblCellMar>
        <w:tblLook w:val="04A0" w:firstRow="1" w:lastRow="0" w:firstColumn="1" w:lastColumn="0" w:noHBand="0" w:noVBand="1"/>
      </w:tblPr>
      <w:tblGrid>
        <w:gridCol w:w="9180"/>
      </w:tblGrid>
      <w:tr w:rsidR="006C145C">
        <w:trPr>
          <w:trHeight w:val="9023"/>
        </w:trPr>
        <w:tc>
          <w:tcPr>
            <w:tcW w:w="9180"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right="60"/>
              <w:jc w:val="center"/>
            </w:pPr>
            <w:r>
              <w:rPr>
                <w:rFonts w:ascii="Arial" w:eastAsia="Arial" w:hAnsi="Arial" w:cs="Arial"/>
                <w:b/>
                <w:sz w:val="20"/>
              </w:rPr>
              <w:t xml:space="preserve">Anexo G do Termo de Cooperação Técnica nº _______/_________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Ofício nº ________/20 ___ - ______ </w:t>
            </w:r>
          </w:p>
          <w:p w:rsidR="006C145C" w:rsidRDefault="00C62E5A">
            <w:pPr>
              <w:spacing w:after="0"/>
              <w:ind w:right="-3"/>
              <w:jc w:val="right"/>
            </w:pPr>
            <w:r>
              <w:rPr>
                <w:rFonts w:ascii="Arial" w:eastAsia="Arial" w:hAnsi="Arial" w:cs="Arial"/>
                <w:sz w:val="20"/>
              </w:rPr>
              <w:t xml:space="preserve"> </w:t>
            </w:r>
          </w:p>
          <w:p w:rsidR="006C145C" w:rsidRDefault="00C62E5A">
            <w:pPr>
              <w:spacing w:after="0"/>
              <w:ind w:right="60"/>
              <w:jc w:val="right"/>
            </w:pPr>
            <w:r>
              <w:rPr>
                <w:rFonts w:ascii="Arial" w:eastAsia="Arial" w:hAnsi="Arial" w:cs="Arial"/>
                <w:sz w:val="20"/>
              </w:rPr>
              <w:t xml:space="preserve">_____________, ___ de ___________ de 20__. </w:t>
            </w:r>
          </w:p>
          <w:p w:rsidR="006C145C" w:rsidRDefault="00C62E5A">
            <w:pPr>
              <w:spacing w:after="0"/>
              <w:ind w:right="-3"/>
              <w:jc w:val="right"/>
            </w:pPr>
            <w:r>
              <w:rPr>
                <w:rFonts w:ascii="Arial" w:eastAsia="Arial" w:hAnsi="Arial" w:cs="Arial"/>
                <w:sz w:val="20"/>
              </w:rPr>
              <w:t xml:space="preserve"> </w:t>
            </w:r>
          </w:p>
          <w:p w:rsidR="006C145C" w:rsidRDefault="00C62E5A">
            <w:pPr>
              <w:spacing w:after="0"/>
              <w:ind w:right="-3"/>
              <w:jc w:val="right"/>
            </w:pPr>
            <w:r>
              <w:rPr>
                <w:rFonts w:ascii="Arial" w:eastAsia="Arial" w:hAnsi="Arial" w:cs="Arial"/>
                <w:sz w:val="20"/>
              </w:rPr>
              <w:t xml:space="preserve"> </w:t>
            </w:r>
          </w:p>
          <w:p w:rsidR="006C145C" w:rsidRDefault="00C62E5A">
            <w:pPr>
              <w:spacing w:after="0"/>
              <w:ind w:right="-3"/>
              <w:jc w:val="right"/>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A(o) Senhor(a) Gerente  </w:t>
            </w:r>
          </w:p>
          <w:p w:rsidR="006C145C" w:rsidRDefault="00C62E5A">
            <w:pPr>
              <w:spacing w:after="0"/>
            </w:pPr>
            <w:r>
              <w:rPr>
                <w:rFonts w:ascii="Arial" w:eastAsia="Arial" w:hAnsi="Arial" w:cs="Arial"/>
                <w:sz w:val="20"/>
              </w:rPr>
              <w:t xml:space="preserve">(nome do gerente)  </w:t>
            </w:r>
          </w:p>
          <w:p w:rsidR="006C145C" w:rsidRDefault="00C62E5A">
            <w:pPr>
              <w:spacing w:after="0"/>
            </w:pPr>
            <w:r>
              <w:rPr>
                <w:rFonts w:ascii="Arial" w:eastAsia="Arial" w:hAnsi="Arial" w:cs="Arial"/>
                <w:sz w:val="20"/>
              </w:rPr>
              <w:t xml:space="preserve">(endereço da agência com CEP) </w:t>
            </w:r>
          </w:p>
          <w:p w:rsidR="006C145C" w:rsidRDefault="00C62E5A">
            <w:pPr>
              <w:spacing w:after="0"/>
            </w:pPr>
            <w:r>
              <w:rPr>
                <w:rFonts w:ascii="Arial" w:eastAsia="Arial" w:hAnsi="Arial" w:cs="Arial"/>
                <w:sz w:val="20"/>
              </w:rPr>
              <w:t xml:space="preserve"> </w:t>
            </w:r>
          </w:p>
          <w:p w:rsidR="006C145C" w:rsidRDefault="00C62E5A">
            <w:pPr>
              <w:spacing w:after="0"/>
              <w:ind w:right="-3"/>
              <w:jc w:val="right"/>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Senhor (a) Gerente,  </w:t>
            </w:r>
          </w:p>
          <w:p w:rsidR="006C145C" w:rsidRDefault="00C62E5A">
            <w:pPr>
              <w:spacing w:after="0"/>
            </w:pPr>
            <w:r>
              <w:rPr>
                <w:rFonts w:ascii="Arial" w:eastAsia="Arial" w:hAnsi="Arial" w:cs="Arial"/>
                <w:sz w:val="20"/>
              </w:rPr>
              <w:t xml:space="preserve"> </w:t>
            </w:r>
          </w:p>
          <w:p w:rsidR="006C145C" w:rsidRDefault="00C62E5A">
            <w:pPr>
              <w:spacing w:after="2" w:line="239" w:lineRule="auto"/>
            </w:pPr>
            <w:r>
              <w:rPr>
                <w:rFonts w:ascii="Arial" w:eastAsia="Arial" w:hAnsi="Arial" w:cs="Arial"/>
                <w:sz w:val="20"/>
              </w:rPr>
              <w:t xml:space="preserve">Solicito providenciar a geração de chaves e senhas iniciais de acesso aos aplicativos dos sistemas de autoatendimento dessa Instituição Financeira para os servidores a seguir indicados: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tabs>
                <w:tab w:val="center" w:pos="708"/>
                <w:tab w:val="center" w:pos="1416"/>
                <w:tab w:val="center" w:pos="2424"/>
                <w:tab w:val="center" w:pos="3541"/>
                <w:tab w:val="center" w:pos="4249"/>
                <w:tab w:val="center" w:pos="6128"/>
              </w:tabs>
              <w:spacing w:after="0"/>
            </w:pPr>
            <w:r>
              <w:rPr>
                <w:rFonts w:ascii="Arial" w:eastAsia="Arial" w:hAnsi="Arial" w:cs="Arial"/>
                <w:sz w:val="20"/>
              </w:rPr>
              <w:t>CP</w:t>
            </w:r>
            <w:r>
              <w:rPr>
                <w:rFonts w:ascii="Arial" w:eastAsia="Arial" w:hAnsi="Arial" w:cs="Arial"/>
                <w:sz w:val="20"/>
              </w:rPr>
              <w:t xml:space="preserve">F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NOME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DOCUMENTO/PODERES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Atenciosamente,  </w:t>
            </w:r>
          </w:p>
          <w:p w:rsidR="006C145C" w:rsidRDefault="00C62E5A">
            <w:pPr>
              <w:spacing w:after="0"/>
              <w:ind w:right="-3"/>
              <w:jc w:val="right"/>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ind w:right="63"/>
              <w:jc w:val="center"/>
            </w:pPr>
            <w:r>
              <w:rPr>
                <w:rFonts w:ascii="Arial" w:eastAsia="Arial" w:hAnsi="Arial" w:cs="Arial"/>
                <w:sz w:val="20"/>
              </w:rPr>
              <w:t xml:space="preserve">______________________________________________________________ </w:t>
            </w:r>
          </w:p>
          <w:p w:rsidR="006C145C" w:rsidRDefault="00C62E5A">
            <w:pPr>
              <w:spacing w:after="2" w:line="239" w:lineRule="auto"/>
              <w:ind w:left="1034" w:right="1031"/>
              <w:jc w:val="center"/>
            </w:pPr>
            <w:r>
              <w:rPr>
                <w:rFonts w:ascii="Arial" w:eastAsia="Arial" w:hAnsi="Arial" w:cs="Arial"/>
                <w:sz w:val="20"/>
              </w:rPr>
              <w:t xml:space="preserve">Assinatura do Ordenador de Despesas da Administração Pública Federal/ou </w:t>
            </w:r>
            <w:r>
              <w:rPr>
                <w:rFonts w:ascii="Arial" w:eastAsia="Arial" w:hAnsi="Arial" w:cs="Arial"/>
                <w:sz w:val="20"/>
              </w:rPr>
              <w:t xml:space="preserve">do servidor previamente designado pelo ordenador </w:t>
            </w:r>
          </w:p>
          <w:p w:rsidR="006C145C" w:rsidRDefault="00C62E5A">
            <w:pPr>
              <w:spacing w:after="0"/>
            </w:pPr>
            <w:r>
              <w:rPr>
                <w:rFonts w:ascii="Arial" w:eastAsia="Arial" w:hAnsi="Arial" w:cs="Arial"/>
                <w:sz w:val="20"/>
              </w:rPr>
              <w:t xml:space="preserve"> </w:t>
            </w:r>
          </w:p>
        </w:tc>
      </w:tr>
    </w:tbl>
    <w:p w:rsidR="006C145C" w:rsidRDefault="00C62E5A">
      <w:pPr>
        <w:spacing w:after="0"/>
      </w:pPr>
      <w:r>
        <w:rPr>
          <w:rFonts w:ascii="Arial" w:eastAsia="Arial" w:hAnsi="Arial" w:cs="Arial"/>
          <w:sz w:val="20"/>
        </w:rPr>
        <w:t xml:space="preserve"> </w:t>
      </w:r>
      <w:r>
        <w:rPr>
          <w:rFonts w:ascii="Arial" w:eastAsia="Arial" w:hAnsi="Arial" w:cs="Arial"/>
          <w:sz w:val="20"/>
        </w:rPr>
        <w:tab/>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tbl>
      <w:tblPr>
        <w:tblStyle w:val="TableGrid"/>
        <w:tblW w:w="9179" w:type="dxa"/>
        <w:tblInd w:w="-53" w:type="dxa"/>
        <w:tblCellMar>
          <w:top w:w="29" w:type="dxa"/>
          <w:left w:w="53" w:type="dxa"/>
          <w:bottom w:w="0" w:type="dxa"/>
          <w:right w:w="0" w:type="dxa"/>
        </w:tblCellMar>
        <w:tblLook w:val="04A0" w:firstRow="1" w:lastRow="0" w:firstColumn="1" w:lastColumn="0" w:noHBand="0" w:noVBand="1"/>
      </w:tblPr>
      <w:tblGrid>
        <w:gridCol w:w="9179"/>
      </w:tblGrid>
      <w:tr w:rsidR="006C145C">
        <w:trPr>
          <w:trHeight w:val="9251"/>
        </w:trPr>
        <w:tc>
          <w:tcPr>
            <w:tcW w:w="9179"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right="61"/>
              <w:jc w:val="center"/>
            </w:pPr>
            <w:r>
              <w:rPr>
                <w:rFonts w:ascii="Arial" w:eastAsia="Arial" w:hAnsi="Arial" w:cs="Arial"/>
                <w:b/>
                <w:sz w:val="20"/>
              </w:rPr>
              <w:lastRenderedPageBreak/>
              <w:t xml:space="preserve">Anexo H do Termo de Cooperação Técnica nº _______/_________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Ofício nº ________/20 ___ - ______ </w:t>
            </w:r>
          </w:p>
          <w:p w:rsidR="006C145C" w:rsidRDefault="00C62E5A">
            <w:pPr>
              <w:spacing w:after="0"/>
              <w:ind w:right="-3"/>
              <w:jc w:val="right"/>
            </w:pPr>
            <w:r>
              <w:rPr>
                <w:rFonts w:ascii="Arial" w:eastAsia="Arial" w:hAnsi="Arial" w:cs="Arial"/>
                <w:sz w:val="20"/>
              </w:rPr>
              <w:t xml:space="preserve"> </w:t>
            </w:r>
          </w:p>
          <w:p w:rsidR="006C145C" w:rsidRDefault="00C62E5A">
            <w:pPr>
              <w:spacing w:after="0"/>
              <w:ind w:right="58"/>
              <w:jc w:val="right"/>
            </w:pPr>
            <w:r>
              <w:rPr>
                <w:rFonts w:ascii="Arial" w:eastAsia="Arial" w:hAnsi="Arial" w:cs="Arial"/>
                <w:sz w:val="20"/>
              </w:rPr>
              <w:t xml:space="preserve">Local, ___ de ___________ de 20__. </w:t>
            </w:r>
          </w:p>
          <w:p w:rsidR="006C145C" w:rsidRDefault="00C62E5A">
            <w:pPr>
              <w:spacing w:after="0"/>
              <w:ind w:right="-3"/>
              <w:jc w:val="right"/>
            </w:pPr>
            <w:r>
              <w:rPr>
                <w:rFonts w:ascii="Arial" w:eastAsia="Arial" w:hAnsi="Arial" w:cs="Arial"/>
                <w:sz w:val="20"/>
              </w:rPr>
              <w:t xml:space="preserve"> </w:t>
            </w:r>
          </w:p>
          <w:p w:rsidR="006C145C" w:rsidRDefault="00C62E5A">
            <w:pPr>
              <w:spacing w:after="0"/>
              <w:ind w:right="-3"/>
              <w:jc w:val="right"/>
            </w:pPr>
            <w:r>
              <w:rPr>
                <w:rFonts w:ascii="Arial" w:eastAsia="Arial" w:hAnsi="Arial" w:cs="Arial"/>
                <w:sz w:val="20"/>
              </w:rPr>
              <w:t xml:space="preserve"> </w:t>
            </w:r>
          </w:p>
          <w:p w:rsidR="006C145C" w:rsidRDefault="00C62E5A">
            <w:pPr>
              <w:spacing w:after="0"/>
              <w:ind w:right="-3"/>
              <w:jc w:val="right"/>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Senhor (a) Sócio-Proprietário,  </w:t>
            </w:r>
          </w:p>
          <w:p w:rsidR="006C145C" w:rsidRDefault="00C62E5A">
            <w:pPr>
              <w:spacing w:after="0"/>
            </w:pPr>
            <w:r>
              <w:rPr>
                <w:rFonts w:ascii="Arial" w:eastAsia="Arial" w:hAnsi="Arial" w:cs="Arial"/>
                <w:sz w:val="20"/>
              </w:rPr>
              <w:t xml:space="preserve"> </w:t>
            </w:r>
          </w:p>
          <w:p w:rsidR="006C145C" w:rsidRDefault="00C62E5A">
            <w:pPr>
              <w:numPr>
                <w:ilvl w:val="0"/>
                <w:numId w:val="69"/>
              </w:numPr>
              <w:spacing w:after="0" w:line="241" w:lineRule="auto"/>
              <w:ind w:right="56"/>
              <w:jc w:val="both"/>
            </w:pPr>
            <w:r>
              <w:rPr>
                <w:rFonts w:ascii="Arial" w:eastAsia="Arial" w:hAnsi="Arial" w:cs="Arial"/>
                <w:sz w:val="20"/>
              </w:rPr>
              <w:t>Informo que solicitei a abertura da conta-depósito vinculada-bloqueada para movimentação, pertencente ao CNPJ sob nº ______________, na Agência nº___________, da INSTITUIÇÃO FINANCEIRA _______________, em seu nome, aberta para receber recursos retidos de r</w:t>
            </w:r>
            <w:r>
              <w:rPr>
                <w:rFonts w:ascii="Arial" w:eastAsia="Arial" w:hAnsi="Arial" w:cs="Arial"/>
                <w:sz w:val="20"/>
              </w:rPr>
              <w:t xml:space="preserve">ubricas constantes da planilha de custos e formação de preços do Contrato nº ___/____, firmado entre essa empresa e esta ADMINISTRAÇÃO PÚBLICA FEDERAL. </w:t>
            </w:r>
          </w:p>
          <w:p w:rsidR="006C145C" w:rsidRDefault="00C62E5A">
            <w:pPr>
              <w:spacing w:after="0"/>
            </w:pPr>
            <w:r>
              <w:rPr>
                <w:rFonts w:ascii="Arial" w:eastAsia="Arial" w:hAnsi="Arial" w:cs="Arial"/>
                <w:sz w:val="20"/>
              </w:rPr>
              <w:t xml:space="preserve"> </w:t>
            </w:r>
          </w:p>
          <w:p w:rsidR="006C145C" w:rsidRDefault="00C62E5A">
            <w:pPr>
              <w:numPr>
                <w:ilvl w:val="0"/>
                <w:numId w:val="69"/>
              </w:numPr>
              <w:spacing w:after="0" w:line="244" w:lineRule="auto"/>
              <w:ind w:right="56"/>
              <w:jc w:val="both"/>
            </w:pPr>
            <w:r>
              <w:rPr>
                <w:rFonts w:ascii="Arial" w:eastAsia="Arial" w:hAnsi="Arial" w:cs="Arial"/>
                <w:sz w:val="20"/>
              </w:rPr>
              <w:t xml:space="preserve">Na oportunidade, solicito comparecer, em no máximo 20 (vinte) dias corridos, a contar do recebimento </w:t>
            </w:r>
            <w:r>
              <w:rPr>
                <w:rFonts w:ascii="Arial" w:eastAsia="Arial" w:hAnsi="Arial" w:cs="Arial"/>
                <w:sz w:val="20"/>
              </w:rPr>
              <w:t>deste Ofício, à referida agência para fornecer a documentação indicada no ato convocatório de licitação, de acordo com as normas do Banco Central, bem como assinar os documentos indicados pela Instituição Financeira e autorizar, em caráter irrevogável e ir</w:t>
            </w:r>
            <w:r>
              <w:rPr>
                <w:rFonts w:ascii="Arial" w:eastAsia="Arial" w:hAnsi="Arial" w:cs="Arial"/>
                <w:sz w:val="20"/>
              </w:rPr>
              <w:t>retratável, o acesso irrestrito desta ADMINISTRAÇÃO PÚBLICA FEDERAL aos saldos da referida conta-depósito, aos extratos e a movimentações financeiras, inclusive de aplicações financeiras e solicitar quaisquer movimentações financeiras da referida Conta-Dep</w:t>
            </w:r>
            <w:r>
              <w:rPr>
                <w:rFonts w:ascii="Arial" w:eastAsia="Arial" w:hAnsi="Arial" w:cs="Arial"/>
                <w:sz w:val="20"/>
              </w:rPr>
              <w:t xml:space="preserve">ósito Vinculada ― bloqueada para movimentação.  </w:t>
            </w:r>
          </w:p>
          <w:p w:rsidR="006C145C" w:rsidRDefault="00C62E5A">
            <w:pPr>
              <w:spacing w:after="0"/>
            </w:pPr>
            <w:r>
              <w:rPr>
                <w:rFonts w:ascii="Arial" w:eastAsia="Arial" w:hAnsi="Arial" w:cs="Arial"/>
                <w:sz w:val="20"/>
              </w:rPr>
              <w:t xml:space="preserve"> </w:t>
            </w:r>
          </w:p>
          <w:p w:rsidR="006C145C" w:rsidRDefault="00C62E5A">
            <w:pPr>
              <w:numPr>
                <w:ilvl w:val="0"/>
                <w:numId w:val="69"/>
              </w:numPr>
              <w:spacing w:after="0" w:line="241" w:lineRule="auto"/>
              <w:ind w:right="56"/>
              <w:jc w:val="both"/>
            </w:pPr>
            <w:r>
              <w:rPr>
                <w:rFonts w:ascii="Arial" w:eastAsia="Arial" w:hAnsi="Arial" w:cs="Arial"/>
                <w:sz w:val="20"/>
              </w:rPr>
              <w:t xml:space="preserve">Informo que o descumprimento do prazo indicado no parágrafo anterior poderá ensejar aplicação das sanções previstas na Cláusula_______ do mencionado contrato.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Atenciosamente,  </w:t>
            </w:r>
          </w:p>
          <w:p w:rsidR="006C145C" w:rsidRDefault="00C62E5A">
            <w:pPr>
              <w:spacing w:after="0"/>
              <w:ind w:right="-3"/>
              <w:jc w:val="right"/>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ind w:right="63"/>
              <w:jc w:val="center"/>
            </w:pPr>
            <w:r>
              <w:rPr>
                <w:rFonts w:ascii="Arial" w:eastAsia="Arial" w:hAnsi="Arial" w:cs="Arial"/>
                <w:sz w:val="20"/>
              </w:rPr>
              <w:t xml:space="preserve">_____________________________________________________________ </w:t>
            </w:r>
          </w:p>
          <w:p w:rsidR="006C145C" w:rsidRDefault="00C62E5A">
            <w:pPr>
              <w:spacing w:after="0"/>
              <w:ind w:left="1034" w:right="1031"/>
              <w:jc w:val="center"/>
            </w:pPr>
            <w:r>
              <w:rPr>
                <w:rFonts w:ascii="Arial" w:eastAsia="Arial" w:hAnsi="Arial" w:cs="Arial"/>
                <w:sz w:val="20"/>
              </w:rPr>
              <w:t xml:space="preserve">Assinatura do Ordenador de Despesas da Administração Pública Federal/ou do servidor previamente designado pelo ordenador </w:t>
            </w:r>
          </w:p>
        </w:tc>
      </w:tr>
    </w:tbl>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r>
        <w:rPr>
          <w:rFonts w:ascii="Arial" w:eastAsia="Arial" w:hAnsi="Arial" w:cs="Arial"/>
          <w:sz w:val="20"/>
        </w:rPr>
        <w:tab/>
        <w:t xml:space="preserve"> </w:t>
      </w:r>
    </w:p>
    <w:p w:rsidR="006C145C" w:rsidRDefault="00C62E5A">
      <w:pPr>
        <w:spacing w:after="134" w:line="265" w:lineRule="auto"/>
        <w:ind w:left="10" w:right="42" w:hanging="10"/>
        <w:jc w:val="center"/>
      </w:pPr>
      <w:r>
        <w:rPr>
          <w:rFonts w:ascii="Arial" w:eastAsia="Arial" w:hAnsi="Arial" w:cs="Arial"/>
          <w:b/>
          <w:sz w:val="20"/>
        </w:rPr>
        <w:t xml:space="preserve">ANEXO IX - </w:t>
      </w:r>
      <w:r>
        <w:rPr>
          <w:rFonts w:ascii="Arial" w:eastAsia="Arial" w:hAnsi="Arial" w:cs="Arial"/>
          <w:b/>
          <w:sz w:val="20"/>
        </w:rPr>
        <w:t xml:space="preserve">Modelo de declaração de contratos firmados com a iniciativa privada e a </w:t>
      </w:r>
    </w:p>
    <w:p w:rsidR="006C145C" w:rsidRDefault="00C62E5A">
      <w:pPr>
        <w:pStyle w:val="Ttulo3"/>
        <w:spacing w:after="134"/>
        <w:ind w:left="10" w:right="42"/>
      </w:pPr>
      <w:r>
        <w:t xml:space="preserve">Administração Pública;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3" w:right="54" w:firstLine="708"/>
        <w:jc w:val="both"/>
      </w:pPr>
      <w:r>
        <w:rPr>
          <w:rFonts w:ascii="Arial" w:eastAsia="Arial" w:hAnsi="Arial" w:cs="Arial"/>
          <w:sz w:val="20"/>
        </w:rPr>
        <w:t>Declaro que a empresa __________________________________, inscrita no CNPJ (MF) nº ____________________, possui os seguintes contratos firmados com a ini</w:t>
      </w:r>
      <w:r>
        <w:rPr>
          <w:rFonts w:ascii="Arial" w:eastAsia="Arial" w:hAnsi="Arial" w:cs="Arial"/>
          <w:sz w:val="20"/>
        </w:rPr>
        <w:t xml:space="preserve">ciativa privada e administração pública:  </w:t>
      </w:r>
    </w:p>
    <w:p w:rsidR="006C145C" w:rsidRDefault="00C62E5A">
      <w:pPr>
        <w:spacing w:after="0"/>
      </w:pPr>
      <w:r>
        <w:rPr>
          <w:rFonts w:ascii="Arial" w:eastAsia="Arial" w:hAnsi="Arial" w:cs="Arial"/>
          <w:sz w:val="20"/>
        </w:rPr>
        <w:lastRenderedPageBreak/>
        <w:t xml:space="preserve"> </w:t>
      </w:r>
    </w:p>
    <w:p w:rsidR="006C145C" w:rsidRDefault="00C62E5A">
      <w:pPr>
        <w:spacing w:after="0" w:line="270" w:lineRule="auto"/>
        <w:ind w:left="5" w:right="54" w:hanging="8"/>
        <w:jc w:val="both"/>
      </w:pPr>
      <w:r>
        <w:rPr>
          <w:rFonts w:ascii="Arial" w:eastAsia="Arial" w:hAnsi="Arial" w:cs="Arial"/>
          <w:sz w:val="20"/>
        </w:rPr>
        <w:t xml:space="preserve">Nome do Órgão/Empresa Nº/Ano do Contrato Data de assinatura Valor total do contrato* </w:t>
      </w:r>
    </w:p>
    <w:p w:rsidR="006C145C" w:rsidRDefault="00C62E5A">
      <w:pPr>
        <w:tabs>
          <w:tab w:val="center" w:pos="3267"/>
          <w:tab w:val="center" w:pos="5391"/>
          <w:tab w:val="center" w:pos="7238"/>
        </w:tabs>
        <w:spacing w:after="0" w:line="270" w:lineRule="auto"/>
        <w:ind w:left="-3"/>
      </w:pPr>
      <w:r>
        <w:rPr>
          <w:rFonts w:ascii="Arial" w:eastAsia="Arial" w:hAnsi="Arial" w:cs="Arial"/>
          <w:sz w:val="20"/>
        </w:rPr>
        <w:t xml:space="preserve">_____________________ </w:t>
      </w:r>
      <w:r>
        <w:rPr>
          <w:rFonts w:ascii="Arial" w:eastAsia="Arial" w:hAnsi="Arial" w:cs="Arial"/>
          <w:sz w:val="20"/>
        </w:rPr>
        <w:tab/>
        <w:t xml:space="preserve">________________ </w:t>
      </w:r>
      <w:r>
        <w:rPr>
          <w:rFonts w:ascii="Arial" w:eastAsia="Arial" w:hAnsi="Arial" w:cs="Arial"/>
          <w:sz w:val="20"/>
        </w:rPr>
        <w:tab/>
        <w:t xml:space="preserve">________________ </w:t>
      </w:r>
      <w:r>
        <w:rPr>
          <w:rFonts w:ascii="Arial" w:eastAsia="Arial" w:hAnsi="Arial" w:cs="Arial"/>
          <w:sz w:val="20"/>
        </w:rPr>
        <w:tab/>
        <w:t xml:space="preserve">___________ </w:t>
      </w:r>
    </w:p>
    <w:p w:rsidR="006C145C" w:rsidRDefault="00C62E5A">
      <w:pPr>
        <w:tabs>
          <w:tab w:val="center" w:pos="3267"/>
          <w:tab w:val="center" w:pos="5391"/>
          <w:tab w:val="center" w:pos="7238"/>
        </w:tabs>
        <w:spacing w:after="0" w:line="270" w:lineRule="auto"/>
        <w:ind w:left="-3"/>
      </w:pPr>
      <w:r>
        <w:rPr>
          <w:rFonts w:ascii="Arial" w:eastAsia="Arial" w:hAnsi="Arial" w:cs="Arial"/>
          <w:sz w:val="20"/>
        </w:rPr>
        <w:t xml:space="preserve">_____________________ </w:t>
      </w:r>
      <w:r>
        <w:rPr>
          <w:rFonts w:ascii="Arial" w:eastAsia="Arial" w:hAnsi="Arial" w:cs="Arial"/>
          <w:sz w:val="20"/>
        </w:rPr>
        <w:tab/>
        <w:t xml:space="preserve">________________ </w:t>
      </w:r>
      <w:r>
        <w:rPr>
          <w:rFonts w:ascii="Arial" w:eastAsia="Arial" w:hAnsi="Arial" w:cs="Arial"/>
          <w:sz w:val="20"/>
        </w:rPr>
        <w:tab/>
        <w:t>____________</w:t>
      </w:r>
      <w:r>
        <w:rPr>
          <w:rFonts w:ascii="Arial" w:eastAsia="Arial" w:hAnsi="Arial" w:cs="Arial"/>
          <w:sz w:val="20"/>
        </w:rPr>
        <w:t xml:space="preserve">____ </w:t>
      </w:r>
      <w:r>
        <w:rPr>
          <w:rFonts w:ascii="Arial" w:eastAsia="Arial" w:hAnsi="Arial" w:cs="Arial"/>
          <w:sz w:val="20"/>
        </w:rPr>
        <w:tab/>
        <w:t xml:space="preserve">___________ </w:t>
      </w:r>
    </w:p>
    <w:p w:rsidR="006C145C" w:rsidRDefault="00C62E5A">
      <w:pPr>
        <w:tabs>
          <w:tab w:val="center" w:pos="3267"/>
          <w:tab w:val="center" w:pos="5392"/>
          <w:tab w:val="center" w:pos="7238"/>
        </w:tabs>
        <w:spacing w:after="100" w:line="270" w:lineRule="auto"/>
        <w:ind w:left="-3"/>
      </w:pPr>
      <w:r>
        <w:rPr>
          <w:rFonts w:ascii="Arial" w:eastAsia="Arial" w:hAnsi="Arial" w:cs="Arial"/>
          <w:sz w:val="20"/>
        </w:rPr>
        <w:t xml:space="preserve">_____________________ </w:t>
      </w:r>
      <w:r>
        <w:rPr>
          <w:rFonts w:ascii="Arial" w:eastAsia="Arial" w:hAnsi="Arial" w:cs="Arial"/>
          <w:sz w:val="20"/>
        </w:rPr>
        <w:tab/>
        <w:t xml:space="preserve">________________ </w:t>
      </w:r>
      <w:r>
        <w:rPr>
          <w:rFonts w:ascii="Arial" w:eastAsia="Arial" w:hAnsi="Arial" w:cs="Arial"/>
          <w:sz w:val="20"/>
        </w:rPr>
        <w:tab/>
        <w:t xml:space="preserve">________________ </w:t>
      </w:r>
      <w:r>
        <w:rPr>
          <w:rFonts w:ascii="Arial" w:eastAsia="Arial" w:hAnsi="Arial" w:cs="Arial"/>
          <w:sz w:val="20"/>
        </w:rPr>
        <w:tab/>
        <w:t xml:space="preserve">___________ </w:t>
      </w:r>
    </w:p>
    <w:p w:rsidR="006C145C" w:rsidRDefault="00C62E5A">
      <w:pPr>
        <w:tabs>
          <w:tab w:val="center" w:pos="254"/>
          <w:tab w:val="center" w:pos="962"/>
          <w:tab w:val="center" w:pos="1670"/>
          <w:tab w:val="center" w:pos="2379"/>
          <w:tab w:val="center" w:pos="4219"/>
          <w:tab w:val="center" w:pos="5919"/>
          <w:tab w:val="center" w:pos="7238"/>
        </w:tabs>
        <w:spacing w:after="0" w:line="270" w:lineRule="auto"/>
        <w:ind w:left="-3"/>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Valor Total dos Contratos </w:t>
      </w:r>
      <w:r>
        <w:rPr>
          <w:rFonts w:ascii="Arial" w:eastAsia="Arial" w:hAnsi="Arial" w:cs="Arial"/>
          <w:sz w:val="20"/>
        </w:rPr>
        <w:tab/>
        <w:t xml:space="preserve"> </w:t>
      </w:r>
      <w:r>
        <w:rPr>
          <w:rFonts w:ascii="Arial" w:eastAsia="Arial" w:hAnsi="Arial" w:cs="Arial"/>
          <w:sz w:val="20"/>
        </w:rPr>
        <w:tab/>
        <w:t xml:space="preserve">___________ </w:t>
      </w:r>
    </w:p>
    <w:p w:rsidR="006C145C" w:rsidRDefault="00C62E5A">
      <w:pPr>
        <w:spacing w:after="0"/>
        <w:ind w:left="1702"/>
      </w:pPr>
      <w:r>
        <w:rPr>
          <w:rFonts w:ascii="Arial" w:eastAsia="Arial" w:hAnsi="Arial" w:cs="Arial"/>
          <w:sz w:val="20"/>
        </w:rPr>
        <w:t xml:space="preserve"> </w:t>
      </w:r>
    </w:p>
    <w:p w:rsidR="006C145C" w:rsidRDefault="00C62E5A">
      <w:pPr>
        <w:spacing w:after="0"/>
        <w:ind w:left="2"/>
        <w:jc w:val="center"/>
      </w:pPr>
      <w:r>
        <w:rPr>
          <w:rFonts w:ascii="Arial" w:eastAsia="Arial" w:hAnsi="Arial" w:cs="Arial"/>
          <w:sz w:val="20"/>
        </w:rPr>
        <w:t xml:space="preserve"> </w:t>
      </w:r>
    </w:p>
    <w:p w:rsidR="006C145C" w:rsidRDefault="00C62E5A">
      <w:pPr>
        <w:spacing w:after="0"/>
        <w:ind w:left="2"/>
        <w:jc w:val="center"/>
      </w:pPr>
      <w:r>
        <w:rPr>
          <w:rFonts w:ascii="Arial" w:eastAsia="Arial" w:hAnsi="Arial" w:cs="Arial"/>
          <w:sz w:val="20"/>
        </w:rPr>
        <w:t xml:space="preserve"> </w:t>
      </w:r>
    </w:p>
    <w:p w:rsidR="006C145C" w:rsidRDefault="00C62E5A">
      <w:pPr>
        <w:spacing w:after="2" w:line="254" w:lineRule="auto"/>
        <w:ind w:left="311" w:right="356" w:hanging="10"/>
        <w:jc w:val="center"/>
      </w:pPr>
      <w:r>
        <w:rPr>
          <w:rFonts w:ascii="Arial" w:eastAsia="Arial" w:hAnsi="Arial" w:cs="Arial"/>
          <w:sz w:val="20"/>
        </w:rPr>
        <w:t xml:space="preserve">Local e data </w:t>
      </w:r>
    </w:p>
    <w:p w:rsidR="006C145C" w:rsidRDefault="00C62E5A">
      <w:pPr>
        <w:spacing w:after="0"/>
        <w:ind w:left="2"/>
        <w:jc w:val="center"/>
      </w:pPr>
      <w:r>
        <w:rPr>
          <w:rFonts w:ascii="Arial" w:eastAsia="Arial" w:hAnsi="Arial" w:cs="Arial"/>
          <w:sz w:val="20"/>
        </w:rPr>
        <w:t xml:space="preserve"> </w:t>
      </w:r>
    </w:p>
    <w:p w:rsidR="006C145C" w:rsidRDefault="00C62E5A">
      <w:pPr>
        <w:spacing w:after="0"/>
        <w:ind w:left="2"/>
        <w:jc w:val="center"/>
      </w:pPr>
      <w:r>
        <w:rPr>
          <w:rFonts w:ascii="Arial" w:eastAsia="Arial" w:hAnsi="Arial" w:cs="Arial"/>
          <w:sz w:val="20"/>
        </w:rPr>
        <w:t xml:space="preserve"> </w:t>
      </w:r>
    </w:p>
    <w:p w:rsidR="006C145C" w:rsidRDefault="00C62E5A">
      <w:pPr>
        <w:spacing w:after="0"/>
        <w:ind w:left="2"/>
        <w:jc w:val="center"/>
      </w:pPr>
      <w:r>
        <w:rPr>
          <w:rFonts w:ascii="Arial" w:eastAsia="Arial" w:hAnsi="Arial" w:cs="Arial"/>
          <w:sz w:val="20"/>
        </w:rPr>
        <w:t xml:space="preserve"> </w:t>
      </w:r>
    </w:p>
    <w:p w:rsidR="006C145C" w:rsidRDefault="00C62E5A">
      <w:pPr>
        <w:spacing w:after="2" w:line="254" w:lineRule="auto"/>
        <w:ind w:left="1514" w:right="1505" w:hanging="10"/>
        <w:jc w:val="center"/>
      </w:pPr>
      <w:r>
        <w:rPr>
          <w:rFonts w:ascii="Arial" w:eastAsia="Arial" w:hAnsi="Arial" w:cs="Arial"/>
          <w:sz w:val="20"/>
        </w:rPr>
        <w:t xml:space="preserve">______________________________________________ Assinatura e carimbo do emissor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sz w:val="20"/>
        </w:rPr>
        <w:t xml:space="preserve">Observação: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b/>
          <w:sz w:val="20"/>
        </w:rPr>
        <w:t>Nota 1:</w:t>
      </w:r>
      <w:r>
        <w:rPr>
          <w:rFonts w:ascii="Arial" w:eastAsia="Arial" w:hAnsi="Arial" w:cs="Arial"/>
          <w:sz w:val="20"/>
        </w:rPr>
        <w:t xml:space="preserve"> Além dos nomes dos órgãos/empresas, o licitante deverá informar também o endereço completo dos órgãos/empresas, com os quais tem contratos vigentes.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b/>
          <w:sz w:val="20"/>
        </w:rPr>
        <w:t>Nota2:</w:t>
      </w:r>
      <w:r>
        <w:rPr>
          <w:rFonts w:ascii="Arial" w:eastAsia="Arial" w:hAnsi="Arial" w:cs="Arial"/>
          <w:sz w:val="20"/>
        </w:rPr>
        <w:t xml:space="preserve">  *Considera-</w:t>
      </w:r>
      <w:r>
        <w:rPr>
          <w:rFonts w:ascii="Arial" w:eastAsia="Arial" w:hAnsi="Arial" w:cs="Arial"/>
          <w:sz w:val="20"/>
        </w:rPr>
        <w:t xml:space="preserve">se o valor remanescente do contrato, excluindo o já executado.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lastRenderedPageBreak/>
        <w:t xml:space="preserve"> </w:t>
      </w:r>
    </w:p>
    <w:p w:rsidR="006C145C" w:rsidRDefault="00C62E5A">
      <w:pPr>
        <w:spacing w:after="139"/>
        <w:ind w:left="10" w:right="48" w:hanging="10"/>
        <w:jc w:val="right"/>
      </w:pPr>
      <w:r>
        <w:rPr>
          <w:rFonts w:ascii="Arial" w:eastAsia="Arial" w:hAnsi="Arial" w:cs="Arial"/>
          <w:b/>
          <w:sz w:val="20"/>
        </w:rPr>
        <w:t xml:space="preserve">ANEXO X - Modelo de Instrumento de Medição de Resultado - IMR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pStyle w:val="Ttulo4"/>
        <w:spacing w:after="8"/>
        <w:ind w:left="2735" w:right="37"/>
      </w:pPr>
      <w:r>
        <w:t xml:space="preserve">(Avaliação da qualidade dos serviços) </w:t>
      </w:r>
    </w:p>
    <w:tbl>
      <w:tblPr>
        <w:tblStyle w:val="TableGrid"/>
        <w:tblW w:w="9640" w:type="dxa"/>
        <w:tblInd w:w="0" w:type="dxa"/>
        <w:tblCellMar>
          <w:top w:w="9" w:type="dxa"/>
          <w:left w:w="0" w:type="dxa"/>
          <w:bottom w:w="0" w:type="dxa"/>
          <w:right w:w="115" w:type="dxa"/>
        </w:tblCellMar>
        <w:tblLook w:val="04A0" w:firstRow="1" w:lastRow="0" w:firstColumn="1" w:lastColumn="0" w:noHBand="0" w:noVBand="1"/>
      </w:tblPr>
      <w:tblGrid>
        <w:gridCol w:w="2552"/>
        <w:gridCol w:w="3065"/>
        <w:gridCol w:w="4023"/>
      </w:tblGrid>
      <w:tr w:rsidR="006C145C">
        <w:trPr>
          <w:trHeight w:val="264"/>
        </w:trPr>
        <w:tc>
          <w:tcPr>
            <w:tcW w:w="5617" w:type="dxa"/>
            <w:gridSpan w:val="2"/>
            <w:tcBorders>
              <w:top w:val="single" w:sz="4" w:space="0" w:color="000000"/>
              <w:left w:val="single" w:sz="4" w:space="0" w:color="000000"/>
              <w:bottom w:val="single" w:sz="4" w:space="0" w:color="000000"/>
              <w:right w:val="nil"/>
            </w:tcBorders>
          </w:tcPr>
          <w:p w:rsidR="006C145C" w:rsidRDefault="00C62E5A">
            <w:pPr>
              <w:spacing w:after="0"/>
              <w:ind w:right="236"/>
              <w:jc w:val="right"/>
            </w:pPr>
            <w:r>
              <w:rPr>
                <w:rFonts w:ascii="Arial" w:eastAsia="Arial" w:hAnsi="Arial" w:cs="Arial"/>
                <w:b/>
                <w:sz w:val="20"/>
              </w:rPr>
              <w:t xml:space="preserve">Indicador </w:t>
            </w:r>
          </w:p>
        </w:tc>
        <w:tc>
          <w:tcPr>
            <w:tcW w:w="4023" w:type="dxa"/>
            <w:tcBorders>
              <w:top w:val="single" w:sz="4" w:space="0" w:color="000000"/>
              <w:left w:val="nil"/>
              <w:bottom w:val="single" w:sz="4" w:space="0" w:color="000000"/>
              <w:right w:val="single" w:sz="4" w:space="0" w:color="000000"/>
            </w:tcBorders>
          </w:tcPr>
          <w:p w:rsidR="006C145C" w:rsidRDefault="006C145C"/>
        </w:tc>
      </w:tr>
      <w:tr w:rsidR="006C145C">
        <w:trPr>
          <w:trHeight w:val="252"/>
        </w:trPr>
        <w:tc>
          <w:tcPr>
            <w:tcW w:w="5617" w:type="dxa"/>
            <w:gridSpan w:val="2"/>
            <w:tcBorders>
              <w:top w:val="single" w:sz="4" w:space="0" w:color="000000"/>
              <w:left w:val="single" w:sz="4" w:space="0" w:color="000000"/>
              <w:bottom w:val="single" w:sz="4" w:space="0" w:color="000000"/>
              <w:right w:val="nil"/>
            </w:tcBorders>
          </w:tcPr>
          <w:p w:rsidR="006C145C" w:rsidRDefault="00C62E5A">
            <w:pPr>
              <w:spacing w:after="0"/>
              <w:ind w:left="70"/>
            </w:pPr>
            <w:r>
              <w:rPr>
                <w:rFonts w:ascii="Arial" w:eastAsia="Arial" w:hAnsi="Arial" w:cs="Arial"/>
                <w:b/>
                <w:sz w:val="20"/>
              </w:rPr>
              <w:t xml:space="preserve">Nº + Título do Indicador que será utilizado </w:t>
            </w:r>
          </w:p>
        </w:tc>
        <w:tc>
          <w:tcPr>
            <w:tcW w:w="4023" w:type="dxa"/>
            <w:tcBorders>
              <w:top w:val="single" w:sz="4" w:space="0" w:color="000000"/>
              <w:left w:val="nil"/>
              <w:bottom w:val="single" w:sz="4" w:space="0" w:color="000000"/>
              <w:right w:val="single" w:sz="4" w:space="0" w:color="000000"/>
            </w:tcBorders>
          </w:tcPr>
          <w:p w:rsidR="006C145C" w:rsidRDefault="006C145C"/>
        </w:tc>
      </w:tr>
      <w:tr w:rsidR="006C145C">
        <w:trPr>
          <w:trHeight w:val="295"/>
        </w:trPr>
        <w:tc>
          <w:tcPr>
            <w:tcW w:w="25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114"/>
              <w:jc w:val="center"/>
            </w:pPr>
            <w:r>
              <w:rPr>
                <w:rFonts w:ascii="Arial" w:eastAsia="Arial" w:hAnsi="Arial" w:cs="Arial"/>
                <w:b/>
                <w:sz w:val="20"/>
              </w:rPr>
              <w:t xml:space="preserve">Item </w:t>
            </w:r>
          </w:p>
        </w:tc>
        <w:tc>
          <w:tcPr>
            <w:tcW w:w="3065" w:type="dxa"/>
            <w:tcBorders>
              <w:top w:val="single" w:sz="4" w:space="0" w:color="000000"/>
              <w:left w:val="single" w:sz="4" w:space="0" w:color="000000"/>
              <w:bottom w:val="single" w:sz="4" w:space="0" w:color="000000"/>
              <w:right w:val="nil"/>
            </w:tcBorders>
          </w:tcPr>
          <w:p w:rsidR="006C145C" w:rsidRDefault="006C145C"/>
        </w:tc>
        <w:tc>
          <w:tcPr>
            <w:tcW w:w="4023" w:type="dxa"/>
            <w:tcBorders>
              <w:top w:val="single" w:sz="4" w:space="0" w:color="000000"/>
              <w:left w:val="nil"/>
              <w:bottom w:val="single" w:sz="4" w:space="0" w:color="000000"/>
              <w:right w:val="single" w:sz="4" w:space="0" w:color="000000"/>
            </w:tcBorders>
          </w:tcPr>
          <w:p w:rsidR="006C145C" w:rsidRDefault="00C62E5A">
            <w:pPr>
              <w:spacing w:after="0"/>
            </w:pPr>
            <w:r>
              <w:rPr>
                <w:rFonts w:ascii="Arial" w:eastAsia="Arial" w:hAnsi="Arial" w:cs="Arial"/>
                <w:b/>
                <w:sz w:val="20"/>
              </w:rPr>
              <w:t xml:space="preserve">Descrição </w:t>
            </w:r>
          </w:p>
        </w:tc>
      </w:tr>
      <w:tr w:rsidR="006C145C">
        <w:trPr>
          <w:trHeight w:val="240"/>
        </w:trPr>
        <w:tc>
          <w:tcPr>
            <w:tcW w:w="25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70"/>
            </w:pPr>
            <w:r>
              <w:rPr>
                <w:rFonts w:ascii="Arial" w:eastAsia="Arial" w:hAnsi="Arial" w:cs="Arial"/>
                <w:b/>
                <w:sz w:val="20"/>
              </w:rPr>
              <w:t xml:space="preserve">Finalidade  </w:t>
            </w:r>
          </w:p>
        </w:tc>
        <w:tc>
          <w:tcPr>
            <w:tcW w:w="3065" w:type="dxa"/>
            <w:tcBorders>
              <w:top w:val="single" w:sz="4" w:space="0" w:color="000000"/>
              <w:left w:val="single" w:sz="4" w:space="0" w:color="000000"/>
              <w:bottom w:val="single" w:sz="4" w:space="0" w:color="000000"/>
              <w:right w:val="nil"/>
            </w:tcBorders>
          </w:tcPr>
          <w:p w:rsidR="006C145C" w:rsidRDefault="00C62E5A">
            <w:pPr>
              <w:spacing w:after="0"/>
              <w:ind w:left="70"/>
            </w:pPr>
            <w:r>
              <w:rPr>
                <w:rFonts w:ascii="Arial" w:eastAsia="Arial" w:hAnsi="Arial" w:cs="Arial"/>
                <w:sz w:val="20"/>
              </w:rPr>
              <w:t xml:space="preserve"> </w:t>
            </w:r>
          </w:p>
        </w:tc>
        <w:tc>
          <w:tcPr>
            <w:tcW w:w="4023" w:type="dxa"/>
            <w:tcBorders>
              <w:top w:val="single" w:sz="4" w:space="0" w:color="000000"/>
              <w:left w:val="nil"/>
              <w:bottom w:val="single" w:sz="4" w:space="0" w:color="000000"/>
              <w:right w:val="single" w:sz="4" w:space="0" w:color="000000"/>
            </w:tcBorders>
          </w:tcPr>
          <w:p w:rsidR="006C145C" w:rsidRDefault="006C145C"/>
        </w:tc>
      </w:tr>
      <w:tr w:rsidR="006C145C">
        <w:trPr>
          <w:trHeight w:val="240"/>
        </w:trPr>
        <w:tc>
          <w:tcPr>
            <w:tcW w:w="25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70"/>
            </w:pPr>
            <w:r>
              <w:rPr>
                <w:rFonts w:ascii="Arial" w:eastAsia="Arial" w:hAnsi="Arial" w:cs="Arial"/>
                <w:b/>
                <w:sz w:val="20"/>
              </w:rPr>
              <w:t xml:space="preserve">Meta a cumprir </w:t>
            </w:r>
          </w:p>
        </w:tc>
        <w:tc>
          <w:tcPr>
            <w:tcW w:w="3065" w:type="dxa"/>
            <w:tcBorders>
              <w:top w:val="single" w:sz="4" w:space="0" w:color="000000"/>
              <w:left w:val="single" w:sz="4" w:space="0" w:color="000000"/>
              <w:bottom w:val="single" w:sz="4" w:space="0" w:color="000000"/>
              <w:right w:val="nil"/>
            </w:tcBorders>
          </w:tcPr>
          <w:p w:rsidR="006C145C" w:rsidRDefault="00C62E5A">
            <w:pPr>
              <w:spacing w:after="0"/>
              <w:ind w:left="70"/>
            </w:pPr>
            <w:r>
              <w:rPr>
                <w:rFonts w:ascii="Arial" w:eastAsia="Arial" w:hAnsi="Arial" w:cs="Arial"/>
                <w:sz w:val="20"/>
              </w:rPr>
              <w:t xml:space="preserve"> </w:t>
            </w:r>
          </w:p>
        </w:tc>
        <w:tc>
          <w:tcPr>
            <w:tcW w:w="4023" w:type="dxa"/>
            <w:tcBorders>
              <w:top w:val="single" w:sz="4" w:space="0" w:color="000000"/>
              <w:left w:val="nil"/>
              <w:bottom w:val="single" w:sz="4" w:space="0" w:color="000000"/>
              <w:right w:val="single" w:sz="4" w:space="0" w:color="000000"/>
            </w:tcBorders>
          </w:tcPr>
          <w:p w:rsidR="006C145C" w:rsidRDefault="006C145C"/>
        </w:tc>
      </w:tr>
      <w:tr w:rsidR="006C145C">
        <w:trPr>
          <w:trHeight w:val="240"/>
        </w:trPr>
        <w:tc>
          <w:tcPr>
            <w:tcW w:w="25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70"/>
            </w:pPr>
            <w:r>
              <w:rPr>
                <w:rFonts w:ascii="Arial" w:eastAsia="Arial" w:hAnsi="Arial" w:cs="Arial"/>
                <w:b/>
                <w:sz w:val="20"/>
              </w:rPr>
              <w:t xml:space="preserve">Instrumento de medição </w:t>
            </w:r>
          </w:p>
        </w:tc>
        <w:tc>
          <w:tcPr>
            <w:tcW w:w="3065" w:type="dxa"/>
            <w:tcBorders>
              <w:top w:val="single" w:sz="4" w:space="0" w:color="000000"/>
              <w:left w:val="single" w:sz="4" w:space="0" w:color="000000"/>
              <w:bottom w:val="single" w:sz="4" w:space="0" w:color="000000"/>
              <w:right w:val="nil"/>
            </w:tcBorders>
          </w:tcPr>
          <w:p w:rsidR="006C145C" w:rsidRDefault="00C62E5A">
            <w:pPr>
              <w:spacing w:after="0"/>
              <w:ind w:left="70"/>
            </w:pPr>
            <w:r>
              <w:rPr>
                <w:rFonts w:ascii="Arial" w:eastAsia="Arial" w:hAnsi="Arial" w:cs="Arial"/>
                <w:sz w:val="20"/>
              </w:rPr>
              <w:t xml:space="preserve"> </w:t>
            </w:r>
          </w:p>
        </w:tc>
        <w:tc>
          <w:tcPr>
            <w:tcW w:w="4023" w:type="dxa"/>
            <w:tcBorders>
              <w:top w:val="single" w:sz="4" w:space="0" w:color="000000"/>
              <w:left w:val="nil"/>
              <w:bottom w:val="single" w:sz="4" w:space="0" w:color="000000"/>
              <w:right w:val="single" w:sz="4" w:space="0" w:color="000000"/>
            </w:tcBorders>
          </w:tcPr>
          <w:p w:rsidR="006C145C" w:rsidRDefault="006C145C"/>
        </w:tc>
      </w:tr>
      <w:tr w:rsidR="006C145C">
        <w:trPr>
          <w:trHeight w:val="468"/>
        </w:trPr>
        <w:tc>
          <w:tcPr>
            <w:tcW w:w="25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70"/>
            </w:pPr>
            <w:r>
              <w:rPr>
                <w:rFonts w:ascii="Arial" w:eastAsia="Arial" w:hAnsi="Arial" w:cs="Arial"/>
                <w:b/>
                <w:sz w:val="20"/>
              </w:rPr>
              <w:t xml:space="preserve">Forma de acompanhamento </w:t>
            </w:r>
          </w:p>
        </w:tc>
        <w:tc>
          <w:tcPr>
            <w:tcW w:w="3065" w:type="dxa"/>
            <w:tcBorders>
              <w:top w:val="single" w:sz="4" w:space="0" w:color="000000"/>
              <w:left w:val="single" w:sz="4" w:space="0" w:color="000000"/>
              <w:bottom w:val="single" w:sz="4" w:space="0" w:color="000000"/>
              <w:right w:val="nil"/>
            </w:tcBorders>
            <w:vAlign w:val="center"/>
          </w:tcPr>
          <w:p w:rsidR="006C145C" w:rsidRDefault="00C62E5A">
            <w:pPr>
              <w:spacing w:after="0"/>
              <w:ind w:left="70"/>
            </w:pPr>
            <w:r>
              <w:rPr>
                <w:rFonts w:ascii="Arial" w:eastAsia="Arial" w:hAnsi="Arial" w:cs="Arial"/>
                <w:sz w:val="20"/>
              </w:rPr>
              <w:t xml:space="preserve"> </w:t>
            </w:r>
          </w:p>
        </w:tc>
        <w:tc>
          <w:tcPr>
            <w:tcW w:w="4023" w:type="dxa"/>
            <w:tcBorders>
              <w:top w:val="single" w:sz="4" w:space="0" w:color="000000"/>
              <w:left w:val="nil"/>
              <w:bottom w:val="single" w:sz="4" w:space="0" w:color="000000"/>
              <w:right w:val="single" w:sz="4" w:space="0" w:color="000000"/>
            </w:tcBorders>
          </w:tcPr>
          <w:p w:rsidR="006C145C" w:rsidRDefault="006C145C"/>
        </w:tc>
      </w:tr>
      <w:tr w:rsidR="006C145C">
        <w:trPr>
          <w:trHeight w:val="250"/>
        </w:trPr>
        <w:tc>
          <w:tcPr>
            <w:tcW w:w="25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70"/>
            </w:pPr>
            <w:r>
              <w:rPr>
                <w:rFonts w:ascii="Arial" w:eastAsia="Arial" w:hAnsi="Arial" w:cs="Arial"/>
                <w:b/>
                <w:sz w:val="20"/>
              </w:rPr>
              <w:t xml:space="preserve">Periodicidade </w:t>
            </w:r>
          </w:p>
        </w:tc>
        <w:tc>
          <w:tcPr>
            <w:tcW w:w="3065" w:type="dxa"/>
            <w:tcBorders>
              <w:top w:val="single" w:sz="4" w:space="0" w:color="000000"/>
              <w:left w:val="single" w:sz="4" w:space="0" w:color="000000"/>
              <w:bottom w:val="single" w:sz="4" w:space="0" w:color="000000"/>
              <w:right w:val="nil"/>
            </w:tcBorders>
          </w:tcPr>
          <w:p w:rsidR="006C145C" w:rsidRDefault="00C62E5A">
            <w:pPr>
              <w:spacing w:after="0"/>
              <w:ind w:left="70"/>
            </w:pPr>
            <w:r>
              <w:rPr>
                <w:rFonts w:ascii="Arial" w:eastAsia="Arial" w:hAnsi="Arial" w:cs="Arial"/>
                <w:sz w:val="20"/>
              </w:rPr>
              <w:t xml:space="preserve"> </w:t>
            </w:r>
          </w:p>
        </w:tc>
        <w:tc>
          <w:tcPr>
            <w:tcW w:w="4023" w:type="dxa"/>
            <w:tcBorders>
              <w:top w:val="single" w:sz="4" w:space="0" w:color="000000"/>
              <w:left w:val="nil"/>
              <w:bottom w:val="single" w:sz="4" w:space="0" w:color="000000"/>
              <w:right w:val="single" w:sz="4" w:space="0" w:color="000000"/>
            </w:tcBorders>
          </w:tcPr>
          <w:p w:rsidR="006C145C" w:rsidRDefault="006C145C"/>
        </w:tc>
      </w:tr>
      <w:tr w:rsidR="006C145C">
        <w:trPr>
          <w:trHeight w:val="241"/>
        </w:trPr>
        <w:tc>
          <w:tcPr>
            <w:tcW w:w="25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70"/>
            </w:pPr>
            <w:r>
              <w:rPr>
                <w:rFonts w:ascii="Arial" w:eastAsia="Arial" w:hAnsi="Arial" w:cs="Arial"/>
                <w:b/>
                <w:sz w:val="20"/>
              </w:rPr>
              <w:t xml:space="preserve">Mecanismo de Cálculo </w:t>
            </w:r>
          </w:p>
        </w:tc>
        <w:tc>
          <w:tcPr>
            <w:tcW w:w="3065" w:type="dxa"/>
            <w:tcBorders>
              <w:top w:val="single" w:sz="4" w:space="0" w:color="000000"/>
              <w:left w:val="single" w:sz="4" w:space="0" w:color="000000"/>
              <w:bottom w:val="single" w:sz="4" w:space="0" w:color="000000"/>
              <w:right w:val="nil"/>
            </w:tcBorders>
          </w:tcPr>
          <w:p w:rsidR="006C145C" w:rsidRDefault="00C62E5A">
            <w:pPr>
              <w:spacing w:after="0"/>
              <w:ind w:left="70"/>
            </w:pPr>
            <w:r>
              <w:rPr>
                <w:rFonts w:ascii="Arial" w:eastAsia="Arial" w:hAnsi="Arial" w:cs="Arial"/>
                <w:sz w:val="20"/>
              </w:rPr>
              <w:t xml:space="preserve"> </w:t>
            </w:r>
          </w:p>
        </w:tc>
        <w:tc>
          <w:tcPr>
            <w:tcW w:w="4023" w:type="dxa"/>
            <w:tcBorders>
              <w:top w:val="single" w:sz="4" w:space="0" w:color="000000"/>
              <w:left w:val="nil"/>
              <w:bottom w:val="single" w:sz="4" w:space="0" w:color="000000"/>
              <w:right w:val="single" w:sz="4" w:space="0" w:color="000000"/>
            </w:tcBorders>
          </w:tcPr>
          <w:p w:rsidR="006C145C" w:rsidRDefault="006C145C"/>
        </w:tc>
      </w:tr>
      <w:tr w:rsidR="006C145C">
        <w:trPr>
          <w:trHeight w:val="240"/>
        </w:trPr>
        <w:tc>
          <w:tcPr>
            <w:tcW w:w="25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70"/>
            </w:pPr>
            <w:r>
              <w:rPr>
                <w:rFonts w:ascii="Arial" w:eastAsia="Arial" w:hAnsi="Arial" w:cs="Arial"/>
                <w:b/>
                <w:sz w:val="20"/>
              </w:rPr>
              <w:t xml:space="preserve">Início da Vigência </w:t>
            </w:r>
          </w:p>
        </w:tc>
        <w:tc>
          <w:tcPr>
            <w:tcW w:w="3065" w:type="dxa"/>
            <w:tcBorders>
              <w:top w:val="single" w:sz="4" w:space="0" w:color="000000"/>
              <w:left w:val="single" w:sz="4" w:space="0" w:color="000000"/>
              <w:bottom w:val="single" w:sz="4" w:space="0" w:color="000000"/>
              <w:right w:val="nil"/>
            </w:tcBorders>
          </w:tcPr>
          <w:p w:rsidR="006C145C" w:rsidRDefault="00C62E5A">
            <w:pPr>
              <w:spacing w:after="0"/>
              <w:ind w:left="70"/>
            </w:pPr>
            <w:r>
              <w:rPr>
                <w:rFonts w:ascii="Arial" w:eastAsia="Arial" w:hAnsi="Arial" w:cs="Arial"/>
                <w:sz w:val="20"/>
              </w:rPr>
              <w:t xml:space="preserve"> </w:t>
            </w:r>
          </w:p>
        </w:tc>
        <w:tc>
          <w:tcPr>
            <w:tcW w:w="4023" w:type="dxa"/>
            <w:tcBorders>
              <w:top w:val="single" w:sz="4" w:space="0" w:color="000000"/>
              <w:left w:val="nil"/>
              <w:bottom w:val="single" w:sz="4" w:space="0" w:color="000000"/>
              <w:right w:val="single" w:sz="4" w:space="0" w:color="000000"/>
            </w:tcBorders>
          </w:tcPr>
          <w:p w:rsidR="006C145C" w:rsidRDefault="006C145C"/>
        </w:tc>
      </w:tr>
      <w:tr w:rsidR="006C145C">
        <w:trPr>
          <w:trHeight w:val="470"/>
        </w:trPr>
        <w:tc>
          <w:tcPr>
            <w:tcW w:w="25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70"/>
            </w:pPr>
            <w:r>
              <w:rPr>
                <w:rFonts w:ascii="Arial" w:eastAsia="Arial" w:hAnsi="Arial" w:cs="Arial"/>
                <w:b/>
                <w:sz w:val="20"/>
              </w:rPr>
              <w:t xml:space="preserve">Faixas de ajuste no pagamento </w:t>
            </w:r>
          </w:p>
        </w:tc>
        <w:tc>
          <w:tcPr>
            <w:tcW w:w="3065" w:type="dxa"/>
            <w:tcBorders>
              <w:top w:val="single" w:sz="4" w:space="0" w:color="000000"/>
              <w:left w:val="single" w:sz="4" w:space="0" w:color="000000"/>
              <w:bottom w:val="single" w:sz="4" w:space="0" w:color="000000"/>
              <w:right w:val="nil"/>
            </w:tcBorders>
            <w:vAlign w:val="center"/>
          </w:tcPr>
          <w:p w:rsidR="006C145C" w:rsidRDefault="00C62E5A">
            <w:pPr>
              <w:spacing w:after="0"/>
              <w:ind w:left="70"/>
            </w:pPr>
            <w:r>
              <w:rPr>
                <w:rFonts w:ascii="Arial" w:eastAsia="Arial" w:hAnsi="Arial" w:cs="Arial"/>
                <w:sz w:val="20"/>
              </w:rPr>
              <w:t xml:space="preserve"> </w:t>
            </w:r>
          </w:p>
        </w:tc>
        <w:tc>
          <w:tcPr>
            <w:tcW w:w="4023" w:type="dxa"/>
            <w:tcBorders>
              <w:top w:val="single" w:sz="4" w:space="0" w:color="000000"/>
              <w:left w:val="nil"/>
              <w:bottom w:val="single" w:sz="4" w:space="0" w:color="000000"/>
              <w:right w:val="single" w:sz="4" w:space="0" w:color="000000"/>
            </w:tcBorders>
          </w:tcPr>
          <w:p w:rsidR="006C145C" w:rsidRDefault="006C145C"/>
        </w:tc>
      </w:tr>
      <w:tr w:rsidR="006C145C">
        <w:trPr>
          <w:trHeight w:val="310"/>
        </w:trPr>
        <w:tc>
          <w:tcPr>
            <w:tcW w:w="25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70"/>
            </w:pPr>
            <w:r>
              <w:rPr>
                <w:rFonts w:ascii="Arial" w:eastAsia="Arial" w:hAnsi="Arial" w:cs="Arial"/>
                <w:b/>
                <w:sz w:val="20"/>
              </w:rPr>
              <w:t xml:space="preserve">Sanções  </w:t>
            </w:r>
          </w:p>
        </w:tc>
        <w:tc>
          <w:tcPr>
            <w:tcW w:w="3065" w:type="dxa"/>
            <w:tcBorders>
              <w:top w:val="single" w:sz="4" w:space="0" w:color="000000"/>
              <w:left w:val="single" w:sz="4" w:space="0" w:color="000000"/>
              <w:bottom w:val="single" w:sz="4" w:space="0" w:color="000000"/>
              <w:right w:val="nil"/>
            </w:tcBorders>
          </w:tcPr>
          <w:p w:rsidR="006C145C" w:rsidRDefault="00C62E5A">
            <w:pPr>
              <w:spacing w:after="0"/>
              <w:ind w:left="70"/>
            </w:pPr>
            <w:r>
              <w:rPr>
                <w:rFonts w:ascii="Arial" w:eastAsia="Arial" w:hAnsi="Arial" w:cs="Arial"/>
                <w:sz w:val="20"/>
              </w:rPr>
              <w:t xml:space="preserve"> </w:t>
            </w:r>
          </w:p>
        </w:tc>
        <w:tc>
          <w:tcPr>
            <w:tcW w:w="4023" w:type="dxa"/>
            <w:tcBorders>
              <w:top w:val="single" w:sz="4" w:space="0" w:color="000000"/>
              <w:left w:val="nil"/>
              <w:bottom w:val="single" w:sz="4" w:space="0" w:color="000000"/>
              <w:right w:val="single" w:sz="4" w:space="0" w:color="000000"/>
            </w:tcBorders>
          </w:tcPr>
          <w:p w:rsidR="006C145C" w:rsidRDefault="006C145C"/>
        </w:tc>
      </w:tr>
      <w:tr w:rsidR="006C145C">
        <w:trPr>
          <w:trHeight w:val="312"/>
        </w:trPr>
        <w:tc>
          <w:tcPr>
            <w:tcW w:w="25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70"/>
            </w:pPr>
            <w:r>
              <w:rPr>
                <w:rFonts w:ascii="Arial" w:eastAsia="Arial" w:hAnsi="Arial" w:cs="Arial"/>
                <w:b/>
                <w:sz w:val="20"/>
              </w:rPr>
              <w:t xml:space="preserve">Observações </w:t>
            </w:r>
          </w:p>
        </w:tc>
        <w:tc>
          <w:tcPr>
            <w:tcW w:w="3065" w:type="dxa"/>
            <w:tcBorders>
              <w:top w:val="single" w:sz="4" w:space="0" w:color="000000"/>
              <w:left w:val="single" w:sz="4" w:space="0" w:color="000000"/>
              <w:bottom w:val="single" w:sz="4" w:space="0" w:color="000000"/>
              <w:right w:val="nil"/>
            </w:tcBorders>
          </w:tcPr>
          <w:p w:rsidR="006C145C" w:rsidRDefault="00C62E5A">
            <w:pPr>
              <w:spacing w:after="0"/>
              <w:ind w:left="70"/>
            </w:pPr>
            <w:r>
              <w:rPr>
                <w:rFonts w:ascii="Arial" w:eastAsia="Arial" w:hAnsi="Arial" w:cs="Arial"/>
                <w:sz w:val="20"/>
              </w:rPr>
              <w:t xml:space="preserve"> </w:t>
            </w:r>
          </w:p>
        </w:tc>
        <w:tc>
          <w:tcPr>
            <w:tcW w:w="4023" w:type="dxa"/>
            <w:tcBorders>
              <w:top w:val="single" w:sz="4" w:space="0" w:color="000000"/>
              <w:left w:val="nil"/>
              <w:bottom w:val="single" w:sz="4" w:space="0" w:color="000000"/>
              <w:right w:val="single" w:sz="4" w:space="0" w:color="000000"/>
            </w:tcBorders>
          </w:tcPr>
          <w:p w:rsidR="006C145C" w:rsidRDefault="006C145C"/>
        </w:tc>
      </w:tr>
      <w:tr w:rsidR="006C145C">
        <w:trPr>
          <w:trHeight w:val="250"/>
        </w:trPr>
        <w:tc>
          <w:tcPr>
            <w:tcW w:w="5617" w:type="dxa"/>
            <w:gridSpan w:val="2"/>
            <w:tcBorders>
              <w:top w:val="single" w:sz="4" w:space="0" w:color="000000"/>
              <w:left w:val="single" w:sz="4" w:space="0" w:color="000000"/>
              <w:bottom w:val="single" w:sz="4" w:space="0" w:color="000000"/>
              <w:right w:val="nil"/>
            </w:tcBorders>
          </w:tcPr>
          <w:p w:rsidR="006C145C" w:rsidRDefault="00C62E5A">
            <w:pPr>
              <w:spacing w:after="0"/>
              <w:ind w:right="626"/>
              <w:jc w:val="right"/>
            </w:pPr>
            <w:r>
              <w:rPr>
                <w:rFonts w:ascii="Arial" w:eastAsia="Arial" w:hAnsi="Arial" w:cs="Arial"/>
                <w:b/>
                <w:sz w:val="20"/>
              </w:rPr>
              <w:t xml:space="preserve"> </w:t>
            </w:r>
          </w:p>
        </w:tc>
        <w:tc>
          <w:tcPr>
            <w:tcW w:w="4023" w:type="dxa"/>
            <w:tcBorders>
              <w:top w:val="single" w:sz="4" w:space="0" w:color="000000"/>
              <w:left w:val="nil"/>
              <w:bottom w:val="single" w:sz="4" w:space="0" w:color="000000"/>
              <w:right w:val="single" w:sz="4" w:space="0" w:color="000000"/>
            </w:tcBorders>
          </w:tcPr>
          <w:p w:rsidR="006C145C" w:rsidRDefault="006C145C"/>
        </w:tc>
      </w:tr>
    </w:tbl>
    <w:p w:rsidR="006C145C" w:rsidRDefault="00C62E5A">
      <w:pPr>
        <w:spacing w:after="0"/>
      </w:pPr>
      <w:r>
        <w:rPr>
          <w:rFonts w:ascii="Arial" w:eastAsia="Arial" w:hAnsi="Arial" w:cs="Arial"/>
          <w:sz w:val="20"/>
        </w:rPr>
        <w:t xml:space="preserve"> </w:t>
      </w:r>
    </w:p>
    <w:tbl>
      <w:tblPr>
        <w:tblStyle w:val="TableGrid"/>
        <w:tblW w:w="9640" w:type="dxa"/>
        <w:tblInd w:w="0" w:type="dxa"/>
        <w:tblCellMar>
          <w:top w:w="9" w:type="dxa"/>
          <w:left w:w="70" w:type="dxa"/>
          <w:bottom w:w="0" w:type="dxa"/>
          <w:right w:w="115" w:type="dxa"/>
        </w:tblCellMar>
        <w:tblLook w:val="04A0" w:firstRow="1" w:lastRow="0" w:firstColumn="1" w:lastColumn="0" w:noHBand="0" w:noVBand="1"/>
      </w:tblPr>
      <w:tblGrid>
        <w:gridCol w:w="2552"/>
        <w:gridCol w:w="7088"/>
      </w:tblGrid>
      <w:tr w:rsidR="006C145C">
        <w:trPr>
          <w:trHeight w:val="264"/>
        </w:trPr>
        <w:tc>
          <w:tcPr>
            <w:tcW w:w="9640" w:type="dxa"/>
            <w:gridSpan w:val="2"/>
            <w:tcBorders>
              <w:top w:val="single" w:sz="4" w:space="0" w:color="000000"/>
              <w:left w:val="single" w:sz="4" w:space="0" w:color="000000"/>
              <w:bottom w:val="single" w:sz="4" w:space="0" w:color="000000"/>
              <w:right w:val="single" w:sz="4" w:space="0" w:color="000000"/>
            </w:tcBorders>
          </w:tcPr>
          <w:p w:rsidR="006C145C" w:rsidRDefault="00C62E5A">
            <w:pPr>
              <w:spacing w:after="0"/>
              <w:ind w:left="42"/>
              <w:jc w:val="center"/>
            </w:pPr>
            <w:r>
              <w:rPr>
                <w:rFonts w:ascii="Arial" w:eastAsia="Arial" w:hAnsi="Arial" w:cs="Arial"/>
                <w:b/>
                <w:color w:val="FF0000"/>
                <w:sz w:val="20"/>
              </w:rPr>
              <w:t xml:space="preserve">Exemplo de Indicador </w:t>
            </w:r>
          </w:p>
        </w:tc>
      </w:tr>
      <w:tr w:rsidR="006C145C">
        <w:trPr>
          <w:trHeight w:val="250"/>
        </w:trPr>
        <w:tc>
          <w:tcPr>
            <w:tcW w:w="9640" w:type="dxa"/>
            <w:gridSpan w:val="2"/>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b/>
                <w:color w:val="FF0000"/>
                <w:sz w:val="20"/>
              </w:rPr>
              <w:t xml:space="preserve">Nº 01 Prazo de atendimento de demandas (OS) </w:t>
            </w:r>
          </w:p>
        </w:tc>
      </w:tr>
      <w:tr w:rsidR="006C145C">
        <w:trPr>
          <w:trHeight w:val="295"/>
        </w:trPr>
        <w:tc>
          <w:tcPr>
            <w:tcW w:w="2552"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44"/>
              <w:jc w:val="center"/>
            </w:pPr>
            <w:r>
              <w:rPr>
                <w:rFonts w:ascii="Arial" w:eastAsia="Arial" w:hAnsi="Arial" w:cs="Arial"/>
                <w:b/>
                <w:color w:val="FF0000"/>
                <w:sz w:val="20"/>
              </w:rPr>
              <w:t xml:space="preserve">Item </w:t>
            </w:r>
          </w:p>
        </w:tc>
        <w:tc>
          <w:tcPr>
            <w:tcW w:w="7089" w:type="dxa"/>
            <w:tcBorders>
              <w:top w:val="single" w:sz="4" w:space="0" w:color="000000"/>
              <w:left w:val="single" w:sz="4" w:space="0" w:color="000000"/>
              <w:bottom w:val="single" w:sz="4" w:space="0" w:color="000000"/>
              <w:right w:val="single" w:sz="4" w:space="0" w:color="000000"/>
            </w:tcBorders>
          </w:tcPr>
          <w:p w:rsidR="006C145C" w:rsidRDefault="00C62E5A">
            <w:pPr>
              <w:spacing w:after="0"/>
              <w:ind w:left="42"/>
              <w:jc w:val="center"/>
            </w:pPr>
            <w:r>
              <w:rPr>
                <w:rFonts w:ascii="Arial" w:eastAsia="Arial" w:hAnsi="Arial" w:cs="Arial"/>
                <w:b/>
                <w:color w:val="FF0000"/>
                <w:sz w:val="20"/>
              </w:rPr>
              <w:t xml:space="preserve">Descrição </w:t>
            </w:r>
          </w:p>
        </w:tc>
      </w:tr>
      <w:tr w:rsidR="006C145C">
        <w:trPr>
          <w:trHeight w:val="240"/>
        </w:trPr>
        <w:tc>
          <w:tcPr>
            <w:tcW w:w="2552"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b/>
                <w:color w:val="FF0000"/>
                <w:sz w:val="20"/>
              </w:rPr>
              <w:t xml:space="preserve">Finalidade  </w:t>
            </w:r>
          </w:p>
        </w:tc>
        <w:tc>
          <w:tcPr>
            <w:tcW w:w="7089"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color w:val="FF0000"/>
                <w:sz w:val="20"/>
              </w:rPr>
              <w:t xml:space="preserve">Garantir um atendimento célere às demandas do órgão </w:t>
            </w:r>
          </w:p>
        </w:tc>
      </w:tr>
      <w:tr w:rsidR="006C145C">
        <w:trPr>
          <w:trHeight w:val="240"/>
        </w:trPr>
        <w:tc>
          <w:tcPr>
            <w:tcW w:w="2552"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b/>
                <w:color w:val="FF0000"/>
                <w:sz w:val="20"/>
              </w:rPr>
              <w:t xml:space="preserve">Meta a cumprir </w:t>
            </w:r>
          </w:p>
        </w:tc>
        <w:tc>
          <w:tcPr>
            <w:tcW w:w="7089"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color w:val="FF0000"/>
                <w:sz w:val="20"/>
              </w:rPr>
              <w:t xml:space="preserve">24h </w:t>
            </w:r>
          </w:p>
        </w:tc>
      </w:tr>
      <w:tr w:rsidR="006C145C">
        <w:trPr>
          <w:trHeight w:val="471"/>
        </w:trPr>
        <w:tc>
          <w:tcPr>
            <w:tcW w:w="2552" w:type="dxa"/>
            <w:tcBorders>
              <w:top w:val="single" w:sz="4" w:space="0" w:color="000000"/>
              <w:left w:val="single" w:sz="4" w:space="0" w:color="000000"/>
              <w:bottom w:val="single" w:sz="4" w:space="0" w:color="000000"/>
              <w:right w:val="single" w:sz="4" w:space="0" w:color="000000"/>
            </w:tcBorders>
            <w:vAlign w:val="center"/>
          </w:tcPr>
          <w:p w:rsidR="006C145C" w:rsidRDefault="00C62E5A">
            <w:pPr>
              <w:spacing w:after="0"/>
            </w:pPr>
            <w:r>
              <w:rPr>
                <w:rFonts w:ascii="Arial" w:eastAsia="Arial" w:hAnsi="Arial" w:cs="Arial"/>
                <w:b/>
                <w:color w:val="FF0000"/>
                <w:sz w:val="20"/>
              </w:rPr>
              <w:t xml:space="preserve">Instrumento de medição </w:t>
            </w:r>
          </w:p>
        </w:tc>
        <w:tc>
          <w:tcPr>
            <w:tcW w:w="7089"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color w:val="FF0000"/>
                <w:sz w:val="20"/>
              </w:rPr>
              <w:t xml:space="preserve">Sistema informatizado de solicitação de serviços – Ordem de Serviço (OS) eletrônica </w:t>
            </w:r>
          </w:p>
        </w:tc>
      </w:tr>
      <w:tr w:rsidR="006C145C">
        <w:trPr>
          <w:trHeight w:val="470"/>
        </w:trPr>
        <w:tc>
          <w:tcPr>
            <w:tcW w:w="2552"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b/>
                <w:color w:val="FF0000"/>
                <w:sz w:val="20"/>
              </w:rPr>
              <w:t xml:space="preserve">Forma de acompanhamento </w:t>
            </w:r>
          </w:p>
        </w:tc>
        <w:tc>
          <w:tcPr>
            <w:tcW w:w="7089" w:type="dxa"/>
            <w:tcBorders>
              <w:top w:val="single" w:sz="4" w:space="0" w:color="000000"/>
              <w:left w:val="single" w:sz="4" w:space="0" w:color="000000"/>
              <w:bottom w:val="single" w:sz="4" w:space="0" w:color="000000"/>
              <w:right w:val="single" w:sz="4" w:space="0" w:color="000000"/>
            </w:tcBorders>
            <w:vAlign w:val="center"/>
          </w:tcPr>
          <w:p w:rsidR="006C145C" w:rsidRDefault="00C62E5A">
            <w:pPr>
              <w:spacing w:after="0"/>
            </w:pPr>
            <w:r>
              <w:rPr>
                <w:rFonts w:ascii="Arial" w:eastAsia="Arial" w:hAnsi="Arial" w:cs="Arial"/>
                <w:color w:val="FF0000"/>
                <w:sz w:val="20"/>
              </w:rPr>
              <w:t xml:space="preserve">Pelo sistema </w:t>
            </w:r>
          </w:p>
        </w:tc>
      </w:tr>
      <w:tr w:rsidR="006C145C">
        <w:trPr>
          <w:trHeight w:val="250"/>
        </w:trPr>
        <w:tc>
          <w:tcPr>
            <w:tcW w:w="2552"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b/>
                <w:color w:val="FF0000"/>
                <w:sz w:val="20"/>
              </w:rPr>
              <w:t xml:space="preserve">Periodicidade </w:t>
            </w:r>
          </w:p>
        </w:tc>
        <w:tc>
          <w:tcPr>
            <w:tcW w:w="7089"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color w:val="FF0000"/>
                <w:sz w:val="20"/>
              </w:rPr>
              <w:t xml:space="preserve">Mensal </w:t>
            </w:r>
          </w:p>
        </w:tc>
      </w:tr>
      <w:tr w:rsidR="006C145C">
        <w:trPr>
          <w:trHeight w:val="470"/>
        </w:trPr>
        <w:tc>
          <w:tcPr>
            <w:tcW w:w="2552" w:type="dxa"/>
            <w:tcBorders>
              <w:top w:val="single" w:sz="4" w:space="0" w:color="000000"/>
              <w:left w:val="single" w:sz="4" w:space="0" w:color="000000"/>
              <w:bottom w:val="single" w:sz="4" w:space="0" w:color="000000"/>
              <w:right w:val="single" w:sz="4" w:space="0" w:color="000000"/>
            </w:tcBorders>
            <w:vAlign w:val="center"/>
          </w:tcPr>
          <w:p w:rsidR="006C145C" w:rsidRDefault="00C62E5A">
            <w:pPr>
              <w:spacing w:after="0"/>
            </w:pPr>
            <w:r>
              <w:rPr>
                <w:rFonts w:ascii="Arial" w:eastAsia="Arial" w:hAnsi="Arial" w:cs="Arial"/>
                <w:b/>
                <w:color w:val="FF0000"/>
                <w:sz w:val="20"/>
              </w:rPr>
              <w:t xml:space="preserve">Mecanismo de Cálculo </w:t>
            </w:r>
          </w:p>
        </w:tc>
        <w:tc>
          <w:tcPr>
            <w:tcW w:w="7089"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color w:val="FF0000"/>
                <w:sz w:val="20"/>
              </w:rPr>
              <w:t xml:space="preserve">Cada OS será verificada e valorada individualmente. N° de horas no atendimento/ 24h = X </w:t>
            </w:r>
          </w:p>
        </w:tc>
      </w:tr>
      <w:tr w:rsidR="006C145C">
        <w:trPr>
          <w:trHeight w:val="240"/>
        </w:trPr>
        <w:tc>
          <w:tcPr>
            <w:tcW w:w="2552"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b/>
                <w:color w:val="FF0000"/>
                <w:sz w:val="20"/>
              </w:rPr>
              <w:t xml:space="preserve">Início da Vigência </w:t>
            </w:r>
          </w:p>
        </w:tc>
        <w:tc>
          <w:tcPr>
            <w:tcW w:w="7089"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color w:val="FF0000"/>
                <w:sz w:val="20"/>
              </w:rPr>
              <w:t xml:space="preserve">Data da assinatura do contrato </w:t>
            </w:r>
          </w:p>
        </w:tc>
      </w:tr>
      <w:tr w:rsidR="006C145C">
        <w:trPr>
          <w:trHeight w:val="701"/>
        </w:trPr>
        <w:tc>
          <w:tcPr>
            <w:tcW w:w="2552" w:type="dxa"/>
            <w:tcBorders>
              <w:top w:val="single" w:sz="4" w:space="0" w:color="000000"/>
              <w:left w:val="single" w:sz="4" w:space="0" w:color="000000"/>
              <w:bottom w:val="single" w:sz="4" w:space="0" w:color="000000"/>
              <w:right w:val="single" w:sz="4" w:space="0" w:color="000000"/>
            </w:tcBorders>
            <w:vAlign w:val="center"/>
          </w:tcPr>
          <w:p w:rsidR="006C145C" w:rsidRDefault="00C62E5A">
            <w:pPr>
              <w:spacing w:after="0"/>
            </w:pPr>
            <w:r>
              <w:rPr>
                <w:rFonts w:ascii="Arial" w:eastAsia="Arial" w:hAnsi="Arial" w:cs="Arial"/>
                <w:b/>
                <w:color w:val="FF0000"/>
                <w:sz w:val="20"/>
              </w:rPr>
              <w:t xml:space="preserve">Faixas de ajuste no pagamento </w:t>
            </w:r>
          </w:p>
        </w:tc>
        <w:tc>
          <w:tcPr>
            <w:tcW w:w="7089"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color w:val="FF0000"/>
                <w:sz w:val="20"/>
              </w:rPr>
              <w:t xml:space="preserve">X até 1 – 100% do valor da OS </w:t>
            </w:r>
          </w:p>
          <w:p w:rsidR="006C145C" w:rsidRDefault="00C62E5A">
            <w:pPr>
              <w:spacing w:after="0"/>
            </w:pPr>
            <w:r>
              <w:rPr>
                <w:rFonts w:ascii="Arial" w:eastAsia="Arial" w:hAnsi="Arial" w:cs="Arial"/>
                <w:color w:val="FF0000"/>
                <w:sz w:val="20"/>
              </w:rPr>
              <w:t xml:space="preserve">De 1 a 1,5 – 90% do valor da OS </w:t>
            </w:r>
          </w:p>
          <w:p w:rsidR="006C145C" w:rsidRDefault="00C62E5A">
            <w:pPr>
              <w:spacing w:after="0"/>
            </w:pPr>
            <w:r>
              <w:rPr>
                <w:rFonts w:ascii="Arial" w:eastAsia="Arial" w:hAnsi="Arial" w:cs="Arial"/>
                <w:color w:val="FF0000"/>
                <w:sz w:val="20"/>
              </w:rPr>
              <w:t xml:space="preserve">De 1,5 a 2 – </w:t>
            </w:r>
            <w:r>
              <w:rPr>
                <w:rFonts w:ascii="Arial" w:eastAsia="Arial" w:hAnsi="Arial" w:cs="Arial"/>
                <w:color w:val="FF0000"/>
                <w:sz w:val="20"/>
              </w:rPr>
              <w:t xml:space="preserve">80% do valor da OS </w:t>
            </w:r>
          </w:p>
        </w:tc>
      </w:tr>
      <w:tr w:rsidR="006C145C">
        <w:trPr>
          <w:trHeight w:val="468"/>
        </w:trPr>
        <w:tc>
          <w:tcPr>
            <w:tcW w:w="2552" w:type="dxa"/>
            <w:tcBorders>
              <w:top w:val="single" w:sz="4" w:space="0" w:color="000000"/>
              <w:left w:val="single" w:sz="4" w:space="0" w:color="000000"/>
              <w:bottom w:val="single" w:sz="4" w:space="0" w:color="000000"/>
              <w:right w:val="single" w:sz="4" w:space="0" w:color="000000"/>
            </w:tcBorders>
            <w:vAlign w:val="center"/>
          </w:tcPr>
          <w:p w:rsidR="006C145C" w:rsidRDefault="00C62E5A">
            <w:pPr>
              <w:spacing w:after="0"/>
            </w:pPr>
            <w:r>
              <w:rPr>
                <w:rFonts w:ascii="Arial" w:eastAsia="Arial" w:hAnsi="Arial" w:cs="Arial"/>
                <w:b/>
                <w:color w:val="FF0000"/>
                <w:sz w:val="20"/>
              </w:rPr>
              <w:t xml:space="preserve">Sanções  </w:t>
            </w:r>
          </w:p>
        </w:tc>
        <w:tc>
          <w:tcPr>
            <w:tcW w:w="7089"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color w:val="FF0000"/>
                <w:sz w:val="20"/>
              </w:rPr>
              <w:t xml:space="preserve">20% das OS acima de 2 – multa de XX </w:t>
            </w:r>
          </w:p>
          <w:p w:rsidR="006C145C" w:rsidRDefault="00C62E5A">
            <w:pPr>
              <w:spacing w:after="0"/>
            </w:pPr>
            <w:r>
              <w:rPr>
                <w:rFonts w:ascii="Arial" w:eastAsia="Arial" w:hAnsi="Arial" w:cs="Arial"/>
                <w:color w:val="FF0000"/>
                <w:sz w:val="20"/>
              </w:rPr>
              <w:t xml:space="preserve">30% das OS acima de 2 – multa de XX + rescisão contratual </w:t>
            </w:r>
          </w:p>
        </w:tc>
      </w:tr>
      <w:tr w:rsidR="006C145C">
        <w:trPr>
          <w:trHeight w:val="312"/>
        </w:trPr>
        <w:tc>
          <w:tcPr>
            <w:tcW w:w="2552"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b/>
                <w:color w:val="FF0000"/>
                <w:sz w:val="20"/>
              </w:rPr>
              <w:t xml:space="preserve">Observações </w:t>
            </w:r>
          </w:p>
        </w:tc>
        <w:tc>
          <w:tcPr>
            <w:tcW w:w="7089" w:type="dxa"/>
            <w:tcBorders>
              <w:top w:val="single" w:sz="4" w:space="0" w:color="000000"/>
              <w:left w:val="single" w:sz="4" w:space="0" w:color="000000"/>
              <w:bottom w:val="single" w:sz="4" w:space="0" w:color="000000"/>
              <w:right w:val="single" w:sz="4" w:space="0" w:color="000000"/>
            </w:tcBorders>
          </w:tcPr>
          <w:p w:rsidR="006C145C" w:rsidRDefault="00C62E5A">
            <w:pPr>
              <w:spacing w:after="0"/>
            </w:pPr>
            <w:r>
              <w:rPr>
                <w:rFonts w:ascii="Arial" w:eastAsia="Arial" w:hAnsi="Arial" w:cs="Arial"/>
                <w:color w:val="FF0000"/>
                <w:sz w:val="20"/>
              </w:rPr>
              <w:t xml:space="preserve"> </w:t>
            </w:r>
          </w:p>
        </w:tc>
      </w:tr>
      <w:tr w:rsidR="006C145C">
        <w:trPr>
          <w:trHeight w:val="250"/>
        </w:trPr>
        <w:tc>
          <w:tcPr>
            <w:tcW w:w="9640" w:type="dxa"/>
            <w:gridSpan w:val="2"/>
            <w:tcBorders>
              <w:top w:val="single" w:sz="4" w:space="0" w:color="000000"/>
              <w:left w:val="single" w:sz="4" w:space="0" w:color="000000"/>
              <w:bottom w:val="single" w:sz="4" w:space="0" w:color="000000"/>
              <w:right w:val="single" w:sz="4" w:space="0" w:color="000000"/>
            </w:tcBorders>
          </w:tcPr>
          <w:p w:rsidR="006C145C" w:rsidRDefault="00C62E5A">
            <w:pPr>
              <w:spacing w:after="0"/>
              <w:ind w:left="101"/>
              <w:jc w:val="center"/>
            </w:pPr>
            <w:r>
              <w:rPr>
                <w:rFonts w:ascii="Arial" w:eastAsia="Arial" w:hAnsi="Arial" w:cs="Arial"/>
                <w:b/>
                <w:color w:val="FF0000"/>
                <w:sz w:val="20"/>
              </w:rPr>
              <w:lastRenderedPageBreak/>
              <w:t xml:space="preserve"> </w:t>
            </w:r>
          </w:p>
        </w:tc>
      </w:tr>
    </w:tbl>
    <w:p w:rsidR="006C145C" w:rsidRDefault="00C62E5A">
      <w:pPr>
        <w:spacing w:after="216"/>
        <w:ind w:left="1335"/>
        <w:jc w:val="center"/>
      </w:pPr>
      <w:r>
        <w:rPr>
          <w:rFonts w:ascii="Arial" w:eastAsia="Arial" w:hAnsi="Arial" w:cs="Arial"/>
          <w:b/>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134" w:line="265" w:lineRule="auto"/>
        <w:ind w:left="10" w:right="48" w:hanging="10"/>
        <w:jc w:val="center"/>
      </w:pPr>
      <w:r>
        <w:rPr>
          <w:rFonts w:ascii="Arial" w:eastAsia="Arial" w:hAnsi="Arial" w:cs="Arial"/>
          <w:b/>
          <w:sz w:val="20"/>
        </w:rPr>
        <w:t xml:space="preserve">ANEXO XI - MODELO DE DECLARAÇÃO DE DISPONIBILIDADE DE INSTALAÇÃO DE </w:t>
      </w:r>
    </w:p>
    <w:p w:rsidR="006C145C" w:rsidRDefault="00C62E5A">
      <w:pPr>
        <w:pStyle w:val="Ttulo3"/>
        <w:spacing w:after="134"/>
        <w:ind w:left="10" w:right="48"/>
      </w:pPr>
      <w:r>
        <w:t xml:space="preserve">ESCRITÓRIO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sz w:val="20"/>
        </w:rPr>
        <w:t xml:space="preserve">Processo nº  </w:t>
      </w:r>
    </w:p>
    <w:p w:rsidR="006C145C" w:rsidRDefault="00C62E5A">
      <w:pPr>
        <w:spacing w:after="0" w:line="270" w:lineRule="auto"/>
        <w:ind w:left="5" w:right="54" w:hanging="8"/>
        <w:jc w:val="both"/>
      </w:pPr>
      <w:r>
        <w:rPr>
          <w:rFonts w:ascii="Arial" w:eastAsia="Arial" w:hAnsi="Arial" w:cs="Arial"/>
          <w:sz w:val="20"/>
        </w:rPr>
        <w:t xml:space="preserve">Pregão Eletrônico nº ....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line="270" w:lineRule="auto"/>
        <w:ind w:left="5" w:right="54" w:hanging="8"/>
        <w:jc w:val="both"/>
      </w:pPr>
      <w:r>
        <w:rPr>
          <w:rFonts w:ascii="Arial" w:eastAsia="Arial" w:hAnsi="Arial" w:cs="Arial"/>
          <w:sz w:val="20"/>
        </w:rPr>
        <w:t xml:space="preserve">A </w:t>
      </w:r>
      <w:r>
        <w:rPr>
          <w:rFonts w:ascii="Arial" w:eastAsia="Arial" w:hAnsi="Arial" w:cs="Arial"/>
          <w:color w:val="FF0000"/>
          <w:sz w:val="20"/>
        </w:rPr>
        <w:t>(nome da empresa)</w:t>
      </w:r>
      <w:r>
        <w:rPr>
          <w:rFonts w:ascii="Arial" w:eastAsia="Arial" w:hAnsi="Arial" w:cs="Arial"/>
          <w:sz w:val="20"/>
        </w:rPr>
        <w:t>, inscrita no CNPJ n.º ................, por intermédio de seu representante legal, o(a) Sr.(a) .........................................., portador(a) do RG n.º...............................</w:t>
      </w:r>
      <w:r>
        <w:rPr>
          <w:rFonts w:ascii="Arial" w:eastAsia="Arial" w:hAnsi="Arial" w:cs="Arial"/>
          <w:sz w:val="20"/>
        </w:rPr>
        <w:t xml:space="preserve">. e do C.P.F. n.º ......................................, DECLARA, sob as penas da Lei, que instalará escritório na </w:t>
      </w:r>
      <w:r>
        <w:rPr>
          <w:rFonts w:ascii="Arial" w:eastAsia="Arial" w:hAnsi="Arial" w:cs="Arial"/>
          <w:b/>
          <w:sz w:val="20"/>
        </w:rPr>
        <w:t xml:space="preserve">cidade de </w:t>
      </w:r>
      <w:r>
        <w:rPr>
          <w:rFonts w:ascii="Arial" w:eastAsia="Arial" w:hAnsi="Arial" w:cs="Arial"/>
          <w:b/>
          <w:color w:val="FF0000"/>
          <w:sz w:val="20"/>
        </w:rPr>
        <w:t>(…)</w:t>
      </w:r>
      <w:r>
        <w:rPr>
          <w:rFonts w:ascii="Arial" w:eastAsia="Arial" w:hAnsi="Arial" w:cs="Arial"/>
          <w:color w:val="FF0000"/>
          <w:sz w:val="20"/>
        </w:rPr>
        <w:t>,</w:t>
      </w:r>
      <w:r>
        <w:rPr>
          <w:rFonts w:ascii="Arial" w:eastAsia="Arial" w:hAnsi="Arial" w:cs="Arial"/>
          <w:sz w:val="20"/>
        </w:rPr>
        <w:t xml:space="preserve"> a ser comprovado no prazo máximo de 60 (sessenta) dias contado a partir da vigência do contrato, em cumprimento ao disposto n</w:t>
      </w:r>
      <w:r>
        <w:rPr>
          <w:rFonts w:ascii="Arial" w:eastAsia="Arial" w:hAnsi="Arial" w:cs="Arial"/>
          <w:sz w:val="20"/>
        </w:rPr>
        <w:t xml:space="preserve">o item 10.6, ‘a’, do anexo VII da IN SLTI/MP nº 05/2017.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pPr>
      <w:r>
        <w:rPr>
          <w:rFonts w:ascii="Arial" w:eastAsia="Arial" w:hAnsi="Arial" w:cs="Arial"/>
          <w:sz w:val="20"/>
        </w:rPr>
        <w:t xml:space="preserve"> </w:t>
      </w:r>
    </w:p>
    <w:p w:rsidR="006C145C" w:rsidRDefault="00C62E5A">
      <w:pPr>
        <w:spacing w:after="0" w:line="269" w:lineRule="auto"/>
        <w:ind w:left="-5" w:right="54" w:hanging="10"/>
        <w:jc w:val="both"/>
      </w:pPr>
      <w:r>
        <w:rPr>
          <w:rFonts w:ascii="Arial" w:eastAsia="Arial" w:hAnsi="Arial" w:cs="Arial"/>
          <w:color w:val="FF0000"/>
          <w:sz w:val="20"/>
        </w:rPr>
        <w:t xml:space="preserve">[Obs.: Caso a licitante já disponha de matriz, filial ou escritório no local definido, deverá declarar a instalação/manutenção do escritório.]  </w:t>
      </w:r>
    </w:p>
    <w:p w:rsidR="006C145C" w:rsidRDefault="00C62E5A">
      <w:pPr>
        <w:spacing w:after="0"/>
      </w:pPr>
      <w:r>
        <w:rPr>
          <w:rFonts w:ascii="Arial" w:eastAsia="Arial" w:hAnsi="Arial" w:cs="Arial"/>
          <w:color w:val="FF0000"/>
          <w:sz w:val="20"/>
        </w:rPr>
        <w:t xml:space="preserve"> </w:t>
      </w:r>
    </w:p>
    <w:p w:rsidR="006C145C" w:rsidRDefault="00C62E5A">
      <w:pPr>
        <w:spacing w:after="0"/>
      </w:pPr>
      <w:r>
        <w:rPr>
          <w:rFonts w:ascii="Arial" w:eastAsia="Arial" w:hAnsi="Arial" w:cs="Arial"/>
          <w:color w:val="FF0000"/>
          <w:sz w:val="20"/>
        </w:rPr>
        <w:t xml:space="preserve"> </w:t>
      </w:r>
    </w:p>
    <w:p w:rsidR="006C145C" w:rsidRDefault="00C62E5A">
      <w:pPr>
        <w:spacing w:after="2" w:line="254" w:lineRule="auto"/>
        <w:ind w:left="311" w:right="359" w:hanging="10"/>
        <w:jc w:val="center"/>
      </w:pPr>
      <w:r>
        <w:rPr>
          <w:rFonts w:ascii="Arial" w:eastAsia="Arial" w:hAnsi="Arial" w:cs="Arial"/>
          <w:sz w:val="20"/>
        </w:rPr>
        <w:t xml:space="preserve">Local/Data </w:t>
      </w:r>
    </w:p>
    <w:p w:rsidR="006C145C" w:rsidRDefault="00C62E5A">
      <w:pPr>
        <w:spacing w:after="0"/>
        <w:jc w:val="center"/>
      </w:pPr>
      <w:r>
        <w:rPr>
          <w:rFonts w:ascii="Arial" w:eastAsia="Arial" w:hAnsi="Arial" w:cs="Arial"/>
          <w:sz w:val="20"/>
        </w:rPr>
        <w:t xml:space="preserve"> </w:t>
      </w:r>
    </w:p>
    <w:p w:rsidR="006C145C" w:rsidRDefault="00C62E5A">
      <w:pPr>
        <w:spacing w:after="0"/>
        <w:jc w:val="center"/>
      </w:pPr>
      <w:r>
        <w:rPr>
          <w:rFonts w:ascii="Arial" w:eastAsia="Arial" w:hAnsi="Arial" w:cs="Arial"/>
          <w:sz w:val="20"/>
        </w:rPr>
        <w:t xml:space="preserve"> </w:t>
      </w:r>
    </w:p>
    <w:p w:rsidR="006C145C" w:rsidRDefault="00C62E5A">
      <w:pPr>
        <w:spacing w:after="0"/>
        <w:jc w:val="center"/>
      </w:pPr>
      <w:r>
        <w:rPr>
          <w:rFonts w:ascii="Arial" w:eastAsia="Arial" w:hAnsi="Arial" w:cs="Arial"/>
          <w:sz w:val="20"/>
        </w:rPr>
        <w:t xml:space="preserve"> </w:t>
      </w:r>
    </w:p>
    <w:p w:rsidR="006C145C" w:rsidRDefault="00C62E5A">
      <w:pPr>
        <w:spacing w:after="0"/>
        <w:jc w:val="center"/>
      </w:pPr>
      <w:r>
        <w:rPr>
          <w:rFonts w:ascii="Arial" w:eastAsia="Arial" w:hAnsi="Arial" w:cs="Arial"/>
          <w:sz w:val="20"/>
        </w:rPr>
        <w:t xml:space="preserve"> </w:t>
      </w:r>
    </w:p>
    <w:p w:rsidR="006C145C" w:rsidRDefault="00C62E5A">
      <w:pPr>
        <w:spacing w:after="0"/>
        <w:jc w:val="center"/>
      </w:pPr>
      <w:r>
        <w:rPr>
          <w:rFonts w:ascii="Arial" w:eastAsia="Arial" w:hAnsi="Arial" w:cs="Arial"/>
          <w:sz w:val="20"/>
        </w:rPr>
        <w:t xml:space="preserve"> </w:t>
      </w:r>
    </w:p>
    <w:p w:rsidR="006C145C" w:rsidRDefault="00C62E5A">
      <w:pPr>
        <w:spacing w:after="0"/>
        <w:jc w:val="center"/>
      </w:pPr>
      <w:r>
        <w:rPr>
          <w:rFonts w:ascii="Arial" w:eastAsia="Arial" w:hAnsi="Arial" w:cs="Arial"/>
          <w:sz w:val="20"/>
        </w:rPr>
        <w:t xml:space="preserve"> </w:t>
      </w:r>
    </w:p>
    <w:p w:rsidR="006C145C" w:rsidRDefault="00C62E5A">
      <w:pPr>
        <w:spacing w:after="2" w:line="254" w:lineRule="auto"/>
        <w:ind w:left="311" w:right="362" w:hanging="10"/>
        <w:jc w:val="center"/>
      </w:pPr>
      <w:r>
        <w:rPr>
          <w:rFonts w:ascii="Arial" w:eastAsia="Arial" w:hAnsi="Arial" w:cs="Arial"/>
          <w:sz w:val="20"/>
        </w:rPr>
        <w:t xml:space="preserve">Assinatura do representante legal </w:t>
      </w:r>
    </w:p>
    <w:p w:rsidR="006C145C" w:rsidRDefault="00C62E5A">
      <w:pPr>
        <w:spacing w:after="2" w:line="254" w:lineRule="auto"/>
        <w:ind w:left="311" w:right="358" w:hanging="10"/>
        <w:jc w:val="center"/>
      </w:pPr>
      <w:r>
        <w:rPr>
          <w:rFonts w:ascii="Arial" w:eastAsia="Arial" w:hAnsi="Arial" w:cs="Arial"/>
          <w:sz w:val="20"/>
        </w:rPr>
        <w:t xml:space="preserve">(Carimbo da empresa) </w:t>
      </w:r>
    </w:p>
    <w:p w:rsidR="006C145C" w:rsidRDefault="00C62E5A">
      <w:pPr>
        <w:spacing w:after="0"/>
      </w:pPr>
      <w:r>
        <w:rPr>
          <w:rFonts w:ascii="Arial" w:eastAsia="Arial" w:hAnsi="Arial" w:cs="Arial"/>
          <w:color w:val="FF0000"/>
          <w:sz w:val="20"/>
        </w:rPr>
        <w:t xml:space="preserve"> </w:t>
      </w:r>
    </w:p>
    <w:sectPr w:rsidR="006C145C">
      <w:footerReference w:type="even" r:id="rId50"/>
      <w:footerReference w:type="default" r:id="rId51"/>
      <w:footerReference w:type="first" r:id="rId52"/>
      <w:pgSz w:w="11906" w:h="16838"/>
      <w:pgMar w:top="1057" w:right="1018" w:bottom="1495" w:left="1587"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E5A" w:rsidRDefault="00C62E5A">
      <w:pPr>
        <w:spacing w:after="0" w:line="240" w:lineRule="auto"/>
      </w:pPr>
      <w:r>
        <w:separator/>
      </w:r>
    </w:p>
  </w:endnote>
  <w:endnote w:type="continuationSeparator" w:id="0">
    <w:p w:rsidR="00C62E5A" w:rsidRDefault="00C62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45C" w:rsidRDefault="00C62E5A">
    <w:pPr>
      <w:spacing w:after="0"/>
      <w:ind w:left="-454"/>
    </w:pPr>
    <w:r>
      <w:rPr>
        <w:rFonts w:ascii="Times New Roman" w:eastAsia="Times New Roman" w:hAnsi="Times New Roman" w:cs="Times New Roman"/>
        <w:sz w:val="20"/>
      </w:rPr>
      <w:t xml:space="preserve">____________________________________________________________________ </w:t>
    </w:r>
  </w:p>
  <w:p w:rsidR="006C145C" w:rsidRDefault="00C62E5A">
    <w:pPr>
      <w:spacing w:after="0"/>
      <w:ind w:left="-454"/>
    </w:pPr>
    <w:r>
      <w:rPr>
        <w:rFonts w:ascii="Arial" w:eastAsia="Arial" w:hAnsi="Arial" w:cs="Arial"/>
        <w:sz w:val="12"/>
      </w:rPr>
      <w:t xml:space="preserve">Comissão Permanente de Modelos de Licitações e Contratos </w:t>
    </w:r>
    <w:r>
      <w:rPr>
        <w:rFonts w:ascii="Arial" w:eastAsia="Arial" w:hAnsi="Arial" w:cs="Arial"/>
        <w:sz w:val="12"/>
      </w:rPr>
      <w:t xml:space="preserve">Administrativos da Consultoria-Geral da União </w:t>
    </w:r>
  </w:p>
  <w:p w:rsidR="006C145C" w:rsidRDefault="00C62E5A">
    <w:pPr>
      <w:spacing w:after="2" w:line="239" w:lineRule="auto"/>
      <w:ind w:left="-454" w:right="1576"/>
      <w:jc w:val="both"/>
    </w:pPr>
    <w:r>
      <w:rPr>
        <w:rFonts w:ascii="Arial" w:eastAsia="Arial" w:hAnsi="Arial" w:cs="Arial"/>
        <w:sz w:val="12"/>
      </w:rPr>
      <w:t xml:space="preserve">Edital modelo para Pregão Eletrônico: Serviços Continuados com Dedicação Exclusiva de Mão de Obra, adaptado e atualizado para o DNIT  Atualização:  março/2019 </w:t>
    </w:r>
  </w:p>
  <w:p w:rsidR="006C145C" w:rsidRDefault="00C62E5A">
    <w:pPr>
      <w:spacing w:after="0"/>
      <w:ind w:left="-454"/>
    </w:pPr>
    <w:r>
      <w:rPr>
        <w:rFonts w:ascii="Arial" w:eastAsia="Arial" w:hAnsi="Arial" w:cs="Arial"/>
        <w:sz w:val="1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45C" w:rsidRDefault="00C62E5A">
    <w:pPr>
      <w:spacing w:after="0"/>
      <w:ind w:left="115"/>
    </w:pPr>
    <w:r>
      <w:rPr>
        <w:rFonts w:ascii="Times New Roman" w:eastAsia="Times New Roman" w:hAnsi="Times New Roman" w:cs="Times New Roman"/>
        <w:sz w:val="20"/>
      </w:rPr>
      <w:t>_______________________________________________</w:t>
    </w:r>
    <w:r>
      <w:rPr>
        <w:rFonts w:ascii="Times New Roman" w:eastAsia="Times New Roman" w:hAnsi="Times New Roman" w:cs="Times New Roman"/>
        <w:sz w:val="20"/>
      </w:rPr>
      <w:t xml:space="preserve">_____________________ </w:t>
    </w:r>
  </w:p>
  <w:p w:rsidR="006C145C" w:rsidRDefault="00C62E5A">
    <w:pPr>
      <w:spacing w:after="0"/>
      <w:ind w:left="115"/>
    </w:pPr>
    <w:r>
      <w:rPr>
        <w:rFonts w:ascii="Arial" w:eastAsia="Arial" w:hAnsi="Arial" w:cs="Arial"/>
        <w:sz w:val="12"/>
      </w:rPr>
      <w:t xml:space="preserve">Comissão Permanente de Modelos de Licitações e Contratos Administrativos da Consultoria-Geral da União </w:t>
    </w:r>
  </w:p>
  <w:p w:rsidR="006C145C" w:rsidRDefault="00C62E5A">
    <w:pPr>
      <w:spacing w:after="2" w:line="239" w:lineRule="auto"/>
      <w:ind w:left="115" w:right="1007"/>
      <w:jc w:val="both"/>
    </w:pPr>
    <w:r>
      <w:rPr>
        <w:rFonts w:ascii="Arial" w:eastAsia="Arial" w:hAnsi="Arial" w:cs="Arial"/>
        <w:sz w:val="12"/>
      </w:rPr>
      <w:t xml:space="preserve">Edital modelo para Pregão Eletrônico: Serviços Continuados com Dedicação Exclusiva de Mão de Obra, adaptado e atualizado </w:t>
    </w:r>
    <w:r>
      <w:rPr>
        <w:rFonts w:ascii="Arial" w:eastAsia="Arial" w:hAnsi="Arial" w:cs="Arial"/>
        <w:sz w:val="12"/>
      </w:rPr>
      <w:t xml:space="preserve">para o DNIT  Atualização:  março/2019 </w:t>
    </w:r>
  </w:p>
  <w:p w:rsidR="006C145C" w:rsidRDefault="00C62E5A">
    <w:pPr>
      <w:spacing w:after="0"/>
      <w:ind w:left="115"/>
    </w:pPr>
    <w:r>
      <w:rPr>
        <w:rFonts w:ascii="Arial" w:eastAsia="Arial" w:hAnsi="Arial" w:cs="Arial"/>
        <w:sz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45C" w:rsidRDefault="00C62E5A">
    <w:pPr>
      <w:spacing w:after="0"/>
      <w:ind w:left="115"/>
    </w:pPr>
    <w:r>
      <w:rPr>
        <w:rFonts w:ascii="Times New Roman" w:eastAsia="Times New Roman" w:hAnsi="Times New Roman" w:cs="Times New Roman"/>
        <w:sz w:val="20"/>
      </w:rPr>
      <w:t xml:space="preserve">____________________________________________________________________ </w:t>
    </w:r>
  </w:p>
  <w:p w:rsidR="006C145C" w:rsidRDefault="00C62E5A">
    <w:pPr>
      <w:spacing w:after="0"/>
      <w:ind w:left="115"/>
    </w:pPr>
    <w:r>
      <w:rPr>
        <w:rFonts w:ascii="Arial" w:eastAsia="Arial" w:hAnsi="Arial" w:cs="Arial"/>
        <w:sz w:val="12"/>
      </w:rPr>
      <w:t xml:space="preserve">Comissão Permanente de Modelos de Licitações e Contratos Administrativos da Consultoria-Geral da União </w:t>
    </w:r>
  </w:p>
  <w:p w:rsidR="006C145C" w:rsidRDefault="00C62E5A">
    <w:pPr>
      <w:spacing w:after="2" w:line="239" w:lineRule="auto"/>
      <w:ind w:left="115" w:right="1007"/>
      <w:jc w:val="both"/>
    </w:pPr>
    <w:r>
      <w:rPr>
        <w:rFonts w:ascii="Arial" w:eastAsia="Arial" w:hAnsi="Arial" w:cs="Arial"/>
        <w:sz w:val="12"/>
      </w:rPr>
      <w:t>Edital modelo para Pregão Eletrônico: Ser</w:t>
    </w:r>
    <w:r>
      <w:rPr>
        <w:rFonts w:ascii="Arial" w:eastAsia="Arial" w:hAnsi="Arial" w:cs="Arial"/>
        <w:sz w:val="12"/>
      </w:rPr>
      <w:t xml:space="preserve">viços Continuados com Dedicação Exclusiva de Mão de Obra, adaptado e atualizado para o DNIT  Atualização:  março/2019 </w:t>
    </w:r>
  </w:p>
  <w:p w:rsidR="006C145C" w:rsidRDefault="00C62E5A">
    <w:pPr>
      <w:spacing w:after="0"/>
      <w:ind w:left="115"/>
    </w:pPr>
    <w:r>
      <w:rPr>
        <w:rFonts w:ascii="Arial" w:eastAsia="Arial" w:hAnsi="Arial" w:cs="Arial"/>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E5A" w:rsidRDefault="00C62E5A">
      <w:pPr>
        <w:spacing w:after="0" w:line="240" w:lineRule="auto"/>
      </w:pPr>
      <w:r>
        <w:separator/>
      </w:r>
    </w:p>
  </w:footnote>
  <w:footnote w:type="continuationSeparator" w:id="0">
    <w:p w:rsidR="00C62E5A" w:rsidRDefault="00C62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675"/>
    <w:multiLevelType w:val="multilevel"/>
    <w:tmpl w:val="BC8A79B8"/>
    <w:lvl w:ilvl="0">
      <w:start w:val="25"/>
      <w:numFmt w:val="decimal"/>
      <w:lvlText w:val="%1"/>
      <w:lvlJc w:val="left"/>
      <w:pPr>
        <w:ind w:left="540"/>
      </w:pPr>
      <w:rPr>
        <w:rFonts w:ascii="Arial" w:eastAsia="Arial" w:hAnsi="Arial" w:cs="Arial"/>
        <w:b/>
        <w:bCs/>
        <w:i/>
        <w:iCs/>
        <w:strike w:val="0"/>
        <w:dstrike w:val="0"/>
        <w:color w:val="000000"/>
        <w:sz w:val="20"/>
        <w:szCs w:val="20"/>
        <w:u w:val="none" w:color="000000"/>
        <w:bdr w:val="none" w:sz="0" w:space="0" w:color="auto"/>
        <w:shd w:val="clear" w:color="auto" w:fill="FFFF00"/>
        <w:vertAlign w:val="baseline"/>
      </w:rPr>
    </w:lvl>
    <w:lvl w:ilvl="1">
      <w:start w:val="1"/>
      <w:numFmt w:val="decimal"/>
      <w:lvlText w:val="%1.%2"/>
      <w:lvlJc w:val="left"/>
      <w:pPr>
        <w:ind w:left="655"/>
      </w:pPr>
      <w:rPr>
        <w:rFonts w:ascii="Arial" w:eastAsia="Arial" w:hAnsi="Arial" w:cs="Arial"/>
        <w:b w:val="0"/>
        <w:i/>
        <w:iCs/>
        <w:strike w:val="0"/>
        <w:dstrike w:val="0"/>
        <w:color w:val="FF0000"/>
        <w:sz w:val="20"/>
        <w:szCs w:val="20"/>
        <w:u w:val="none" w:color="000000"/>
        <w:bdr w:val="none" w:sz="0" w:space="0" w:color="auto"/>
        <w:shd w:val="clear" w:color="auto" w:fill="FFFF00"/>
        <w:vertAlign w:val="baseline"/>
      </w:rPr>
    </w:lvl>
    <w:lvl w:ilvl="2">
      <w:start w:val="9"/>
      <w:numFmt w:val="decimal"/>
      <w:lvlText w:val="%1.%2.%3"/>
      <w:lvlJc w:val="left"/>
      <w:pPr>
        <w:ind w:left="835"/>
      </w:pPr>
      <w:rPr>
        <w:rFonts w:ascii="Arial" w:eastAsia="Arial" w:hAnsi="Arial" w:cs="Arial"/>
        <w:b w:val="0"/>
        <w:i/>
        <w:iCs/>
        <w:strike w:val="0"/>
        <w:dstrike w:val="0"/>
        <w:color w:val="FF0000"/>
        <w:sz w:val="20"/>
        <w:szCs w:val="20"/>
        <w:u w:val="none" w:color="000000"/>
        <w:bdr w:val="none" w:sz="0" w:space="0" w:color="auto"/>
        <w:shd w:val="clear" w:color="auto" w:fill="FFFF00"/>
        <w:vertAlign w:val="baseline"/>
      </w:rPr>
    </w:lvl>
    <w:lvl w:ilvl="3">
      <w:start w:val="1"/>
      <w:numFmt w:val="decimal"/>
      <w:lvlText w:val="%4"/>
      <w:lvlJc w:val="left"/>
      <w:pPr>
        <w:ind w:left="1210"/>
      </w:pPr>
      <w:rPr>
        <w:rFonts w:ascii="Arial" w:eastAsia="Arial" w:hAnsi="Arial" w:cs="Arial"/>
        <w:b w:val="0"/>
        <w:i/>
        <w:iCs/>
        <w:strike w:val="0"/>
        <w:dstrike w:val="0"/>
        <w:color w:val="FF0000"/>
        <w:sz w:val="20"/>
        <w:szCs w:val="20"/>
        <w:u w:val="none" w:color="000000"/>
        <w:bdr w:val="none" w:sz="0" w:space="0" w:color="auto"/>
        <w:shd w:val="clear" w:color="auto" w:fill="FFFF00"/>
        <w:vertAlign w:val="baseline"/>
      </w:rPr>
    </w:lvl>
    <w:lvl w:ilvl="4">
      <w:start w:val="1"/>
      <w:numFmt w:val="lowerLetter"/>
      <w:lvlText w:val="%5"/>
      <w:lvlJc w:val="left"/>
      <w:pPr>
        <w:ind w:left="1930"/>
      </w:pPr>
      <w:rPr>
        <w:rFonts w:ascii="Arial" w:eastAsia="Arial" w:hAnsi="Arial" w:cs="Arial"/>
        <w:b w:val="0"/>
        <w:i/>
        <w:iCs/>
        <w:strike w:val="0"/>
        <w:dstrike w:val="0"/>
        <w:color w:val="FF0000"/>
        <w:sz w:val="20"/>
        <w:szCs w:val="20"/>
        <w:u w:val="none" w:color="000000"/>
        <w:bdr w:val="none" w:sz="0" w:space="0" w:color="auto"/>
        <w:shd w:val="clear" w:color="auto" w:fill="FFFF00"/>
        <w:vertAlign w:val="baseline"/>
      </w:rPr>
    </w:lvl>
    <w:lvl w:ilvl="5">
      <w:start w:val="1"/>
      <w:numFmt w:val="lowerRoman"/>
      <w:lvlText w:val="%6"/>
      <w:lvlJc w:val="left"/>
      <w:pPr>
        <w:ind w:left="2650"/>
      </w:pPr>
      <w:rPr>
        <w:rFonts w:ascii="Arial" w:eastAsia="Arial" w:hAnsi="Arial" w:cs="Arial"/>
        <w:b w:val="0"/>
        <w:i/>
        <w:iCs/>
        <w:strike w:val="0"/>
        <w:dstrike w:val="0"/>
        <w:color w:val="FF0000"/>
        <w:sz w:val="20"/>
        <w:szCs w:val="20"/>
        <w:u w:val="none" w:color="000000"/>
        <w:bdr w:val="none" w:sz="0" w:space="0" w:color="auto"/>
        <w:shd w:val="clear" w:color="auto" w:fill="FFFF00"/>
        <w:vertAlign w:val="baseline"/>
      </w:rPr>
    </w:lvl>
    <w:lvl w:ilvl="6">
      <w:start w:val="1"/>
      <w:numFmt w:val="decimal"/>
      <w:lvlText w:val="%7"/>
      <w:lvlJc w:val="left"/>
      <w:pPr>
        <w:ind w:left="3370"/>
      </w:pPr>
      <w:rPr>
        <w:rFonts w:ascii="Arial" w:eastAsia="Arial" w:hAnsi="Arial" w:cs="Arial"/>
        <w:b w:val="0"/>
        <w:i/>
        <w:iCs/>
        <w:strike w:val="0"/>
        <w:dstrike w:val="0"/>
        <w:color w:val="FF0000"/>
        <w:sz w:val="20"/>
        <w:szCs w:val="20"/>
        <w:u w:val="none" w:color="000000"/>
        <w:bdr w:val="none" w:sz="0" w:space="0" w:color="auto"/>
        <w:shd w:val="clear" w:color="auto" w:fill="FFFF00"/>
        <w:vertAlign w:val="baseline"/>
      </w:rPr>
    </w:lvl>
    <w:lvl w:ilvl="7">
      <w:start w:val="1"/>
      <w:numFmt w:val="lowerLetter"/>
      <w:lvlText w:val="%8"/>
      <w:lvlJc w:val="left"/>
      <w:pPr>
        <w:ind w:left="4090"/>
      </w:pPr>
      <w:rPr>
        <w:rFonts w:ascii="Arial" w:eastAsia="Arial" w:hAnsi="Arial" w:cs="Arial"/>
        <w:b w:val="0"/>
        <w:i/>
        <w:iCs/>
        <w:strike w:val="0"/>
        <w:dstrike w:val="0"/>
        <w:color w:val="FF0000"/>
        <w:sz w:val="20"/>
        <w:szCs w:val="20"/>
        <w:u w:val="none" w:color="000000"/>
        <w:bdr w:val="none" w:sz="0" w:space="0" w:color="auto"/>
        <w:shd w:val="clear" w:color="auto" w:fill="FFFF00"/>
        <w:vertAlign w:val="baseline"/>
      </w:rPr>
    </w:lvl>
    <w:lvl w:ilvl="8">
      <w:start w:val="1"/>
      <w:numFmt w:val="lowerRoman"/>
      <w:lvlText w:val="%9"/>
      <w:lvlJc w:val="left"/>
      <w:pPr>
        <w:ind w:left="4810"/>
      </w:pPr>
      <w:rPr>
        <w:rFonts w:ascii="Arial" w:eastAsia="Arial" w:hAnsi="Arial" w:cs="Arial"/>
        <w:b w:val="0"/>
        <w:i/>
        <w:iCs/>
        <w:strike w:val="0"/>
        <w:dstrike w:val="0"/>
        <w:color w:val="FF0000"/>
        <w:sz w:val="20"/>
        <w:szCs w:val="20"/>
        <w:u w:val="none" w:color="000000"/>
        <w:bdr w:val="none" w:sz="0" w:space="0" w:color="auto"/>
        <w:shd w:val="clear" w:color="auto" w:fill="FFFF00"/>
        <w:vertAlign w:val="baseline"/>
      </w:rPr>
    </w:lvl>
  </w:abstractNum>
  <w:abstractNum w:abstractNumId="1" w15:restartNumberingAfterBreak="0">
    <w:nsid w:val="011C2EF0"/>
    <w:multiLevelType w:val="hybridMultilevel"/>
    <w:tmpl w:val="D7A20058"/>
    <w:lvl w:ilvl="0" w:tplc="9B50E9FA">
      <w:start w:val="1"/>
      <w:numFmt w:val="bullet"/>
      <w:lvlText w:val="-"/>
      <w:lvlJc w:val="left"/>
      <w:pPr>
        <w:ind w:left="12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CE262EF6">
      <w:start w:val="1"/>
      <w:numFmt w:val="bullet"/>
      <w:lvlText w:val="o"/>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46ABF20">
      <w:start w:val="1"/>
      <w:numFmt w:val="bullet"/>
      <w:lvlText w:val="▪"/>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E86C1604">
      <w:start w:val="1"/>
      <w:numFmt w:val="bullet"/>
      <w:lvlText w:val="•"/>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1048136C">
      <w:start w:val="1"/>
      <w:numFmt w:val="bullet"/>
      <w:lvlText w:val="o"/>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8F88CB4A">
      <w:start w:val="1"/>
      <w:numFmt w:val="bullet"/>
      <w:lvlText w:val="▪"/>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61E4CC1E">
      <w:start w:val="1"/>
      <w:numFmt w:val="bullet"/>
      <w:lvlText w:val="•"/>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4652155A">
      <w:start w:val="1"/>
      <w:numFmt w:val="bullet"/>
      <w:lvlText w:val="o"/>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6368F38A">
      <w:start w:val="1"/>
      <w:numFmt w:val="bullet"/>
      <w:lvlText w:val="▪"/>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1303089"/>
    <w:multiLevelType w:val="hybridMultilevel"/>
    <w:tmpl w:val="46B4EDEC"/>
    <w:lvl w:ilvl="0" w:tplc="1B04E76E">
      <w:start w:val="1"/>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F7CF83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BFEB32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4D689F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DFAC1F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C723C2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436FE8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F6EAE8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D2C6FD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59734CC"/>
    <w:multiLevelType w:val="hybridMultilevel"/>
    <w:tmpl w:val="818C7F9C"/>
    <w:lvl w:ilvl="0" w:tplc="FEC20BC8">
      <w:start w:val="1"/>
      <w:numFmt w:val="decimal"/>
      <w:lvlText w:val="%1"/>
      <w:lvlJc w:val="left"/>
      <w:pPr>
        <w:ind w:left="36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1" w:tplc="7B0E6D46">
      <w:start w:val="1"/>
      <w:numFmt w:val="decimal"/>
      <w:lvlRestart w:val="0"/>
      <w:lvlText w:val="%2."/>
      <w:lvlJc w:val="left"/>
      <w:pPr>
        <w:ind w:left="931"/>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2" w:tplc="7BCEFD3C">
      <w:start w:val="1"/>
      <w:numFmt w:val="lowerRoman"/>
      <w:lvlText w:val="%3"/>
      <w:lvlJc w:val="left"/>
      <w:pPr>
        <w:ind w:left="179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3" w:tplc="95D0E7C8">
      <w:start w:val="1"/>
      <w:numFmt w:val="decimal"/>
      <w:lvlText w:val="%4"/>
      <w:lvlJc w:val="left"/>
      <w:pPr>
        <w:ind w:left="251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tplc="6ED4225A">
      <w:start w:val="1"/>
      <w:numFmt w:val="lowerLetter"/>
      <w:lvlText w:val="%5"/>
      <w:lvlJc w:val="left"/>
      <w:pPr>
        <w:ind w:left="323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5" w:tplc="2158AA44">
      <w:start w:val="1"/>
      <w:numFmt w:val="lowerRoman"/>
      <w:lvlText w:val="%6"/>
      <w:lvlJc w:val="left"/>
      <w:pPr>
        <w:ind w:left="395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6" w:tplc="8A1E3166">
      <w:start w:val="1"/>
      <w:numFmt w:val="decimal"/>
      <w:lvlText w:val="%7"/>
      <w:lvlJc w:val="left"/>
      <w:pPr>
        <w:ind w:left="467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tplc="958A4FAA">
      <w:start w:val="1"/>
      <w:numFmt w:val="lowerLetter"/>
      <w:lvlText w:val="%8"/>
      <w:lvlJc w:val="left"/>
      <w:pPr>
        <w:ind w:left="539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8" w:tplc="9F6C70AE">
      <w:start w:val="1"/>
      <w:numFmt w:val="lowerRoman"/>
      <w:lvlText w:val="%9"/>
      <w:lvlJc w:val="left"/>
      <w:pPr>
        <w:ind w:left="611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abstractNum>
  <w:abstractNum w:abstractNumId="4" w15:restartNumberingAfterBreak="0">
    <w:nsid w:val="072556B8"/>
    <w:multiLevelType w:val="multilevel"/>
    <w:tmpl w:val="1BBAFF74"/>
    <w:lvl w:ilvl="0">
      <w:start w:val="3"/>
      <w:numFmt w:val="lowerLetter"/>
      <w:lvlText w:val="%1)"/>
      <w:lvlJc w:val="left"/>
      <w:pPr>
        <w:ind w:left="607"/>
      </w:pPr>
      <w:rPr>
        <w:rFonts w:ascii="Arial" w:eastAsia="Arial" w:hAnsi="Arial" w:cs="Arial"/>
        <w:b w:val="0"/>
        <w:i/>
        <w:iCs/>
        <w:strike w:val="0"/>
        <w:dstrike w:val="0"/>
        <w:color w:val="FF0000"/>
        <w:sz w:val="20"/>
        <w:szCs w:val="20"/>
        <w:u w:val="none" w:color="000000"/>
        <w:bdr w:val="none" w:sz="0" w:space="0" w:color="auto"/>
        <w:shd w:val="clear" w:color="auto" w:fill="00FF00"/>
        <w:vertAlign w:val="baseline"/>
      </w:rPr>
    </w:lvl>
    <w:lvl w:ilvl="1">
      <w:start w:val="1"/>
      <w:numFmt w:val="decimal"/>
      <w:lvlText w:val="%1.%2."/>
      <w:lvlJc w:val="left"/>
      <w:pPr>
        <w:ind w:left="1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833348F"/>
    <w:multiLevelType w:val="hybridMultilevel"/>
    <w:tmpl w:val="01E03662"/>
    <w:lvl w:ilvl="0" w:tplc="9EEE8190">
      <w:start w:val="25"/>
      <w:numFmt w:val="decimal"/>
      <w:lvlText w:val="%1"/>
      <w:lvlJc w:val="left"/>
      <w:pPr>
        <w:ind w:left="540"/>
      </w:pPr>
      <w:rPr>
        <w:rFonts w:ascii="Arial" w:eastAsia="Arial" w:hAnsi="Arial" w:cs="Arial"/>
        <w:b/>
        <w:bCs/>
        <w:i w:val="0"/>
        <w:strike w:val="0"/>
        <w:dstrike w:val="0"/>
        <w:color w:val="FF0000"/>
        <w:sz w:val="20"/>
        <w:szCs w:val="20"/>
        <w:u w:val="none" w:color="000000"/>
        <w:bdr w:val="none" w:sz="0" w:space="0" w:color="auto"/>
        <w:shd w:val="clear" w:color="auto" w:fill="auto"/>
        <w:vertAlign w:val="baseline"/>
      </w:rPr>
    </w:lvl>
    <w:lvl w:ilvl="1" w:tplc="D658A2E2">
      <w:start w:val="1"/>
      <w:numFmt w:val="lowerLetter"/>
      <w:lvlText w:val="%2"/>
      <w:lvlJc w:val="left"/>
      <w:pPr>
        <w:ind w:left="1080"/>
      </w:pPr>
      <w:rPr>
        <w:rFonts w:ascii="Arial" w:eastAsia="Arial" w:hAnsi="Arial" w:cs="Arial"/>
        <w:b/>
        <w:bCs/>
        <w:i w:val="0"/>
        <w:strike w:val="0"/>
        <w:dstrike w:val="0"/>
        <w:color w:val="FF0000"/>
        <w:sz w:val="20"/>
        <w:szCs w:val="20"/>
        <w:u w:val="none" w:color="000000"/>
        <w:bdr w:val="none" w:sz="0" w:space="0" w:color="auto"/>
        <w:shd w:val="clear" w:color="auto" w:fill="auto"/>
        <w:vertAlign w:val="baseline"/>
      </w:rPr>
    </w:lvl>
    <w:lvl w:ilvl="2" w:tplc="54548710">
      <w:start w:val="1"/>
      <w:numFmt w:val="lowerRoman"/>
      <w:lvlText w:val="%3"/>
      <w:lvlJc w:val="left"/>
      <w:pPr>
        <w:ind w:left="1800"/>
      </w:pPr>
      <w:rPr>
        <w:rFonts w:ascii="Arial" w:eastAsia="Arial" w:hAnsi="Arial" w:cs="Arial"/>
        <w:b/>
        <w:bCs/>
        <w:i w:val="0"/>
        <w:strike w:val="0"/>
        <w:dstrike w:val="0"/>
        <w:color w:val="FF0000"/>
        <w:sz w:val="20"/>
        <w:szCs w:val="20"/>
        <w:u w:val="none" w:color="000000"/>
        <w:bdr w:val="none" w:sz="0" w:space="0" w:color="auto"/>
        <w:shd w:val="clear" w:color="auto" w:fill="auto"/>
        <w:vertAlign w:val="baseline"/>
      </w:rPr>
    </w:lvl>
    <w:lvl w:ilvl="3" w:tplc="14683B1A">
      <w:start w:val="1"/>
      <w:numFmt w:val="decimal"/>
      <w:lvlText w:val="%4"/>
      <w:lvlJc w:val="left"/>
      <w:pPr>
        <w:ind w:left="2520"/>
      </w:pPr>
      <w:rPr>
        <w:rFonts w:ascii="Arial" w:eastAsia="Arial" w:hAnsi="Arial" w:cs="Arial"/>
        <w:b/>
        <w:bCs/>
        <w:i w:val="0"/>
        <w:strike w:val="0"/>
        <w:dstrike w:val="0"/>
        <w:color w:val="FF0000"/>
        <w:sz w:val="20"/>
        <w:szCs w:val="20"/>
        <w:u w:val="none" w:color="000000"/>
        <w:bdr w:val="none" w:sz="0" w:space="0" w:color="auto"/>
        <w:shd w:val="clear" w:color="auto" w:fill="auto"/>
        <w:vertAlign w:val="baseline"/>
      </w:rPr>
    </w:lvl>
    <w:lvl w:ilvl="4" w:tplc="C928B628">
      <w:start w:val="1"/>
      <w:numFmt w:val="lowerLetter"/>
      <w:lvlText w:val="%5"/>
      <w:lvlJc w:val="left"/>
      <w:pPr>
        <w:ind w:left="3240"/>
      </w:pPr>
      <w:rPr>
        <w:rFonts w:ascii="Arial" w:eastAsia="Arial" w:hAnsi="Arial" w:cs="Arial"/>
        <w:b/>
        <w:bCs/>
        <w:i w:val="0"/>
        <w:strike w:val="0"/>
        <w:dstrike w:val="0"/>
        <w:color w:val="FF0000"/>
        <w:sz w:val="20"/>
        <w:szCs w:val="20"/>
        <w:u w:val="none" w:color="000000"/>
        <w:bdr w:val="none" w:sz="0" w:space="0" w:color="auto"/>
        <w:shd w:val="clear" w:color="auto" w:fill="auto"/>
        <w:vertAlign w:val="baseline"/>
      </w:rPr>
    </w:lvl>
    <w:lvl w:ilvl="5" w:tplc="C0BA188E">
      <w:start w:val="1"/>
      <w:numFmt w:val="lowerRoman"/>
      <w:lvlText w:val="%6"/>
      <w:lvlJc w:val="left"/>
      <w:pPr>
        <w:ind w:left="3960"/>
      </w:pPr>
      <w:rPr>
        <w:rFonts w:ascii="Arial" w:eastAsia="Arial" w:hAnsi="Arial" w:cs="Arial"/>
        <w:b/>
        <w:bCs/>
        <w:i w:val="0"/>
        <w:strike w:val="0"/>
        <w:dstrike w:val="0"/>
        <w:color w:val="FF0000"/>
        <w:sz w:val="20"/>
        <w:szCs w:val="20"/>
        <w:u w:val="none" w:color="000000"/>
        <w:bdr w:val="none" w:sz="0" w:space="0" w:color="auto"/>
        <w:shd w:val="clear" w:color="auto" w:fill="auto"/>
        <w:vertAlign w:val="baseline"/>
      </w:rPr>
    </w:lvl>
    <w:lvl w:ilvl="6" w:tplc="795E8B9E">
      <w:start w:val="1"/>
      <w:numFmt w:val="decimal"/>
      <w:lvlText w:val="%7"/>
      <w:lvlJc w:val="left"/>
      <w:pPr>
        <w:ind w:left="4680"/>
      </w:pPr>
      <w:rPr>
        <w:rFonts w:ascii="Arial" w:eastAsia="Arial" w:hAnsi="Arial" w:cs="Arial"/>
        <w:b/>
        <w:bCs/>
        <w:i w:val="0"/>
        <w:strike w:val="0"/>
        <w:dstrike w:val="0"/>
        <w:color w:val="FF0000"/>
        <w:sz w:val="20"/>
        <w:szCs w:val="20"/>
        <w:u w:val="none" w:color="000000"/>
        <w:bdr w:val="none" w:sz="0" w:space="0" w:color="auto"/>
        <w:shd w:val="clear" w:color="auto" w:fill="auto"/>
        <w:vertAlign w:val="baseline"/>
      </w:rPr>
    </w:lvl>
    <w:lvl w:ilvl="7" w:tplc="A6F6BD64">
      <w:start w:val="1"/>
      <w:numFmt w:val="lowerLetter"/>
      <w:lvlText w:val="%8"/>
      <w:lvlJc w:val="left"/>
      <w:pPr>
        <w:ind w:left="5400"/>
      </w:pPr>
      <w:rPr>
        <w:rFonts w:ascii="Arial" w:eastAsia="Arial" w:hAnsi="Arial" w:cs="Arial"/>
        <w:b/>
        <w:bCs/>
        <w:i w:val="0"/>
        <w:strike w:val="0"/>
        <w:dstrike w:val="0"/>
        <w:color w:val="FF0000"/>
        <w:sz w:val="20"/>
        <w:szCs w:val="20"/>
        <w:u w:val="none" w:color="000000"/>
        <w:bdr w:val="none" w:sz="0" w:space="0" w:color="auto"/>
        <w:shd w:val="clear" w:color="auto" w:fill="auto"/>
        <w:vertAlign w:val="baseline"/>
      </w:rPr>
    </w:lvl>
    <w:lvl w:ilvl="8" w:tplc="59DA9C8E">
      <w:start w:val="1"/>
      <w:numFmt w:val="lowerRoman"/>
      <w:lvlText w:val="%9"/>
      <w:lvlJc w:val="left"/>
      <w:pPr>
        <w:ind w:left="6120"/>
      </w:pPr>
      <w:rPr>
        <w:rFonts w:ascii="Arial" w:eastAsia="Arial" w:hAnsi="Arial" w:cs="Arial"/>
        <w:b/>
        <w:bCs/>
        <w:i w:val="0"/>
        <w:strike w:val="0"/>
        <w:dstrike w:val="0"/>
        <w:color w:val="FF0000"/>
        <w:sz w:val="20"/>
        <w:szCs w:val="20"/>
        <w:u w:val="none" w:color="000000"/>
        <w:bdr w:val="none" w:sz="0" w:space="0" w:color="auto"/>
        <w:shd w:val="clear" w:color="auto" w:fill="auto"/>
        <w:vertAlign w:val="baseline"/>
      </w:rPr>
    </w:lvl>
  </w:abstractNum>
  <w:abstractNum w:abstractNumId="6" w15:restartNumberingAfterBreak="0">
    <w:nsid w:val="0A62038C"/>
    <w:multiLevelType w:val="hybridMultilevel"/>
    <w:tmpl w:val="903A8076"/>
    <w:lvl w:ilvl="0" w:tplc="A8B0E342">
      <w:start w:val="2"/>
      <w:numFmt w:val="lowerLetter"/>
      <w:lvlText w:val="%1)"/>
      <w:lvlJc w:val="left"/>
      <w:pPr>
        <w:ind w:left="23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0DFE2E1E">
      <w:start w:val="1"/>
      <w:numFmt w:val="lowerLetter"/>
      <w:lvlText w:val="%2"/>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ADEE17B6">
      <w:start w:val="1"/>
      <w:numFmt w:val="lowerRoman"/>
      <w:lvlText w:val="%3"/>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EBC6C1F8">
      <w:start w:val="1"/>
      <w:numFmt w:val="decimal"/>
      <w:lvlText w:val="%4"/>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02F6CF90">
      <w:start w:val="1"/>
      <w:numFmt w:val="lowerLetter"/>
      <w:lvlText w:val="%5"/>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3C9EFC28">
      <w:start w:val="1"/>
      <w:numFmt w:val="lowerRoman"/>
      <w:lvlText w:val="%6"/>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176835D4">
      <w:start w:val="1"/>
      <w:numFmt w:val="decimal"/>
      <w:lvlText w:val="%7"/>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5100E18A">
      <w:start w:val="1"/>
      <w:numFmt w:val="lowerLetter"/>
      <w:lvlText w:val="%8"/>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27509342">
      <w:start w:val="1"/>
      <w:numFmt w:val="lowerRoman"/>
      <w:lvlText w:val="%9"/>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CE968F8"/>
    <w:multiLevelType w:val="hybridMultilevel"/>
    <w:tmpl w:val="7D387360"/>
    <w:lvl w:ilvl="0" w:tplc="9E96893E">
      <w:start w:val="1"/>
      <w:numFmt w:val="decimal"/>
      <w:lvlText w:val="%1"/>
      <w:lvlJc w:val="left"/>
      <w:pPr>
        <w:ind w:left="360"/>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1" w:tplc="780CDD60">
      <w:start w:val="1"/>
      <w:numFmt w:val="lowerLetter"/>
      <w:lvlText w:val="%2"/>
      <w:lvlJc w:val="left"/>
      <w:pPr>
        <w:ind w:left="596"/>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2" w:tplc="31480AEE">
      <w:start w:val="1"/>
      <w:numFmt w:val="lowerRoman"/>
      <w:lvlText w:val="%3"/>
      <w:lvlJc w:val="left"/>
      <w:pPr>
        <w:ind w:left="832"/>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3" w:tplc="C7660816">
      <w:start w:val="1"/>
      <w:numFmt w:val="lowerLetter"/>
      <w:lvlRestart w:val="0"/>
      <w:lvlText w:val="%4)"/>
      <w:lvlJc w:val="left"/>
      <w:pPr>
        <w:ind w:left="994"/>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4" w:tplc="AB4CECF6">
      <w:start w:val="1"/>
      <w:numFmt w:val="lowerLetter"/>
      <w:lvlText w:val="%5"/>
      <w:lvlJc w:val="left"/>
      <w:pPr>
        <w:ind w:left="1788"/>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5" w:tplc="3B4A0738">
      <w:start w:val="1"/>
      <w:numFmt w:val="lowerRoman"/>
      <w:lvlText w:val="%6"/>
      <w:lvlJc w:val="left"/>
      <w:pPr>
        <w:ind w:left="2508"/>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6" w:tplc="3F120174">
      <w:start w:val="1"/>
      <w:numFmt w:val="decimal"/>
      <w:lvlText w:val="%7"/>
      <w:lvlJc w:val="left"/>
      <w:pPr>
        <w:ind w:left="3228"/>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7" w:tplc="2FC02CD8">
      <w:start w:val="1"/>
      <w:numFmt w:val="lowerLetter"/>
      <w:lvlText w:val="%8"/>
      <w:lvlJc w:val="left"/>
      <w:pPr>
        <w:ind w:left="3948"/>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8" w:tplc="AA3434EC">
      <w:start w:val="1"/>
      <w:numFmt w:val="lowerRoman"/>
      <w:lvlText w:val="%9"/>
      <w:lvlJc w:val="left"/>
      <w:pPr>
        <w:ind w:left="4668"/>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abstractNum>
  <w:abstractNum w:abstractNumId="8" w15:restartNumberingAfterBreak="0">
    <w:nsid w:val="0D065AFB"/>
    <w:multiLevelType w:val="hybridMultilevel"/>
    <w:tmpl w:val="4D1C9D0C"/>
    <w:lvl w:ilvl="0" w:tplc="67665024">
      <w:start w:val="1"/>
      <w:numFmt w:val="upperRoman"/>
      <w:lvlText w:val="%1"/>
      <w:lvlJc w:val="left"/>
      <w:pPr>
        <w:ind w:left="1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0F5A4000">
      <w:start w:val="1"/>
      <w:numFmt w:val="lowerLetter"/>
      <w:lvlText w:val="%2"/>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A12A73CA">
      <w:start w:val="1"/>
      <w:numFmt w:val="lowerRoman"/>
      <w:lvlText w:val="%3"/>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A50EB9C4">
      <w:start w:val="1"/>
      <w:numFmt w:val="decimal"/>
      <w:lvlText w:val="%4"/>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0374E9C8">
      <w:start w:val="1"/>
      <w:numFmt w:val="lowerLetter"/>
      <w:lvlText w:val="%5"/>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2B3ACA3C">
      <w:start w:val="1"/>
      <w:numFmt w:val="lowerRoman"/>
      <w:lvlText w:val="%6"/>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F044F388">
      <w:start w:val="1"/>
      <w:numFmt w:val="decimal"/>
      <w:lvlText w:val="%7"/>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302419A2">
      <w:start w:val="1"/>
      <w:numFmt w:val="lowerLetter"/>
      <w:lvlText w:val="%8"/>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9A9C01BC">
      <w:start w:val="1"/>
      <w:numFmt w:val="lowerRoman"/>
      <w:lvlText w:val="%9"/>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DA10571"/>
    <w:multiLevelType w:val="hybridMultilevel"/>
    <w:tmpl w:val="DBF6293C"/>
    <w:lvl w:ilvl="0" w:tplc="336E707A">
      <w:start w:val="6"/>
      <w:numFmt w:val="lowerLetter"/>
      <w:lvlText w:val="%1)"/>
      <w:lvlJc w:val="left"/>
      <w:pPr>
        <w:ind w:left="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7266470C">
      <w:start w:val="1"/>
      <w:numFmt w:val="lowerLetter"/>
      <w:lvlText w:val="%2"/>
      <w:lvlJc w:val="left"/>
      <w:pPr>
        <w:ind w:left="119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E97E2418">
      <w:start w:val="1"/>
      <w:numFmt w:val="lowerRoman"/>
      <w:lvlText w:val="%3"/>
      <w:lvlJc w:val="left"/>
      <w:pPr>
        <w:ind w:left="191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29609514">
      <w:start w:val="1"/>
      <w:numFmt w:val="decimal"/>
      <w:lvlText w:val="%4"/>
      <w:lvlJc w:val="left"/>
      <w:pPr>
        <w:ind w:left="263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86A62E8C">
      <w:start w:val="1"/>
      <w:numFmt w:val="lowerLetter"/>
      <w:lvlText w:val="%5"/>
      <w:lvlJc w:val="left"/>
      <w:pPr>
        <w:ind w:left="335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FFD2A26A">
      <w:start w:val="1"/>
      <w:numFmt w:val="lowerRoman"/>
      <w:lvlText w:val="%6"/>
      <w:lvlJc w:val="left"/>
      <w:pPr>
        <w:ind w:left="407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4C9A0602">
      <w:start w:val="1"/>
      <w:numFmt w:val="decimal"/>
      <w:lvlText w:val="%7"/>
      <w:lvlJc w:val="left"/>
      <w:pPr>
        <w:ind w:left="479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BCA0C33A">
      <w:start w:val="1"/>
      <w:numFmt w:val="lowerLetter"/>
      <w:lvlText w:val="%8"/>
      <w:lvlJc w:val="left"/>
      <w:pPr>
        <w:ind w:left="551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3238F422">
      <w:start w:val="1"/>
      <w:numFmt w:val="lowerRoman"/>
      <w:lvlText w:val="%9"/>
      <w:lvlJc w:val="left"/>
      <w:pPr>
        <w:ind w:left="623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E532802"/>
    <w:multiLevelType w:val="multilevel"/>
    <w:tmpl w:val="0A3C203A"/>
    <w:lvl w:ilvl="0">
      <w:start w:val="1"/>
      <w:numFmt w:val="lowerLetter"/>
      <w:lvlText w:val="%1)"/>
      <w:lvlJc w:val="left"/>
      <w:pPr>
        <w:ind w:left="1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EC42ACC"/>
    <w:multiLevelType w:val="multilevel"/>
    <w:tmpl w:val="185A948A"/>
    <w:lvl w:ilvl="0">
      <w:start w:val="4"/>
      <w:numFmt w:val="decimal"/>
      <w:lvlText w:val="%1."/>
      <w:lvlJc w:val="left"/>
      <w:pPr>
        <w:ind w:left="4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2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0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38165C"/>
    <w:multiLevelType w:val="multilevel"/>
    <w:tmpl w:val="0412822E"/>
    <w:lvl w:ilvl="0">
      <w:start w:val="18"/>
      <w:numFmt w:val="decimal"/>
      <w:lvlText w:val="%1"/>
      <w:lvlJc w:val="left"/>
      <w:pPr>
        <w:ind w:left="360"/>
      </w:pPr>
      <w:rPr>
        <w:rFonts w:ascii="Arial" w:eastAsia="Arial" w:hAnsi="Arial" w:cs="Arial"/>
        <w:b w:val="0"/>
        <w:i/>
        <w:iCs/>
        <w:strike w:val="0"/>
        <w:dstrike w:val="0"/>
        <w:color w:val="FF0000"/>
        <w:sz w:val="20"/>
        <w:szCs w:val="20"/>
        <w:u w:val="none" w:color="000000"/>
        <w:bdr w:val="none" w:sz="0" w:space="0" w:color="auto"/>
        <w:shd w:val="clear" w:color="auto" w:fill="auto"/>
        <w:vertAlign w:val="baseline"/>
      </w:rPr>
    </w:lvl>
    <w:lvl w:ilvl="1">
      <w:start w:val="31"/>
      <w:numFmt w:val="decimal"/>
      <w:lvlText w:val="%1.%2"/>
      <w:lvlJc w:val="left"/>
      <w:pPr>
        <w:ind w:left="1069"/>
      </w:pPr>
      <w:rPr>
        <w:rFonts w:ascii="Arial" w:eastAsia="Arial" w:hAnsi="Arial" w:cs="Arial"/>
        <w:b w:val="0"/>
        <w:i/>
        <w:iCs/>
        <w:strike w:val="0"/>
        <w:dstrike w:val="0"/>
        <w:color w:val="FF0000"/>
        <w:sz w:val="20"/>
        <w:szCs w:val="20"/>
        <w:u w:val="none" w:color="000000"/>
        <w:bdr w:val="none" w:sz="0" w:space="0" w:color="auto"/>
        <w:shd w:val="clear" w:color="auto" w:fill="auto"/>
        <w:vertAlign w:val="baseline"/>
      </w:rPr>
    </w:lvl>
    <w:lvl w:ilvl="2">
      <w:start w:val="1"/>
      <w:numFmt w:val="decimal"/>
      <w:lvlRestart w:val="0"/>
      <w:lvlText w:val="%1.%2.%3"/>
      <w:lvlJc w:val="left"/>
      <w:pPr>
        <w:ind w:left="2393"/>
      </w:pPr>
      <w:rPr>
        <w:rFonts w:ascii="Arial" w:eastAsia="Arial" w:hAnsi="Arial" w:cs="Arial"/>
        <w:b w:val="0"/>
        <w:i/>
        <w:iCs/>
        <w:strike w:val="0"/>
        <w:dstrike w:val="0"/>
        <w:color w:val="FF0000"/>
        <w:sz w:val="20"/>
        <w:szCs w:val="20"/>
        <w:u w:val="none" w:color="000000"/>
        <w:bdr w:val="none" w:sz="0" w:space="0" w:color="auto"/>
        <w:shd w:val="clear" w:color="auto" w:fill="auto"/>
        <w:vertAlign w:val="baseline"/>
      </w:rPr>
    </w:lvl>
    <w:lvl w:ilvl="3">
      <w:start w:val="1"/>
      <w:numFmt w:val="decimal"/>
      <w:lvlText w:val="%4"/>
      <w:lvlJc w:val="left"/>
      <w:pPr>
        <w:ind w:left="2499"/>
      </w:pPr>
      <w:rPr>
        <w:rFonts w:ascii="Arial" w:eastAsia="Arial" w:hAnsi="Arial" w:cs="Arial"/>
        <w:b w:val="0"/>
        <w:i/>
        <w:iCs/>
        <w:strike w:val="0"/>
        <w:dstrike w:val="0"/>
        <w:color w:val="FF0000"/>
        <w:sz w:val="20"/>
        <w:szCs w:val="20"/>
        <w:u w:val="none" w:color="000000"/>
        <w:bdr w:val="none" w:sz="0" w:space="0" w:color="auto"/>
        <w:shd w:val="clear" w:color="auto" w:fill="auto"/>
        <w:vertAlign w:val="baseline"/>
      </w:rPr>
    </w:lvl>
    <w:lvl w:ilvl="4">
      <w:start w:val="1"/>
      <w:numFmt w:val="lowerLetter"/>
      <w:lvlText w:val="%5"/>
      <w:lvlJc w:val="left"/>
      <w:pPr>
        <w:ind w:left="3219"/>
      </w:pPr>
      <w:rPr>
        <w:rFonts w:ascii="Arial" w:eastAsia="Arial" w:hAnsi="Arial" w:cs="Arial"/>
        <w:b w:val="0"/>
        <w:i/>
        <w:iCs/>
        <w:strike w:val="0"/>
        <w:dstrike w:val="0"/>
        <w:color w:val="FF0000"/>
        <w:sz w:val="20"/>
        <w:szCs w:val="20"/>
        <w:u w:val="none" w:color="000000"/>
        <w:bdr w:val="none" w:sz="0" w:space="0" w:color="auto"/>
        <w:shd w:val="clear" w:color="auto" w:fill="auto"/>
        <w:vertAlign w:val="baseline"/>
      </w:rPr>
    </w:lvl>
    <w:lvl w:ilvl="5">
      <w:start w:val="1"/>
      <w:numFmt w:val="lowerRoman"/>
      <w:lvlText w:val="%6"/>
      <w:lvlJc w:val="left"/>
      <w:pPr>
        <w:ind w:left="3939"/>
      </w:pPr>
      <w:rPr>
        <w:rFonts w:ascii="Arial" w:eastAsia="Arial" w:hAnsi="Arial" w:cs="Arial"/>
        <w:b w:val="0"/>
        <w:i/>
        <w:iCs/>
        <w:strike w:val="0"/>
        <w:dstrike w:val="0"/>
        <w:color w:val="FF0000"/>
        <w:sz w:val="20"/>
        <w:szCs w:val="20"/>
        <w:u w:val="none" w:color="000000"/>
        <w:bdr w:val="none" w:sz="0" w:space="0" w:color="auto"/>
        <w:shd w:val="clear" w:color="auto" w:fill="auto"/>
        <w:vertAlign w:val="baseline"/>
      </w:rPr>
    </w:lvl>
    <w:lvl w:ilvl="6">
      <w:start w:val="1"/>
      <w:numFmt w:val="decimal"/>
      <w:lvlText w:val="%7"/>
      <w:lvlJc w:val="left"/>
      <w:pPr>
        <w:ind w:left="4659"/>
      </w:pPr>
      <w:rPr>
        <w:rFonts w:ascii="Arial" w:eastAsia="Arial" w:hAnsi="Arial" w:cs="Arial"/>
        <w:b w:val="0"/>
        <w:i/>
        <w:iCs/>
        <w:strike w:val="0"/>
        <w:dstrike w:val="0"/>
        <w:color w:val="FF0000"/>
        <w:sz w:val="20"/>
        <w:szCs w:val="20"/>
        <w:u w:val="none" w:color="000000"/>
        <w:bdr w:val="none" w:sz="0" w:space="0" w:color="auto"/>
        <w:shd w:val="clear" w:color="auto" w:fill="auto"/>
        <w:vertAlign w:val="baseline"/>
      </w:rPr>
    </w:lvl>
    <w:lvl w:ilvl="7">
      <w:start w:val="1"/>
      <w:numFmt w:val="lowerLetter"/>
      <w:lvlText w:val="%8"/>
      <w:lvlJc w:val="left"/>
      <w:pPr>
        <w:ind w:left="5379"/>
      </w:pPr>
      <w:rPr>
        <w:rFonts w:ascii="Arial" w:eastAsia="Arial" w:hAnsi="Arial" w:cs="Arial"/>
        <w:b w:val="0"/>
        <w:i/>
        <w:iCs/>
        <w:strike w:val="0"/>
        <w:dstrike w:val="0"/>
        <w:color w:val="FF0000"/>
        <w:sz w:val="20"/>
        <w:szCs w:val="20"/>
        <w:u w:val="none" w:color="000000"/>
        <w:bdr w:val="none" w:sz="0" w:space="0" w:color="auto"/>
        <w:shd w:val="clear" w:color="auto" w:fill="auto"/>
        <w:vertAlign w:val="baseline"/>
      </w:rPr>
    </w:lvl>
    <w:lvl w:ilvl="8">
      <w:start w:val="1"/>
      <w:numFmt w:val="lowerRoman"/>
      <w:lvlText w:val="%9"/>
      <w:lvlJc w:val="left"/>
      <w:pPr>
        <w:ind w:left="6099"/>
      </w:pPr>
      <w:rPr>
        <w:rFonts w:ascii="Arial" w:eastAsia="Arial" w:hAnsi="Arial" w:cs="Arial"/>
        <w:b w:val="0"/>
        <w:i/>
        <w:iCs/>
        <w:strike w:val="0"/>
        <w:dstrike w:val="0"/>
        <w:color w:val="FF0000"/>
        <w:sz w:val="20"/>
        <w:szCs w:val="20"/>
        <w:u w:val="none" w:color="000000"/>
        <w:bdr w:val="none" w:sz="0" w:space="0" w:color="auto"/>
        <w:shd w:val="clear" w:color="auto" w:fill="auto"/>
        <w:vertAlign w:val="baseline"/>
      </w:rPr>
    </w:lvl>
  </w:abstractNum>
  <w:abstractNum w:abstractNumId="13" w15:restartNumberingAfterBreak="0">
    <w:nsid w:val="167832CA"/>
    <w:multiLevelType w:val="hybridMultilevel"/>
    <w:tmpl w:val="3DE28E76"/>
    <w:lvl w:ilvl="0" w:tplc="DF6CAD70">
      <w:start w:val="1"/>
      <w:numFmt w:val="lowerLetter"/>
      <w:lvlText w:val="%1)"/>
      <w:lvlJc w:val="left"/>
      <w:pPr>
        <w:ind w:left="4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7AC096">
      <w:start w:val="1"/>
      <w:numFmt w:val="lowerLetter"/>
      <w:lvlText w:val="%2"/>
      <w:lvlJc w:val="left"/>
      <w:pPr>
        <w:ind w:left="1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F0FEDE">
      <w:start w:val="1"/>
      <w:numFmt w:val="lowerRoman"/>
      <w:lvlText w:val="%3"/>
      <w:lvlJc w:val="left"/>
      <w:pPr>
        <w:ind w:left="2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86542C">
      <w:start w:val="1"/>
      <w:numFmt w:val="decimal"/>
      <w:lvlText w:val="%4"/>
      <w:lvlJc w:val="left"/>
      <w:pPr>
        <w:ind w:left="2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E06DA4">
      <w:start w:val="1"/>
      <w:numFmt w:val="lowerLetter"/>
      <w:lvlText w:val="%5"/>
      <w:lvlJc w:val="left"/>
      <w:pPr>
        <w:ind w:left="3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222182">
      <w:start w:val="1"/>
      <w:numFmt w:val="lowerRoman"/>
      <w:lvlText w:val="%6"/>
      <w:lvlJc w:val="left"/>
      <w:pPr>
        <w:ind w:left="4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7E7CCE">
      <w:start w:val="1"/>
      <w:numFmt w:val="decimal"/>
      <w:lvlText w:val="%7"/>
      <w:lvlJc w:val="left"/>
      <w:pPr>
        <w:ind w:left="5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8ACBAA">
      <w:start w:val="1"/>
      <w:numFmt w:val="lowerLetter"/>
      <w:lvlText w:val="%8"/>
      <w:lvlJc w:val="left"/>
      <w:pPr>
        <w:ind w:left="5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18E86A">
      <w:start w:val="1"/>
      <w:numFmt w:val="lowerRoman"/>
      <w:lvlText w:val="%9"/>
      <w:lvlJc w:val="left"/>
      <w:pPr>
        <w:ind w:left="6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7640A12"/>
    <w:multiLevelType w:val="multilevel"/>
    <w:tmpl w:val="FA38DD0E"/>
    <w:lvl w:ilvl="0">
      <w:start w:val="1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37"/>
      <w:numFmt w:val="decimal"/>
      <w:lvlRestart w:val="0"/>
      <w:lvlText w:val="%1.%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88D0B95"/>
    <w:multiLevelType w:val="hybridMultilevel"/>
    <w:tmpl w:val="1C98351E"/>
    <w:lvl w:ilvl="0" w:tplc="365CD050">
      <w:start w:val="4"/>
      <w:numFmt w:val="upperRoman"/>
      <w:lvlText w:val="%1."/>
      <w:lvlJc w:val="left"/>
      <w:pPr>
        <w:ind w:left="15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173CB740">
      <w:start w:val="1"/>
      <w:numFmt w:val="lowerLetter"/>
      <w:lvlText w:val="%2"/>
      <w:lvlJc w:val="left"/>
      <w:pPr>
        <w:ind w:left="1165"/>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B3520898">
      <w:start w:val="1"/>
      <w:numFmt w:val="lowerRoman"/>
      <w:lvlText w:val="%3"/>
      <w:lvlJc w:val="left"/>
      <w:pPr>
        <w:ind w:left="1885"/>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F7E6C64A">
      <w:start w:val="1"/>
      <w:numFmt w:val="decimal"/>
      <w:lvlText w:val="%4"/>
      <w:lvlJc w:val="left"/>
      <w:pPr>
        <w:ind w:left="2605"/>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BE846BA6">
      <w:start w:val="1"/>
      <w:numFmt w:val="lowerLetter"/>
      <w:lvlText w:val="%5"/>
      <w:lvlJc w:val="left"/>
      <w:pPr>
        <w:ind w:left="3325"/>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293662A2">
      <w:start w:val="1"/>
      <w:numFmt w:val="lowerRoman"/>
      <w:lvlText w:val="%6"/>
      <w:lvlJc w:val="left"/>
      <w:pPr>
        <w:ind w:left="4045"/>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3A3ED8CA">
      <w:start w:val="1"/>
      <w:numFmt w:val="decimal"/>
      <w:lvlText w:val="%7"/>
      <w:lvlJc w:val="left"/>
      <w:pPr>
        <w:ind w:left="4765"/>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63C2A32A">
      <w:start w:val="1"/>
      <w:numFmt w:val="lowerLetter"/>
      <w:lvlText w:val="%8"/>
      <w:lvlJc w:val="left"/>
      <w:pPr>
        <w:ind w:left="5485"/>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32A8BB1C">
      <w:start w:val="1"/>
      <w:numFmt w:val="lowerRoman"/>
      <w:lvlText w:val="%9"/>
      <w:lvlJc w:val="left"/>
      <w:pPr>
        <w:ind w:left="6205"/>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9760584"/>
    <w:multiLevelType w:val="hybridMultilevel"/>
    <w:tmpl w:val="6D9C5A20"/>
    <w:lvl w:ilvl="0" w:tplc="F692041A">
      <w:start w:val="1"/>
      <w:numFmt w:val="lowerLetter"/>
      <w:lvlText w:val="%1)"/>
      <w:lvlJc w:val="left"/>
      <w:pPr>
        <w:ind w:left="0"/>
      </w:pPr>
      <w:rPr>
        <w:rFonts w:ascii="Arial" w:eastAsia="Arial" w:hAnsi="Arial" w:cs="Arial"/>
        <w:b w:val="0"/>
        <w:i/>
        <w:iCs/>
        <w:strike w:val="0"/>
        <w:dstrike w:val="0"/>
        <w:color w:val="000000"/>
        <w:sz w:val="20"/>
        <w:szCs w:val="20"/>
        <w:u w:val="single" w:color="000000"/>
        <w:bdr w:val="none" w:sz="0" w:space="0" w:color="auto"/>
        <w:shd w:val="clear" w:color="auto" w:fill="auto"/>
        <w:vertAlign w:val="baseline"/>
      </w:rPr>
    </w:lvl>
    <w:lvl w:ilvl="1" w:tplc="A51820E6">
      <w:start w:val="1"/>
      <w:numFmt w:val="lowerLetter"/>
      <w:lvlText w:val="%2"/>
      <w:lvlJc w:val="left"/>
      <w:pPr>
        <w:ind w:left="1192"/>
      </w:pPr>
      <w:rPr>
        <w:rFonts w:ascii="Arial" w:eastAsia="Arial" w:hAnsi="Arial" w:cs="Arial"/>
        <w:b w:val="0"/>
        <w:i/>
        <w:iCs/>
        <w:strike w:val="0"/>
        <w:dstrike w:val="0"/>
        <w:color w:val="000000"/>
        <w:sz w:val="20"/>
        <w:szCs w:val="20"/>
        <w:u w:val="single" w:color="000000"/>
        <w:bdr w:val="none" w:sz="0" w:space="0" w:color="auto"/>
        <w:shd w:val="clear" w:color="auto" w:fill="auto"/>
        <w:vertAlign w:val="baseline"/>
      </w:rPr>
    </w:lvl>
    <w:lvl w:ilvl="2" w:tplc="57EEBEFA">
      <w:start w:val="1"/>
      <w:numFmt w:val="lowerRoman"/>
      <w:lvlText w:val="%3"/>
      <w:lvlJc w:val="left"/>
      <w:pPr>
        <w:ind w:left="1912"/>
      </w:pPr>
      <w:rPr>
        <w:rFonts w:ascii="Arial" w:eastAsia="Arial" w:hAnsi="Arial" w:cs="Arial"/>
        <w:b w:val="0"/>
        <w:i/>
        <w:iCs/>
        <w:strike w:val="0"/>
        <w:dstrike w:val="0"/>
        <w:color w:val="000000"/>
        <w:sz w:val="20"/>
        <w:szCs w:val="20"/>
        <w:u w:val="single" w:color="000000"/>
        <w:bdr w:val="none" w:sz="0" w:space="0" w:color="auto"/>
        <w:shd w:val="clear" w:color="auto" w:fill="auto"/>
        <w:vertAlign w:val="baseline"/>
      </w:rPr>
    </w:lvl>
    <w:lvl w:ilvl="3" w:tplc="EF54F718">
      <w:start w:val="1"/>
      <w:numFmt w:val="decimal"/>
      <w:lvlText w:val="%4"/>
      <w:lvlJc w:val="left"/>
      <w:pPr>
        <w:ind w:left="2632"/>
      </w:pPr>
      <w:rPr>
        <w:rFonts w:ascii="Arial" w:eastAsia="Arial" w:hAnsi="Arial" w:cs="Arial"/>
        <w:b w:val="0"/>
        <w:i/>
        <w:iCs/>
        <w:strike w:val="0"/>
        <w:dstrike w:val="0"/>
        <w:color w:val="000000"/>
        <w:sz w:val="20"/>
        <w:szCs w:val="20"/>
        <w:u w:val="single" w:color="000000"/>
        <w:bdr w:val="none" w:sz="0" w:space="0" w:color="auto"/>
        <w:shd w:val="clear" w:color="auto" w:fill="auto"/>
        <w:vertAlign w:val="baseline"/>
      </w:rPr>
    </w:lvl>
    <w:lvl w:ilvl="4" w:tplc="F33CEFAA">
      <w:start w:val="1"/>
      <w:numFmt w:val="lowerLetter"/>
      <w:lvlText w:val="%5"/>
      <w:lvlJc w:val="left"/>
      <w:pPr>
        <w:ind w:left="3352"/>
      </w:pPr>
      <w:rPr>
        <w:rFonts w:ascii="Arial" w:eastAsia="Arial" w:hAnsi="Arial" w:cs="Arial"/>
        <w:b w:val="0"/>
        <w:i/>
        <w:iCs/>
        <w:strike w:val="0"/>
        <w:dstrike w:val="0"/>
        <w:color w:val="000000"/>
        <w:sz w:val="20"/>
        <w:szCs w:val="20"/>
        <w:u w:val="single" w:color="000000"/>
        <w:bdr w:val="none" w:sz="0" w:space="0" w:color="auto"/>
        <w:shd w:val="clear" w:color="auto" w:fill="auto"/>
        <w:vertAlign w:val="baseline"/>
      </w:rPr>
    </w:lvl>
    <w:lvl w:ilvl="5" w:tplc="13342C46">
      <w:start w:val="1"/>
      <w:numFmt w:val="lowerRoman"/>
      <w:lvlText w:val="%6"/>
      <w:lvlJc w:val="left"/>
      <w:pPr>
        <w:ind w:left="4072"/>
      </w:pPr>
      <w:rPr>
        <w:rFonts w:ascii="Arial" w:eastAsia="Arial" w:hAnsi="Arial" w:cs="Arial"/>
        <w:b w:val="0"/>
        <w:i/>
        <w:iCs/>
        <w:strike w:val="0"/>
        <w:dstrike w:val="0"/>
        <w:color w:val="000000"/>
        <w:sz w:val="20"/>
        <w:szCs w:val="20"/>
        <w:u w:val="single" w:color="000000"/>
        <w:bdr w:val="none" w:sz="0" w:space="0" w:color="auto"/>
        <w:shd w:val="clear" w:color="auto" w:fill="auto"/>
        <w:vertAlign w:val="baseline"/>
      </w:rPr>
    </w:lvl>
    <w:lvl w:ilvl="6" w:tplc="C96E0A00">
      <w:start w:val="1"/>
      <w:numFmt w:val="decimal"/>
      <w:lvlText w:val="%7"/>
      <w:lvlJc w:val="left"/>
      <w:pPr>
        <w:ind w:left="4792"/>
      </w:pPr>
      <w:rPr>
        <w:rFonts w:ascii="Arial" w:eastAsia="Arial" w:hAnsi="Arial" w:cs="Arial"/>
        <w:b w:val="0"/>
        <w:i/>
        <w:iCs/>
        <w:strike w:val="0"/>
        <w:dstrike w:val="0"/>
        <w:color w:val="000000"/>
        <w:sz w:val="20"/>
        <w:szCs w:val="20"/>
        <w:u w:val="single" w:color="000000"/>
        <w:bdr w:val="none" w:sz="0" w:space="0" w:color="auto"/>
        <w:shd w:val="clear" w:color="auto" w:fill="auto"/>
        <w:vertAlign w:val="baseline"/>
      </w:rPr>
    </w:lvl>
    <w:lvl w:ilvl="7" w:tplc="20CCA670">
      <w:start w:val="1"/>
      <w:numFmt w:val="lowerLetter"/>
      <w:lvlText w:val="%8"/>
      <w:lvlJc w:val="left"/>
      <w:pPr>
        <w:ind w:left="5512"/>
      </w:pPr>
      <w:rPr>
        <w:rFonts w:ascii="Arial" w:eastAsia="Arial" w:hAnsi="Arial" w:cs="Arial"/>
        <w:b w:val="0"/>
        <w:i/>
        <w:iCs/>
        <w:strike w:val="0"/>
        <w:dstrike w:val="0"/>
        <w:color w:val="000000"/>
        <w:sz w:val="20"/>
        <w:szCs w:val="20"/>
        <w:u w:val="single" w:color="000000"/>
        <w:bdr w:val="none" w:sz="0" w:space="0" w:color="auto"/>
        <w:shd w:val="clear" w:color="auto" w:fill="auto"/>
        <w:vertAlign w:val="baseline"/>
      </w:rPr>
    </w:lvl>
    <w:lvl w:ilvl="8" w:tplc="BC244B4E">
      <w:start w:val="1"/>
      <w:numFmt w:val="lowerRoman"/>
      <w:lvlText w:val="%9"/>
      <w:lvlJc w:val="left"/>
      <w:pPr>
        <w:ind w:left="6232"/>
      </w:pPr>
      <w:rPr>
        <w:rFonts w:ascii="Arial" w:eastAsia="Arial" w:hAnsi="Arial" w:cs="Arial"/>
        <w:b w:val="0"/>
        <w:i/>
        <w:iCs/>
        <w:strike w:val="0"/>
        <w:dstrike w:val="0"/>
        <w:color w:val="000000"/>
        <w:sz w:val="20"/>
        <w:szCs w:val="20"/>
        <w:u w:val="single" w:color="000000"/>
        <w:bdr w:val="none" w:sz="0" w:space="0" w:color="auto"/>
        <w:shd w:val="clear" w:color="auto" w:fill="auto"/>
        <w:vertAlign w:val="baseline"/>
      </w:rPr>
    </w:lvl>
  </w:abstractNum>
  <w:abstractNum w:abstractNumId="17" w15:restartNumberingAfterBreak="0">
    <w:nsid w:val="1BEA1D34"/>
    <w:multiLevelType w:val="hybridMultilevel"/>
    <w:tmpl w:val="29F05D3A"/>
    <w:lvl w:ilvl="0" w:tplc="FBEEA234">
      <w:start w:val="2"/>
      <w:numFmt w:val="lowerLetter"/>
      <w:lvlText w:val="%1)"/>
      <w:lvlJc w:val="left"/>
      <w:pPr>
        <w:ind w:left="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11A68C66">
      <w:start w:val="1"/>
      <w:numFmt w:val="lowerLetter"/>
      <w:lvlText w:val="%2"/>
      <w:lvlJc w:val="left"/>
      <w:pPr>
        <w:ind w:left="119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A0C88440">
      <w:start w:val="1"/>
      <w:numFmt w:val="lowerRoman"/>
      <w:lvlText w:val="%3"/>
      <w:lvlJc w:val="left"/>
      <w:pPr>
        <w:ind w:left="191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14EA9BD6">
      <w:start w:val="1"/>
      <w:numFmt w:val="decimal"/>
      <w:lvlText w:val="%4"/>
      <w:lvlJc w:val="left"/>
      <w:pPr>
        <w:ind w:left="263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0932375C">
      <w:start w:val="1"/>
      <w:numFmt w:val="lowerLetter"/>
      <w:lvlText w:val="%5"/>
      <w:lvlJc w:val="left"/>
      <w:pPr>
        <w:ind w:left="335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4CCED19E">
      <w:start w:val="1"/>
      <w:numFmt w:val="lowerRoman"/>
      <w:lvlText w:val="%6"/>
      <w:lvlJc w:val="left"/>
      <w:pPr>
        <w:ind w:left="407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528885E4">
      <w:start w:val="1"/>
      <w:numFmt w:val="decimal"/>
      <w:lvlText w:val="%7"/>
      <w:lvlJc w:val="left"/>
      <w:pPr>
        <w:ind w:left="479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04A8E3EA">
      <w:start w:val="1"/>
      <w:numFmt w:val="lowerLetter"/>
      <w:lvlText w:val="%8"/>
      <w:lvlJc w:val="left"/>
      <w:pPr>
        <w:ind w:left="551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1ED66DCA">
      <w:start w:val="1"/>
      <w:numFmt w:val="lowerRoman"/>
      <w:lvlText w:val="%9"/>
      <w:lvlJc w:val="left"/>
      <w:pPr>
        <w:ind w:left="623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0B15132"/>
    <w:multiLevelType w:val="hybridMultilevel"/>
    <w:tmpl w:val="41A48F3E"/>
    <w:lvl w:ilvl="0" w:tplc="D8FA9552">
      <w:start w:val="1"/>
      <w:numFmt w:val="lowerLetter"/>
      <w:lvlText w:val="%1)"/>
      <w:lvlJc w:val="left"/>
      <w:pPr>
        <w:ind w:left="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CA62C2">
      <w:start w:val="1"/>
      <w:numFmt w:val="lowerLetter"/>
      <w:lvlText w:val="%2"/>
      <w:lvlJc w:val="left"/>
      <w:pPr>
        <w:ind w:left="1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FA9AEC">
      <w:start w:val="1"/>
      <w:numFmt w:val="lowerRoman"/>
      <w:lvlText w:val="%3"/>
      <w:lvlJc w:val="left"/>
      <w:pPr>
        <w:ind w:left="2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D4D258">
      <w:start w:val="1"/>
      <w:numFmt w:val="decimal"/>
      <w:lvlText w:val="%4"/>
      <w:lvlJc w:val="left"/>
      <w:pPr>
        <w:ind w:left="2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B6047E">
      <w:start w:val="1"/>
      <w:numFmt w:val="lowerLetter"/>
      <w:lvlText w:val="%5"/>
      <w:lvlJc w:val="left"/>
      <w:pPr>
        <w:ind w:left="3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822200">
      <w:start w:val="1"/>
      <w:numFmt w:val="lowerRoman"/>
      <w:lvlText w:val="%6"/>
      <w:lvlJc w:val="left"/>
      <w:pPr>
        <w:ind w:left="4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A6C804">
      <w:start w:val="1"/>
      <w:numFmt w:val="decimal"/>
      <w:lvlText w:val="%7"/>
      <w:lvlJc w:val="left"/>
      <w:pPr>
        <w:ind w:left="5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A68E04">
      <w:start w:val="1"/>
      <w:numFmt w:val="lowerLetter"/>
      <w:lvlText w:val="%8"/>
      <w:lvlJc w:val="left"/>
      <w:pPr>
        <w:ind w:left="5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D88FE8">
      <w:start w:val="1"/>
      <w:numFmt w:val="lowerRoman"/>
      <w:lvlText w:val="%9"/>
      <w:lvlJc w:val="left"/>
      <w:pPr>
        <w:ind w:left="6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0E51670"/>
    <w:multiLevelType w:val="multilevel"/>
    <w:tmpl w:val="FAC02F68"/>
    <w:lvl w:ilvl="0">
      <w:start w:val="23"/>
      <w:numFmt w:val="decimal"/>
      <w:lvlText w:val="%1"/>
      <w:lvlJc w:val="left"/>
      <w:pPr>
        <w:ind w:left="540"/>
      </w:pPr>
      <w:rPr>
        <w:rFonts w:ascii="Arial" w:eastAsia="Arial" w:hAnsi="Arial" w:cs="Arial"/>
        <w:b/>
        <w:bCs/>
        <w:i w:val="0"/>
        <w:strike w:val="0"/>
        <w:dstrike w:val="0"/>
        <w:color w:val="FF0000"/>
        <w:sz w:val="20"/>
        <w:szCs w:val="20"/>
        <w:u w:val="none" w:color="000000"/>
        <w:bdr w:val="none" w:sz="0" w:space="0" w:color="auto"/>
        <w:shd w:val="clear" w:color="auto" w:fill="auto"/>
        <w:vertAlign w:val="baseline"/>
      </w:rPr>
    </w:lvl>
    <w:lvl w:ilvl="1">
      <w:start w:val="1"/>
      <w:numFmt w:val="decimal"/>
      <w:lvlText w:val="%1.%2"/>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3830054"/>
    <w:multiLevelType w:val="hybridMultilevel"/>
    <w:tmpl w:val="855EDB60"/>
    <w:lvl w:ilvl="0" w:tplc="9D42562A">
      <w:start w:val="1"/>
      <w:numFmt w:val="bullet"/>
      <w:lvlText w:val="•"/>
      <w:lvlJc w:val="left"/>
      <w:pPr>
        <w:ind w:left="2139"/>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1" w:tplc="1B2E246A">
      <w:start w:val="1"/>
      <w:numFmt w:val="bullet"/>
      <w:lvlText w:val="o"/>
      <w:lvlJc w:val="left"/>
      <w:pPr>
        <w:ind w:left="28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FFFF00"/>
        <w:vertAlign w:val="baseline"/>
      </w:rPr>
    </w:lvl>
    <w:lvl w:ilvl="2" w:tplc="69B82B1C">
      <w:start w:val="1"/>
      <w:numFmt w:val="bullet"/>
      <w:lvlText w:val="▪"/>
      <w:lvlJc w:val="left"/>
      <w:pPr>
        <w:ind w:left="35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FFFF00"/>
        <w:vertAlign w:val="baseline"/>
      </w:rPr>
    </w:lvl>
    <w:lvl w:ilvl="3" w:tplc="242AA086">
      <w:start w:val="1"/>
      <w:numFmt w:val="bullet"/>
      <w:lvlText w:val="•"/>
      <w:lvlJc w:val="left"/>
      <w:pPr>
        <w:ind w:left="4299"/>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4" w:tplc="CB2046D6">
      <w:start w:val="1"/>
      <w:numFmt w:val="bullet"/>
      <w:lvlText w:val="o"/>
      <w:lvlJc w:val="left"/>
      <w:pPr>
        <w:ind w:left="50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FFFF00"/>
        <w:vertAlign w:val="baseline"/>
      </w:rPr>
    </w:lvl>
    <w:lvl w:ilvl="5" w:tplc="024EE9DC">
      <w:start w:val="1"/>
      <w:numFmt w:val="bullet"/>
      <w:lvlText w:val="▪"/>
      <w:lvlJc w:val="left"/>
      <w:pPr>
        <w:ind w:left="57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FFFF00"/>
        <w:vertAlign w:val="baseline"/>
      </w:rPr>
    </w:lvl>
    <w:lvl w:ilvl="6" w:tplc="5ACE0C52">
      <w:start w:val="1"/>
      <w:numFmt w:val="bullet"/>
      <w:lvlText w:val="•"/>
      <w:lvlJc w:val="left"/>
      <w:pPr>
        <w:ind w:left="6459"/>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7" w:tplc="E932CC44">
      <w:start w:val="1"/>
      <w:numFmt w:val="bullet"/>
      <w:lvlText w:val="o"/>
      <w:lvlJc w:val="left"/>
      <w:pPr>
        <w:ind w:left="71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FFFF00"/>
        <w:vertAlign w:val="baseline"/>
      </w:rPr>
    </w:lvl>
    <w:lvl w:ilvl="8" w:tplc="D1E0359C">
      <w:start w:val="1"/>
      <w:numFmt w:val="bullet"/>
      <w:lvlText w:val="▪"/>
      <w:lvlJc w:val="left"/>
      <w:pPr>
        <w:ind w:left="78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FFFF00"/>
        <w:vertAlign w:val="baseline"/>
      </w:rPr>
    </w:lvl>
  </w:abstractNum>
  <w:abstractNum w:abstractNumId="21" w15:restartNumberingAfterBreak="0">
    <w:nsid w:val="26E5476F"/>
    <w:multiLevelType w:val="multilevel"/>
    <w:tmpl w:val="3C842582"/>
    <w:lvl w:ilvl="0">
      <w:start w:val="1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0"/>
      <w:numFmt w:val="decimal"/>
      <w:lvlRestart w:val="0"/>
      <w:lvlText w:val="%1.%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2D2F0FD3"/>
    <w:multiLevelType w:val="multilevel"/>
    <w:tmpl w:val="8A4ACF80"/>
    <w:lvl w:ilvl="0">
      <w:start w:val="22"/>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D392C3B"/>
    <w:multiLevelType w:val="hybridMultilevel"/>
    <w:tmpl w:val="06E4C72E"/>
    <w:lvl w:ilvl="0" w:tplc="BE881664">
      <w:start w:val="2"/>
      <w:numFmt w:val="decimal"/>
      <w:lvlText w:val="%1)"/>
      <w:lvlJc w:val="left"/>
      <w:pPr>
        <w:ind w:left="1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40362C">
      <w:start w:val="1"/>
      <w:numFmt w:val="lowerLetter"/>
      <w:lvlText w:val="%2"/>
      <w:lvlJc w:val="left"/>
      <w:pPr>
        <w:ind w:left="2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80686">
      <w:start w:val="1"/>
      <w:numFmt w:val="lowerRoman"/>
      <w:lvlText w:val="%3"/>
      <w:lvlJc w:val="left"/>
      <w:pPr>
        <w:ind w:left="3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123A10">
      <w:start w:val="1"/>
      <w:numFmt w:val="decimal"/>
      <w:lvlText w:val="%4"/>
      <w:lvlJc w:val="left"/>
      <w:pPr>
        <w:ind w:left="3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4AC09E">
      <w:start w:val="1"/>
      <w:numFmt w:val="lowerLetter"/>
      <w:lvlText w:val="%5"/>
      <w:lvlJc w:val="left"/>
      <w:pPr>
        <w:ind w:left="4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BA64DC">
      <w:start w:val="1"/>
      <w:numFmt w:val="lowerRoman"/>
      <w:lvlText w:val="%6"/>
      <w:lvlJc w:val="left"/>
      <w:pPr>
        <w:ind w:left="5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A0D12C">
      <w:start w:val="1"/>
      <w:numFmt w:val="decimal"/>
      <w:lvlText w:val="%7"/>
      <w:lvlJc w:val="left"/>
      <w:pPr>
        <w:ind w:left="6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00149E">
      <w:start w:val="1"/>
      <w:numFmt w:val="lowerLetter"/>
      <w:lvlText w:val="%8"/>
      <w:lvlJc w:val="left"/>
      <w:pPr>
        <w:ind w:left="6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222648">
      <w:start w:val="1"/>
      <w:numFmt w:val="lowerRoman"/>
      <w:lvlText w:val="%9"/>
      <w:lvlJc w:val="left"/>
      <w:pPr>
        <w:ind w:left="7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F4D650C"/>
    <w:multiLevelType w:val="hybridMultilevel"/>
    <w:tmpl w:val="8C760C18"/>
    <w:lvl w:ilvl="0" w:tplc="6DC6C2D0">
      <w:start w:val="1"/>
      <w:numFmt w:val="decimal"/>
      <w:lvlText w:val="%1."/>
      <w:lvlJc w:val="left"/>
      <w:pPr>
        <w:ind w:left="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1C5A024A">
      <w:start w:val="1"/>
      <w:numFmt w:val="lowerLetter"/>
      <w:lvlText w:val="%2"/>
      <w:lvlJc w:val="left"/>
      <w:pPr>
        <w:ind w:left="119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4FB8DE20">
      <w:start w:val="1"/>
      <w:numFmt w:val="lowerRoman"/>
      <w:lvlText w:val="%3"/>
      <w:lvlJc w:val="left"/>
      <w:pPr>
        <w:ind w:left="191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1BC83486">
      <w:start w:val="1"/>
      <w:numFmt w:val="decimal"/>
      <w:lvlText w:val="%4"/>
      <w:lvlJc w:val="left"/>
      <w:pPr>
        <w:ind w:left="263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747087F2">
      <w:start w:val="1"/>
      <w:numFmt w:val="lowerLetter"/>
      <w:lvlText w:val="%5"/>
      <w:lvlJc w:val="left"/>
      <w:pPr>
        <w:ind w:left="335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F72A9154">
      <w:start w:val="1"/>
      <w:numFmt w:val="lowerRoman"/>
      <w:lvlText w:val="%6"/>
      <w:lvlJc w:val="left"/>
      <w:pPr>
        <w:ind w:left="407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CAD8389C">
      <w:start w:val="1"/>
      <w:numFmt w:val="decimal"/>
      <w:lvlText w:val="%7"/>
      <w:lvlJc w:val="left"/>
      <w:pPr>
        <w:ind w:left="479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119A7FF0">
      <w:start w:val="1"/>
      <w:numFmt w:val="lowerLetter"/>
      <w:lvlText w:val="%8"/>
      <w:lvlJc w:val="left"/>
      <w:pPr>
        <w:ind w:left="551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AA7AA254">
      <w:start w:val="1"/>
      <w:numFmt w:val="lowerRoman"/>
      <w:lvlText w:val="%9"/>
      <w:lvlJc w:val="left"/>
      <w:pPr>
        <w:ind w:left="623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86A03C1"/>
    <w:multiLevelType w:val="hybridMultilevel"/>
    <w:tmpl w:val="78F4ABB6"/>
    <w:lvl w:ilvl="0" w:tplc="1A64C0E6">
      <w:start w:val="1"/>
      <w:numFmt w:val="decimal"/>
      <w:lvlText w:val="%1."/>
      <w:lvlJc w:val="left"/>
      <w:pPr>
        <w:ind w:left="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DE7844DE">
      <w:start w:val="1"/>
      <w:numFmt w:val="lowerLetter"/>
      <w:lvlText w:val="%2"/>
      <w:lvlJc w:val="left"/>
      <w:pPr>
        <w:ind w:left="119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6AF0EEA4">
      <w:start w:val="1"/>
      <w:numFmt w:val="lowerRoman"/>
      <w:lvlText w:val="%3"/>
      <w:lvlJc w:val="left"/>
      <w:pPr>
        <w:ind w:left="191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BBF05D3C">
      <w:start w:val="1"/>
      <w:numFmt w:val="decimal"/>
      <w:lvlText w:val="%4"/>
      <w:lvlJc w:val="left"/>
      <w:pPr>
        <w:ind w:left="263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1F2AE280">
      <w:start w:val="1"/>
      <w:numFmt w:val="lowerLetter"/>
      <w:lvlText w:val="%5"/>
      <w:lvlJc w:val="left"/>
      <w:pPr>
        <w:ind w:left="335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D28CE154">
      <w:start w:val="1"/>
      <w:numFmt w:val="lowerRoman"/>
      <w:lvlText w:val="%6"/>
      <w:lvlJc w:val="left"/>
      <w:pPr>
        <w:ind w:left="407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059689D6">
      <w:start w:val="1"/>
      <w:numFmt w:val="decimal"/>
      <w:lvlText w:val="%7"/>
      <w:lvlJc w:val="left"/>
      <w:pPr>
        <w:ind w:left="479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5670659E">
      <w:start w:val="1"/>
      <w:numFmt w:val="lowerLetter"/>
      <w:lvlText w:val="%8"/>
      <w:lvlJc w:val="left"/>
      <w:pPr>
        <w:ind w:left="551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E3C48B20">
      <w:start w:val="1"/>
      <w:numFmt w:val="lowerRoman"/>
      <w:lvlText w:val="%9"/>
      <w:lvlJc w:val="left"/>
      <w:pPr>
        <w:ind w:left="623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893275C"/>
    <w:multiLevelType w:val="hybridMultilevel"/>
    <w:tmpl w:val="73ACF692"/>
    <w:lvl w:ilvl="0" w:tplc="F560173A">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947D7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367E4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4E47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0AE05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063F3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106BC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9A6E6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BEB9A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AD429B8"/>
    <w:multiLevelType w:val="multilevel"/>
    <w:tmpl w:val="4A587F80"/>
    <w:lvl w:ilvl="0">
      <w:start w:val="10"/>
      <w:numFmt w:val="lowerLetter"/>
      <w:lvlText w:val="%1"/>
      <w:lvlJc w:val="left"/>
      <w:pPr>
        <w:ind w:left="3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73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B7113E6"/>
    <w:multiLevelType w:val="hybridMultilevel"/>
    <w:tmpl w:val="0DDE71E8"/>
    <w:lvl w:ilvl="0" w:tplc="705E5134">
      <w:start w:val="4"/>
      <w:numFmt w:val="decimal"/>
      <w:lvlText w:val="%1."/>
      <w:lvlJc w:val="left"/>
      <w:pPr>
        <w:ind w:left="360"/>
      </w:pPr>
      <w:rPr>
        <w:rFonts w:ascii="Arial" w:eastAsia="Arial" w:hAnsi="Arial" w:cs="Arial"/>
        <w:b/>
        <w:bCs/>
        <w:i/>
        <w:iCs/>
        <w:strike w:val="0"/>
        <w:dstrike w:val="0"/>
        <w:color w:val="FF0000"/>
        <w:sz w:val="20"/>
        <w:szCs w:val="20"/>
        <w:u w:val="none" w:color="000000"/>
        <w:bdr w:val="none" w:sz="0" w:space="0" w:color="auto"/>
        <w:shd w:val="clear" w:color="auto" w:fill="auto"/>
        <w:vertAlign w:val="baseline"/>
      </w:rPr>
    </w:lvl>
    <w:lvl w:ilvl="1" w:tplc="A992E96A">
      <w:start w:val="1"/>
      <w:numFmt w:val="lowerLetter"/>
      <w:lvlText w:val="%2"/>
      <w:lvlJc w:val="left"/>
      <w:pPr>
        <w:ind w:left="1080"/>
      </w:pPr>
      <w:rPr>
        <w:rFonts w:ascii="Arial" w:eastAsia="Arial" w:hAnsi="Arial" w:cs="Arial"/>
        <w:b/>
        <w:bCs/>
        <w:i/>
        <w:iCs/>
        <w:strike w:val="0"/>
        <w:dstrike w:val="0"/>
        <w:color w:val="FF0000"/>
        <w:sz w:val="20"/>
        <w:szCs w:val="20"/>
        <w:u w:val="none" w:color="000000"/>
        <w:bdr w:val="none" w:sz="0" w:space="0" w:color="auto"/>
        <w:shd w:val="clear" w:color="auto" w:fill="auto"/>
        <w:vertAlign w:val="baseline"/>
      </w:rPr>
    </w:lvl>
    <w:lvl w:ilvl="2" w:tplc="2DF21CFE">
      <w:start w:val="1"/>
      <w:numFmt w:val="lowerRoman"/>
      <w:lvlText w:val="%3"/>
      <w:lvlJc w:val="left"/>
      <w:pPr>
        <w:ind w:left="1800"/>
      </w:pPr>
      <w:rPr>
        <w:rFonts w:ascii="Arial" w:eastAsia="Arial" w:hAnsi="Arial" w:cs="Arial"/>
        <w:b/>
        <w:bCs/>
        <w:i/>
        <w:iCs/>
        <w:strike w:val="0"/>
        <w:dstrike w:val="0"/>
        <w:color w:val="FF0000"/>
        <w:sz w:val="20"/>
        <w:szCs w:val="20"/>
        <w:u w:val="none" w:color="000000"/>
        <w:bdr w:val="none" w:sz="0" w:space="0" w:color="auto"/>
        <w:shd w:val="clear" w:color="auto" w:fill="auto"/>
        <w:vertAlign w:val="baseline"/>
      </w:rPr>
    </w:lvl>
    <w:lvl w:ilvl="3" w:tplc="8E2A8D58">
      <w:start w:val="1"/>
      <w:numFmt w:val="decimal"/>
      <w:lvlText w:val="%4"/>
      <w:lvlJc w:val="left"/>
      <w:pPr>
        <w:ind w:left="2520"/>
      </w:pPr>
      <w:rPr>
        <w:rFonts w:ascii="Arial" w:eastAsia="Arial" w:hAnsi="Arial" w:cs="Arial"/>
        <w:b/>
        <w:bCs/>
        <w:i/>
        <w:iCs/>
        <w:strike w:val="0"/>
        <w:dstrike w:val="0"/>
        <w:color w:val="FF0000"/>
        <w:sz w:val="20"/>
        <w:szCs w:val="20"/>
        <w:u w:val="none" w:color="000000"/>
        <w:bdr w:val="none" w:sz="0" w:space="0" w:color="auto"/>
        <w:shd w:val="clear" w:color="auto" w:fill="auto"/>
        <w:vertAlign w:val="baseline"/>
      </w:rPr>
    </w:lvl>
    <w:lvl w:ilvl="4" w:tplc="FC8885A2">
      <w:start w:val="1"/>
      <w:numFmt w:val="lowerLetter"/>
      <w:lvlText w:val="%5"/>
      <w:lvlJc w:val="left"/>
      <w:pPr>
        <w:ind w:left="3240"/>
      </w:pPr>
      <w:rPr>
        <w:rFonts w:ascii="Arial" w:eastAsia="Arial" w:hAnsi="Arial" w:cs="Arial"/>
        <w:b/>
        <w:bCs/>
        <w:i/>
        <w:iCs/>
        <w:strike w:val="0"/>
        <w:dstrike w:val="0"/>
        <w:color w:val="FF0000"/>
        <w:sz w:val="20"/>
        <w:szCs w:val="20"/>
        <w:u w:val="none" w:color="000000"/>
        <w:bdr w:val="none" w:sz="0" w:space="0" w:color="auto"/>
        <w:shd w:val="clear" w:color="auto" w:fill="auto"/>
        <w:vertAlign w:val="baseline"/>
      </w:rPr>
    </w:lvl>
    <w:lvl w:ilvl="5" w:tplc="038A1A6C">
      <w:start w:val="1"/>
      <w:numFmt w:val="lowerRoman"/>
      <w:lvlText w:val="%6"/>
      <w:lvlJc w:val="left"/>
      <w:pPr>
        <w:ind w:left="3960"/>
      </w:pPr>
      <w:rPr>
        <w:rFonts w:ascii="Arial" w:eastAsia="Arial" w:hAnsi="Arial" w:cs="Arial"/>
        <w:b/>
        <w:bCs/>
        <w:i/>
        <w:iCs/>
        <w:strike w:val="0"/>
        <w:dstrike w:val="0"/>
        <w:color w:val="FF0000"/>
        <w:sz w:val="20"/>
        <w:szCs w:val="20"/>
        <w:u w:val="none" w:color="000000"/>
        <w:bdr w:val="none" w:sz="0" w:space="0" w:color="auto"/>
        <w:shd w:val="clear" w:color="auto" w:fill="auto"/>
        <w:vertAlign w:val="baseline"/>
      </w:rPr>
    </w:lvl>
    <w:lvl w:ilvl="6" w:tplc="EF10E458">
      <w:start w:val="1"/>
      <w:numFmt w:val="decimal"/>
      <w:lvlText w:val="%7"/>
      <w:lvlJc w:val="left"/>
      <w:pPr>
        <w:ind w:left="4680"/>
      </w:pPr>
      <w:rPr>
        <w:rFonts w:ascii="Arial" w:eastAsia="Arial" w:hAnsi="Arial" w:cs="Arial"/>
        <w:b/>
        <w:bCs/>
        <w:i/>
        <w:iCs/>
        <w:strike w:val="0"/>
        <w:dstrike w:val="0"/>
        <w:color w:val="FF0000"/>
        <w:sz w:val="20"/>
        <w:szCs w:val="20"/>
        <w:u w:val="none" w:color="000000"/>
        <w:bdr w:val="none" w:sz="0" w:space="0" w:color="auto"/>
        <w:shd w:val="clear" w:color="auto" w:fill="auto"/>
        <w:vertAlign w:val="baseline"/>
      </w:rPr>
    </w:lvl>
    <w:lvl w:ilvl="7" w:tplc="83F60324">
      <w:start w:val="1"/>
      <w:numFmt w:val="lowerLetter"/>
      <w:lvlText w:val="%8"/>
      <w:lvlJc w:val="left"/>
      <w:pPr>
        <w:ind w:left="5400"/>
      </w:pPr>
      <w:rPr>
        <w:rFonts w:ascii="Arial" w:eastAsia="Arial" w:hAnsi="Arial" w:cs="Arial"/>
        <w:b/>
        <w:bCs/>
        <w:i/>
        <w:iCs/>
        <w:strike w:val="0"/>
        <w:dstrike w:val="0"/>
        <w:color w:val="FF0000"/>
        <w:sz w:val="20"/>
        <w:szCs w:val="20"/>
        <w:u w:val="none" w:color="000000"/>
        <w:bdr w:val="none" w:sz="0" w:space="0" w:color="auto"/>
        <w:shd w:val="clear" w:color="auto" w:fill="auto"/>
        <w:vertAlign w:val="baseline"/>
      </w:rPr>
    </w:lvl>
    <w:lvl w:ilvl="8" w:tplc="BE0C45C2">
      <w:start w:val="1"/>
      <w:numFmt w:val="lowerRoman"/>
      <w:lvlText w:val="%9"/>
      <w:lvlJc w:val="left"/>
      <w:pPr>
        <w:ind w:left="6120"/>
      </w:pPr>
      <w:rPr>
        <w:rFonts w:ascii="Arial" w:eastAsia="Arial" w:hAnsi="Arial" w:cs="Arial"/>
        <w:b/>
        <w:bCs/>
        <w:i/>
        <w:iCs/>
        <w:strike w:val="0"/>
        <w:dstrike w:val="0"/>
        <w:color w:val="FF0000"/>
        <w:sz w:val="20"/>
        <w:szCs w:val="20"/>
        <w:u w:val="none" w:color="000000"/>
        <w:bdr w:val="none" w:sz="0" w:space="0" w:color="auto"/>
        <w:shd w:val="clear" w:color="auto" w:fill="auto"/>
        <w:vertAlign w:val="baseline"/>
      </w:rPr>
    </w:lvl>
  </w:abstractNum>
  <w:abstractNum w:abstractNumId="29" w15:restartNumberingAfterBreak="0">
    <w:nsid w:val="3B9B7A18"/>
    <w:multiLevelType w:val="hybridMultilevel"/>
    <w:tmpl w:val="6A0A6D14"/>
    <w:lvl w:ilvl="0" w:tplc="39B2C5FA">
      <w:start w:val="172"/>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B04482">
      <w:start w:val="1"/>
      <w:numFmt w:val="lowerLetter"/>
      <w:lvlText w:val="%2"/>
      <w:lvlJc w:val="left"/>
      <w:pPr>
        <w:ind w:left="1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D0ABEA">
      <w:start w:val="1"/>
      <w:numFmt w:val="lowerRoman"/>
      <w:lvlText w:val="%3"/>
      <w:lvlJc w:val="left"/>
      <w:pPr>
        <w:ind w:left="1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CEC214">
      <w:start w:val="1"/>
      <w:numFmt w:val="decimal"/>
      <w:lvlText w:val="%4"/>
      <w:lvlJc w:val="left"/>
      <w:pPr>
        <w:ind w:left="2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E841FC">
      <w:start w:val="1"/>
      <w:numFmt w:val="lowerLetter"/>
      <w:lvlText w:val="%5"/>
      <w:lvlJc w:val="left"/>
      <w:pPr>
        <w:ind w:left="3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AC5640">
      <w:start w:val="1"/>
      <w:numFmt w:val="lowerRoman"/>
      <w:lvlText w:val="%6"/>
      <w:lvlJc w:val="left"/>
      <w:pPr>
        <w:ind w:left="3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3D8082A">
      <w:start w:val="1"/>
      <w:numFmt w:val="decimal"/>
      <w:lvlText w:val="%7"/>
      <w:lvlJc w:val="left"/>
      <w:pPr>
        <w:ind w:left="4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884302">
      <w:start w:val="1"/>
      <w:numFmt w:val="lowerLetter"/>
      <w:lvlText w:val="%8"/>
      <w:lvlJc w:val="left"/>
      <w:pPr>
        <w:ind w:left="5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2030AC">
      <w:start w:val="1"/>
      <w:numFmt w:val="lowerRoman"/>
      <w:lvlText w:val="%9"/>
      <w:lvlJc w:val="left"/>
      <w:pPr>
        <w:ind w:left="6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C7046C4"/>
    <w:multiLevelType w:val="hybridMultilevel"/>
    <w:tmpl w:val="23467E5E"/>
    <w:lvl w:ilvl="0" w:tplc="533EE8BA">
      <w:start w:val="6"/>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B2066F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22E34F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5AE0D0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454750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FBE14C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1D6757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F74294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136728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DD71B7C"/>
    <w:multiLevelType w:val="multilevel"/>
    <w:tmpl w:val="4FFA8966"/>
    <w:lvl w:ilvl="0">
      <w:start w:val="1"/>
      <w:numFmt w:val="lowerLetter"/>
      <w:lvlText w:val="%1)"/>
      <w:lvlJc w:val="left"/>
      <w:pPr>
        <w:ind w:left="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9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1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3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5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7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9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1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22374CD"/>
    <w:multiLevelType w:val="multilevel"/>
    <w:tmpl w:val="62BAFDC6"/>
    <w:lvl w:ilvl="0">
      <w:start w:val="1"/>
      <w:numFmt w:val="lowerLetter"/>
      <w:lvlText w:val="%1"/>
      <w:lvlJc w:val="left"/>
      <w:pPr>
        <w:ind w:left="3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start w:val="7"/>
      <w:numFmt w:val="decimal"/>
      <w:lvlText w:val="%1.%2."/>
      <w:lvlJc w:val="left"/>
      <w:pPr>
        <w:ind w:left="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9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1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3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5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7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9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1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2BB382E"/>
    <w:multiLevelType w:val="hybridMultilevel"/>
    <w:tmpl w:val="067C4176"/>
    <w:lvl w:ilvl="0" w:tplc="A3209332">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227D8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7481F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E0969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762D9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89AD4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BC662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B4122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CAB0A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6432987"/>
    <w:multiLevelType w:val="hybridMultilevel"/>
    <w:tmpl w:val="93A8027A"/>
    <w:lvl w:ilvl="0" w:tplc="60029066">
      <w:start w:val="1"/>
      <w:numFmt w:val="decimal"/>
      <w:lvlText w:val="%1"/>
      <w:lvlJc w:val="left"/>
      <w:pPr>
        <w:ind w:left="36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1" w:tplc="364A3FEA">
      <w:start w:val="2"/>
      <w:numFmt w:val="lowerLetter"/>
      <w:lvlRestart w:val="0"/>
      <w:lvlText w:val="%2)"/>
      <w:lvlJc w:val="left"/>
      <w:pPr>
        <w:ind w:left="72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2" w:tplc="3F3E9AA6">
      <w:start w:val="1"/>
      <w:numFmt w:val="lowerRoman"/>
      <w:lvlText w:val="%3"/>
      <w:lvlJc w:val="left"/>
      <w:pPr>
        <w:ind w:left="179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3" w:tplc="7FE6395A">
      <w:start w:val="1"/>
      <w:numFmt w:val="decimal"/>
      <w:lvlText w:val="%4"/>
      <w:lvlJc w:val="left"/>
      <w:pPr>
        <w:ind w:left="251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tplc="AD8C71F2">
      <w:start w:val="1"/>
      <w:numFmt w:val="lowerLetter"/>
      <w:lvlText w:val="%5"/>
      <w:lvlJc w:val="left"/>
      <w:pPr>
        <w:ind w:left="323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5" w:tplc="DA707308">
      <w:start w:val="1"/>
      <w:numFmt w:val="lowerRoman"/>
      <w:lvlText w:val="%6"/>
      <w:lvlJc w:val="left"/>
      <w:pPr>
        <w:ind w:left="395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6" w:tplc="8BA818BE">
      <w:start w:val="1"/>
      <w:numFmt w:val="decimal"/>
      <w:lvlText w:val="%7"/>
      <w:lvlJc w:val="left"/>
      <w:pPr>
        <w:ind w:left="467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tplc="9F60BD08">
      <w:start w:val="1"/>
      <w:numFmt w:val="lowerLetter"/>
      <w:lvlText w:val="%8"/>
      <w:lvlJc w:val="left"/>
      <w:pPr>
        <w:ind w:left="539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8" w:tplc="5FBC416A">
      <w:start w:val="1"/>
      <w:numFmt w:val="lowerRoman"/>
      <w:lvlText w:val="%9"/>
      <w:lvlJc w:val="left"/>
      <w:pPr>
        <w:ind w:left="611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abstractNum>
  <w:abstractNum w:abstractNumId="35" w15:restartNumberingAfterBreak="0">
    <w:nsid w:val="4AAA257E"/>
    <w:multiLevelType w:val="hybridMultilevel"/>
    <w:tmpl w:val="00BECE72"/>
    <w:lvl w:ilvl="0" w:tplc="9528B53C">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6C47F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2C8CF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C065F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32932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7CDE6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006AF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883A4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E470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4D9F0FE9"/>
    <w:multiLevelType w:val="hybridMultilevel"/>
    <w:tmpl w:val="3790174C"/>
    <w:lvl w:ilvl="0" w:tplc="11EE546A">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E24D48">
      <w:start w:val="1"/>
      <w:numFmt w:val="lowerLetter"/>
      <w:lvlText w:val="%2"/>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1A484A">
      <w:start w:val="1"/>
      <w:numFmt w:val="lowerRoman"/>
      <w:lvlText w:val="%3"/>
      <w:lvlJc w:val="left"/>
      <w:pPr>
        <w:ind w:left="1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A0C084">
      <w:start w:val="1"/>
      <w:numFmt w:val="decimal"/>
      <w:lvlText w:val="%4"/>
      <w:lvlJc w:val="left"/>
      <w:pPr>
        <w:ind w:left="2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9050EE">
      <w:start w:val="1"/>
      <w:numFmt w:val="lowerLetter"/>
      <w:lvlText w:val="%5"/>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9F63368">
      <w:start w:val="1"/>
      <w:numFmt w:val="lowerRoman"/>
      <w:lvlText w:val="%6"/>
      <w:lvlJc w:val="left"/>
      <w:pPr>
        <w:ind w:left="4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C8FC72">
      <w:start w:val="1"/>
      <w:numFmt w:val="decimal"/>
      <w:lvlText w:val="%7"/>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0C2C08">
      <w:start w:val="1"/>
      <w:numFmt w:val="lowerLetter"/>
      <w:lvlText w:val="%8"/>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C461C6">
      <w:start w:val="1"/>
      <w:numFmt w:val="lowerRoman"/>
      <w:lvlText w:val="%9"/>
      <w:lvlJc w:val="left"/>
      <w:pPr>
        <w:ind w:left="61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4DE92478"/>
    <w:multiLevelType w:val="hybridMultilevel"/>
    <w:tmpl w:val="70CCCE12"/>
    <w:lvl w:ilvl="0" w:tplc="379CB486">
      <w:start w:val="20"/>
      <w:numFmt w:val="decimal"/>
      <w:lvlText w:val="%1"/>
      <w:lvlJc w:val="left"/>
      <w:pPr>
        <w:ind w:left="6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19C4F566">
      <w:start w:val="1"/>
      <w:numFmt w:val="lowerLetter"/>
      <w:lvlText w:val="%2"/>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7D822E8">
      <w:start w:val="1"/>
      <w:numFmt w:val="lowerRoman"/>
      <w:lvlText w:val="%3"/>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93C2E44A">
      <w:start w:val="1"/>
      <w:numFmt w:val="decimal"/>
      <w:lvlText w:val="%4"/>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83061C26">
      <w:start w:val="1"/>
      <w:numFmt w:val="lowerLetter"/>
      <w:lvlText w:val="%5"/>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42FACEB8">
      <w:start w:val="1"/>
      <w:numFmt w:val="lowerRoman"/>
      <w:lvlText w:val="%6"/>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FC98D8CA">
      <w:start w:val="1"/>
      <w:numFmt w:val="decimal"/>
      <w:lvlText w:val="%7"/>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757481F6">
      <w:start w:val="1"/>
      <w:numFmt w:val="lowerLetter"/>
      <w:lvlText w:val="%8"/>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1E7271C0">
      <w:start w:val="1"/>
      <w:numFmt w:val="lowerRoman"/>
      <w:lvlText w:val="%9"/>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4E5F47DC"/>
    <w:multiLevelType w:val="multilevel"/>
    <w:tmpl w:val="F12E2F32"/>
    <w:lvl w:ilvl="0">
      <w:start w:val="1"/>
      <w:numFmt w:val="decimal"/>
      <w:lvlText w:val="%1"/>
      <w:lvlJc w:val="left"/>
      <w:pPr>
        <w:ind w:left="3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77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2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4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6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8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0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2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4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4EF96334"/>
    <w:multiLevelType w:val="multilevel"/>
    <w:tmpl w:val="F888FD96"/>
    <w:lvl w:ilvl="0">
      <w:start w:val="8"/>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3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22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decimal"/>
      <w:lvlText w:val="%1.%2.%3.%4.%5"/>
      <w:lvlJc w:val="left"/>
      <w:pPr>
        <w:ind w:left="3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28E5D53"/>
    <w:multiLevelType w:val="hybridMultilevel"/>
    <w:tmpl w:val="E870D5FE"/>
    <w:lvl w:ilvl="0" w:tplc="07F2141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361B64">
      <w:start w:val="1"/>
      <w:numFmt w:val="lowerLetter"/>
      <w:lvlText w:val="%2"/>
      <w:lvlJc w:val="left"/>
      <w:pPr>
        <w:ind w:left="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204D82">
      <w:start w:val="1"/>
      <w:numFmt w:val="lowerRoman"/>
      <w:lvlText w:val="%3"/>
      <w:lvlJc w:val="left"/>
      <w:pPr>
        <w:ind w:left="1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9AA10A">
      <w:start w:val="1"/>
      <w:numFmt w:val="lowerLetter"/>
      <w:lvlRestart w:val="0"/>
      <w:lvlText w:val="%4)"/>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8C8FAC">
      <w:start w:val="1"/>
      <w:numFmt w:val="lowerLetter"/>
      <w:lvlText w:val="%5"/>
      <w:lvlJc w:val="left"/>
      <w:pPr>
        <w:ind w:left="23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284FA6">
      <w:start w:val="1"/>
      <w:numFmt w:val="lowerRoman"/>
      <w:lvlText w:val="%6"/>
      <w:lvlJc w:val="left"/>
      <w:pPr>
        <w:ind w:left="30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D04C7AE">
      <w:start w:val="1"/>
      <w:numFmt w:val="decimal"/>
      <w:lvlText w:val="%7"/>
      <w:lvlJc w:val="left"/>
      <w:pPr>
        <w:ind w:left="3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9A2CD2">
      <w:start w:val="1"/>
      <w:numFmt w:val="lowerLetter"/>
      <w:lvlText w:val="%8"/>
      <w:lvlJc w:val="left"/>
      <w:pPr>
        <w:ind w:left="4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2ED7BE">
      <w:start w:val="1"/>
      <w:numFmt w:val="lowerRoman"/>
      <w:lvlText w:val="%9"/>
      <w:lvlJc w:val="left"/>
      <w:pPr>
        <w:ind w:left="5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5302438F"/>
    <w:multiLevelType w:val="multilevel"/>
    <w:tmpl w:val="FED82B26"/>
    <w:lvl w:ilvl="0">
      <w:start w:val="5"/>
      <w:numFmt w:val="lowerLetter"/>
      <w:lvlText w:val="%1)"/>
      <w:lvlJc w:val="left"/>
      <w:pPr>
        <w:ind w:left="17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5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1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3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5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7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9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1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3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54F9278D"/>
    <w:multiLevelType w:val="multilevel"/>
    <w:tmpl w:val="1FF67730"/>
    <w:lvl w:ilvl="0">
      <w:start w:val="1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11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590734F1"/>
    <w:multiLevelType w:val="hybridMultilevel"/>
    <w:tmpl w:val="69A694D2"/>
    <w:lvl w:ilvl="0" w:tplc="BB9CC502">
      <w:start w:val="17"/>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FC845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2C3B1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5A0C9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4E659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0A246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DE534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5C951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C0A6A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59751365"/>
    <w:multiLevelType w:val="multilevel"/>
    <w:tmpl w:val="79202E86"/>
    <w:lvl w:ilvl="0">
      <w:start w:val="1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4"/>
      <w:numFmt w:val="decimal"/>
      <w:lvlRestart w:val="0"/>
      <w:lvlText w:val="%1.%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5A4B32C6"/>
    <w:multiLevelType w:val="multilevel"/>
    <w:tmpl w:val="101A2034"/>
    <w:lvl w:ilvl="0">
      <w:start w:val="1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3"/>
      <w:numFmt w:val="decimal"/>
      <w:lvlText w:val="%1.%2"/>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5A762CE8"/>
    <w:multiLevelType w:val="multilevel"/>
    <w:tmpl w:val="0D7E1058"/>
    <w:lvl w:ilvl="0">
      <w:start w:val="18"/>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FFFF00"/>
        <w:vertAlign w:val="baseline"/>
      </w:rPr>
    </w:lvl>
    <w:lvl w:ilvl="1">
      <w:start w:val="1"/>
      <w:numFmt w:val="decimal"/>
      <w:lvlText w:val="%1.%2"/>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2">
      <w:start w:val="1"/>
      <w:numFmt w:val="decimal"/>
      <w:lvlText w:val="%1.%2.%3"/>
      <w:lvlJc w:val="left"/>
      <w:pPr>
        <w:ind w:left="1865"/>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3">
      <w:start w:val="1"/>
      <w:numFmt w:val="decimal"/>
      <w:lvlText w:val="%1.%2.%3.%4"/>
      <w:lvlJc w:val="left"/>
      <w:pPr>
        <w:ind w:left="2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5C4B6B93"/>
    <w:multiLevelType w:val="hybridMultilevel"/>
    <w:tmpl w:val="59BE5C76"/>
    <w:lvl w:ilvl="0" w:tplc="85C07A9A">
      <w:start w:val="1"/>
      <w:numFmt w:val="bullet"/>
      <w:lvlText w:val="-"/>
      <w:lvlJc w:val="left"/>
      <w:pPr>
        <w:ind w:left="149"/>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063ED874">
      <w:start w:val="1"/>
      <w:numFmt w:val="bullet"/>
      <w:lvlText w:val="o"/>
      <w:lvlJc w:val="left"/>
      <w:pPr>
        <w:ind w:left="119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8A685830">
      <w:start w:val="1"/>
      <w:numFmt w:val="bullet"/>
      <w:lvlText w:val="▪"/>
      <w:lvlJc w:val="left"/>
      <w:pPr>
        <w:ind w:left="191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AFEC6EAA">
      <w:start w:val="1"/>
      <w:numFmt w:val="bullet"/>
      <w:lvlText w:val="•"/>
      <w:lvlJc w:val="left"/>
      <w:pPr>
        <w:ind w:left="263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D45C64A2">
      <w:start w:val="1"/>
      <w:numFmt w:val="bullet"/>
      <w:lvlText w:val="o"/>
      <w:lvlJc w:val="left"/>
      <w:pPr>
        <w:ind w:left="335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F1E0A138">
      <w:start w:val="1"/>
      <w:numFmt w:val="bullet"/>
      <w:lvlText w:val="▪"/>
      <w:lvlJc w:val="left"/>
      <w:pPr>
        <w:ind w:left="407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842AAC3E">
      <w:start w:val="1"/>
      <w:numFmt w:val="bullet"/>
      <w:lvlText w:val="•"/>
      <w:lvlJc w:val="left"/>
      <w:pPr>
        <w:ind w:left="479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43C43A94">
      <w:start w:val="1"/>
      <w:numFmt w:val="bullet"/>
      <w:lvlText w:val="o"/>
      <w:lvlJc w:val="left"/>
      <w:pPr>
        <w:ind w:left="551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D10C7114">
      <w:start w:val="1"/>
      <w:numFmt w:val="bullet"/>
      <w:lvlText w:val="▪"/>
      <w:lvlJc w:val="left"/>
      <w:pPr>
        <w:ind w:left="623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5DC22D88"/>
    <w:multiLevelType w:val="hybridMultilevel"/>
    <w:tmpl w:val="100AA06C"/>
    <w:lvl w:ilvl="0" w:tplc="DA08F7A4">
      <w:start w:val="6"/>
      <w:numFmt w:val="decimal"/>
      <w:lvlText w:val="%1"/>
      <w:lvlJc w:val="left"/>
      <w:pPr>
        <w:ind w:left="6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C08DCEA">
      <w:start w:val="1"/>
      <w:numFmt w:val="lowerLetter"/>
      <w:lvlText w:val="%2"/>
      <w:lvlJc w:val="left"/>
      <w:pPr>
        <w:ind w:left="13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C287E6A">
      <w:start w:val="1"/>
      <w:numFmt w:val="lowerRoman"/>
      <w:lvlText w:val="%3"/>
      <w:lvlJc w:val="left"/>
      <w:pPr>
        <w:ind w:left="20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4F67C90">
      <w:start w:val="1"/>
      <w:numFmt w:val="decimal"/>
      <w:lvlText w:val="%4"/>
      <w:lvlJc w:val="left"/>
      <w:pPr>
        <w:ind w:left="28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20A2C2A">
      <w:start w:val="1"/>
      <w:numFmt w:val="lowerLetter"/>
      <w:lvlText w:val="%5"/>
      <w:lvlJc w:val="left"/>
      <w:pPr>
        <w:ind w:left="352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74888DA">
      <w:start w:val="1"/>
      <w:numFmt w:val="lowerRoman"/>
      <w:lvlText w:val="%6"/>
      <w:lvlJc w:val="left"/>
      <w:pPr>
        <w:ind w:left="42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8009CDE">
      <w:start w:val="1"/>
      <w:numFmt w:val="decimal"/>
      <w:lvlText w:val="%7"/>
      <w:lvlJc w:val="left"/>
      <w:pPr>
        <w:ind w:left="49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A6E367C">
      <w:start w:val="1"/>
      <w:numFmt w:val="lowerLetter"/>
      <w:lvlText w:val="%8"/>
      <w:lvlJc w:val="left"/>
      <w:pPr>
        <w:ind w:left="56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9DA092E">
      <w:start w:val="1"/>
      <w:numFmt w:val="lowerRoman"/>
      <w:lvlText w:val="%9"/>
      <w:lvlJc w:val="left"/>
      <w:pPr>
        <w:ind w:left="64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5F7D7676"/>
    <w:multiLevelType w:val="hybridMultilevel"/>
    <w:tmpl w:val="A27CF8B6"/>
    <w:lvl w:ilvl="0" w:tplc="15048166">
      <w:start w:val="1"/>
      <w:numFmt w:val="bullet"/>
      <w:lvlText w:val="-"/>
      <w:lvlJc w:val="left"/>
      <w:pPr>
        <w:ind w:left="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9D5EC0A4">
      <w:start w:val="1"/>
      <w:numFmt w:val="bullet"/>
      <w:lvlText w:val="o"/>
      <w:lvlJc w:val="left"/>
      <w:pPr>
        <w:ind w:left="119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F8128E66">
      <w:start w:val="1"/>
      <w:numFmt w:val="bullet"/>
      <w:lvlText w:val="▪"/>
      <w:lvlJc w:val="left"/>
      <w:pPr>
        <w:ind w:left="191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60BA2D88">
      <w:start w:val="1"/>
      <w:numFmt w:val="bullet"/>
      <w:lvlText w:val="•"/>
      <w:lvlJc w:val="left"/>
      <w:pPr>
        <w:ind w:left="263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07CC6DDC">
      <w:start w:val="1"/>
      <w:numFmt w:val="bullet"/>
      <w:lvlText w:val="o"/>
      <w:lvlJc w:val="left"/>
      <w:pPr>
        <w:ind w:left="335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1936775A">
      <w:start w:val="1"/>
      <w:numFmt w:val="bullet"/>
      <w:lvlText w:val="▪"/>
      <w:lvlJc w:val="left"/>
      <w:pPr>
        <w:ind w:left="407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21CE48BA">
      <w:start w:val="1"/>
      <w:numFmt w:val="bullet"/>
      <w:lvlText w:val="•"/>
      <w:lvlJc w:val="left"/>
      <w:pPr>
        <w:ind w:left="479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9826969C">
      <w:start w:val="1"/>
      <w:numFmt w:val="bullet"/>
      <w:lvlText w:val="o"/>
      <w:lvlJc w:val="left"/>
      <w:pPr>
        <w:ind w:left="551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49C45598">
      <w:start w:val="1"/>
      <w:numFmt w:val="bullet"/>
      <w:lvlText w:val="▪"/>
      <w:lvlJc w:val="left"/>
      <w:pPr>
        <w:ind w:left="623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5FB16708"/>
    <w:multiLevelType w:val="hybridMultilevel"/>
    <w:tmpl w:val="F0D84C28"/>
    <w:lvl w:ilvl="0" w:tplc="05B661F6">
      <w:start w:val="24"/>
      <w:numFmt w:val="decimal"/>
      <w:lvlText w:val="%1"/>
      <w:lvlJc w:val="left"/>
      <w:pPr>
        <w:ind w:left="540"/>
      </w:pPr>
      <w:rPr>
        <w:rFonts w:ascii="Arial" w:eastAsia="Arial" w:hAnsi="Arial" w:cs="Arial"/>
        <w:b/>
        <w:bCs/>
        <w:i w:val="0"/>
        <w:strike w:val="0"/>
        <w:dstrike w:val="0"/>
        <w:color w:val="FF0000"/>
        <w:sz w:val="20"/>
        <w:szCs w:val="20"/>
        <w:u w:val="none" w:color="000000"/>
        <w:bdr w:val="none" w:sz="0" w:space="0" w:color="auto"/>
        <w:shd w:val="clear" w:color="auto" w:fill="auto"/>
        <w:vertAlign w:val="baseline"/>
      </w:rPr>
    </w:lvl>
    <w:lvl w:ilvl="1" w:tplc="88C6B98A">
      <w:start w:val="1"/>
      <w:numFmt w:val="lowerLetter"/>
      <w:lvlText w:val="%2"/>
      <w:lvlJc w:val="left"/>
      <w:pPr>
        <w:ind w:left="1080"/>
      </w:pPr>
      <w:rPr>
        <w:rFonts w:ascii="Arial" w:eastAsia="Arial" w:hAnsi="Arial" w:cs="Arial"/>
        <w:b/>
        <w:bCs/>
        <w:i w:val="0"/>
        <w:strike w:val="0"/>
        <w:dstrike w:val="0"/>
        <w:color w:val="FF0000"/>
        <w:sz w:val="20"/>
        <w:szCs w:val="20"/>
        <w:u w:val="none" w:color="000000"/>
        <w:bdr w:val="none" w:sz="0" w:space="0" w:color="auto"/>
        <w:shd w:val="clear" w:color="auto" w:fill="auto"/>
        <w:vertAlign w:val="baseline"/>
      </w:rPr>
    </w:lvl>
    <w:lvl w:ilvl="2" w:tplc="9B56DFA0">
      <w:start w:val="1"/>
      <w:numFmt w:val="lowerRoman"/>
      <w:lvlText w:val="%3"/>
      <w:lvlJc w:val="left"/>
      <w:pPr>
        <w:ind w:left="1800"/>
      </w:pPr>
      <w:rPr>
        <w:rFonts w:ascii="Arial" w:eastAsia="Arial" w:hAnsi="Arial" w:cs="Arial"/>
        <w:b/>
        <w:bCs/>
        <w:i w:val="0"/>
        <w:strike w:val="0"/>
        <w:dstrike w:val="0"/>
        <w:color w:val="FF0000"/>
        <w:sz w:val="20"/>
        <w:szCs w:val="20"/>
        <w:u w:val="none" w:color="000000"/>
        <w:bdr w:val="none" w:sz="0" w:space="0" w:color="auto"/>
        <w:shd w:val="clear" w:color="auto" w:fill="auto"/>
        <w:vertAlign w:val="baseline"/>
      </w:rPr>
    </w:lvl>
    <w:lvl w:ilvl="3" w:tplc="AA7A9B3A">
      <w:start w:val="1"/>
      <w:numFmt w:val="decimal"/>
      <w:lvlText w:val="%4"/>
      <w:lvlJc w:val="left"/>
      <w:pPr>
        <w:ind w:left="2520"/>
      </w:pPr>
      <w:rPr>
        <w:rFonts w:ascii="Arial" w:eastAsia="Arial" w:hAnsi="Arial" w:cs="Arial"/>
        <w:b/>
        <w:bCs/>
        <w:i w:val="0"/>
        <w:strike w:val="0"/>
        <w:dstrike w:val="0"/>
        <w:color w:val="FF0000"/>
        <w:sz w:val="20"/>
        <w:szCs w:val="20"/>
        <w:u w:val="none" w:color="000000"/>
        <w:bdr w:val="none" w:sz="0" w:space="0" w:color="auto"/>
        <w:shd w:val="clear" w:color="auto" w:fill="auto"/>
        <w:vertAlign w:val="baseline"/>
      </w:rPr>
    </w:lvl>
    <w:lvl w:ilvl="4" w:tplc="9DEE5F54">
      <w:start w:val="1"/>
      <w:numFmt w:val="lowerLetter"/>
      <w:lvlText w:val="%5"/>
      <w:lvlJc w:val="left"/>
      <w:pPr>
        <w:ind w:left="3240"/>
      </w:pPr>
      <w:rPr>
        <w:rFonts w:ascii="Arial" w:eastAsia="Arial" w:hAnsi="Arial" w:cs="Arial"/>
        <w:b/>
        <w:bCs/>
        <w:i w:val="0"/>
        <w:strike w:val="0"/>
        <w:dstrike w:val="0"/>
        <w:color w:val="FF0000"/>
        <w:sz w:val="20"/>
        <w:szCs w:val="20"/>
        <w:u w:val="none" w:color="000000"/>
        <w:bdr w:val="none" w:sz="0" w:space="0" w:color="auto"/>
        <w:shd w:val="clear" w:color="auto" w:fill="auto"/>
        <w:vertAlign w:val="baseline"/>
      </w:rPr>
    </w:lvl>
    <w:lvl w:ilvl="5" w:tplc="A7700872">
      <w:start w:val="1"/>
      <w:numFmt w:val="lowerRoman"/>
      <w:lvlText w:val="%6"/>
      <w:lvlJc w:val="left"/>
      <w:pPr>
        <w:ind w:left="3960"/>
      </w:pPr>
      <w:rPr>
        <w:rFonts w:ascii="Arial" w:eastAsia="Arial" w:hAnsi="Arial" w:cs="Arial"/>
        <w:b/>
        <w:bCs/>
        <w:i w:val="0"/>
        <w:strike w:val="0"/>
        <w:dstrike w:val="0"/>
        <w:color w:val="FF0000"/>
        <w:sz w:val="20"/>
        <w:szCs w:val="20"/>
        <w:u w:val="none" w:color="000000"/>
        <w:bdr w:val="none" w:sz="0" w:space="0" w:color="auto"/>
        <w:shd w:val="clear" w:color="auto" w:fill="auto"/>
        <w:vertAlign w:val="baseline"/>
      </w:rPr>
    </w:lvl>
    <w:lvl w:ilvl="6" w:tplc="55AAC56E">
      <w:start w:val="1"/>
      <w:numFmt w:val="decimal"/>
      <w:lvlText w:val="%7"/>
      <w:lvlJc w:val="left"/>
      <w:pPr>
        <w:ind w:left="4680"/>
      </w:pPr>
      <w:rPr>
        <w:rFonts w:ascii="Arial" w:eastAsia="Arial" w:hAnsi="Arial" w:cs="Arial"/>
        <w:b/>
        <w:bCs/>
        <w:i w:val="0"/>
        <w:strike w:val="0"/>
        <w:dstrike w:val="0"/>
        <w:color w:val="FF0000"/>
        <w:sz w:val="20"/>
        <w:szCs w:val="20"/>
        <w:u w:val="none" w:color="000000"/>
        <w:bdr w:val="none" w:sz="0" w:space="0" w:color="auto"/>
        <w:shd w:val="clear" w:color="auto" w:fill="auto"/>
        <w:vertAlign w:val="baseline"/>
      </w:rPr>
    </w:lvl>
    <w:lvl w:ilvl="7" w:tplc="C7C09F7E">
      <w:start w:val="1"/>
      <w:numFmt w:val="lowerLetter"/>
      <w:lvlText w:val="%8"/>
      <w:lvlJc w:val="left"/>
      <w:pPr>
        <w:ind w:left="5400"/>
      </w:pPr>
      <w:rPr>
        <w:rFonts w:ascii="Arial" w:eastAsia="Arial" w:hAnsi="Arial" w:cs="Arial"/>
        <w:b/>
        <w:bCs/>
        <w:i w:val="0"/>
        <w:strike w:val="0"/>
        <w:dstrike w:val="0"/>
        <w:color w:val="FF0000"/>
        <w:sz w:val="20"/>
        <w:szCs w:val="20"/>
        <w:u w:val="none" w:color="000000"/>
        <w:bdr w:val="none" w:sz="0" w:space="0" w:color="auto"/>
        <w:shd w:val="clear" w:color="auto" w:fill="auto"/>
        <w:vertAlign w:val="baseline"/>
      </w:rPr>
    </w:lvl>
    <w:lvl w:ilvl="8" w:tplc="0FC2F770">
      <w:start w:val="1"/>
      <w:numFmt w:val="lowerRoman"/>
      <w:lvlText w:val="%9"/>
      <w:lvlJc w:val="left"/>
      <w:pPr>
        <w:ind w:left="6120"/>
      </w:pPr>
      <w:rPr>
        <w:rFonts w:ascii="Arial" w:eastAsia="Arial" w:hAnsi="Arial" w:cs="Arial"/>
        <w:b/>
        <w:bCs/>
        <w:i w:val="0"/>
        <w:strike w:val="0"/>
        <w:dstrike w:val="0"/>
        <w:color w:val="FF0000"/>
        <w:sz w:val="20"/>
        <w:szCs w:val="20"/>
        <w:u w:val="none" w:color="000000"/>
        <w:bdr w:val="none" w:sz="0" w:space="0" w:color="auto"/>
        <w:shd w:val="clear" w:color="auto" w:fill="auto"/>
        <w:vertAlign w:val="baseline"/>
      </w:rPr>
    </w:lvl>
  </w:abstractNum>
  <w:abstractNum w:abstractNumId="51" w15:restartNumberingAfterBreak="0">
    <w:nsid w:val="610A120D"/>
    <w:multiLevelType w:val="hybridMultilevel"/>
    <w:tmpl w:val="511E7B08"/>
    <w:lvl w:ilvl="0" w:tplc="788625D6">
      <w:start w:val="9"/>
      <w:numFmt w:val="decimal"/>
      <w:lvlText w:val="%1"/>
      <w:lvlJc w:val="left"/>
      <w:pPr>
        <w:ind w:left="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FA66F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4EF40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A424B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66B81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36B45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C6AF71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86300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F6C6A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64211464"/>
    <w:multiLevelType w:val="hybridMultilevel"/>
    <w:tmpl w:val="D0503E2C"/>
    <w:lvl w:ilvl="0" w:tplc="B3369BCE">
      <w:start w:val="1"/>
      <w:numFmt w:val="decimal"/>
      <w:lvlText w:val="%1."/>
      <w:lvlJc w:val="left"/>
      <w:pPr>
        <w:ind w:left="1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BDACE01A">
      <w:start w:val="1"/>
      <w:numFmt w:val="lowerLetter"/>
      <w:lvlText w:val="%2"/>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D2F0F916">
      <w:start w:val="1"/>
      <w:numFmt w:val="lowerRoman"/>
      <w:lvlText w:val="%3"/>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4A480CDC">
      <w:start w:val="1"/>
      <w:numFmt w:val="decimal"/>
      <w:lvlText w:val="%4"/>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A7527F60">
      <w:start w:val="1"/>
      <w:numFmt w:val="lowerLetter"/>
      <w:lvlText w:val="%5"/>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FD8CB16C">
      <w:start w:val="1"/>
      <w:numFmt w:val="lowerRoman"/>
      <w:lvlText w:val="%6"/>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16369810">
      <w:start w:val="1"/>
      <w:numFmt w:val="decimal"/>
      <w:lvlText w:val="%7"/>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0F1619F4">
      <w:start w:val="1"/>
      <w:numFmt w:val="lowerLetter"/>
      <w:lvlText w:val="%8"/>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1C94A59A">
      <w:start w:val="1"/>
      <w:numFmt w:val="lowerRoman"/>
      <w:lvlText w:val="%9"/>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643D336C"/>
    <w:multiLevelType w:val="hybridMultilevel"/>
    <w:tmpl w:val="F06C02F8"/>
    <w:lvl w:ilvl="0" w:tplc="5BA67B90">
      <w:start w:val="2"/>
      <w:numFmt w:val="decimal"/>
      <w:lvlText w:val="%1)"/>
      <w:lvlJc w:val="left"/>
      <w:pPr>
        <w:ind w:left="1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0EC44E">
      <w:start w:val="1"/>
      <w:numFmt w:val="lowerLetter"/>
      <w:lvlText w:val="%2"/>
      <w:lvlJc w:val="left"/>
      <w:pPr>
        <w:ind w:left="2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82FD0C">
      <w:start w:val="1"/>
      <w:numFmt w:val="lowerRoman"/>
      <w:lvlText w:val="%3"/>
      <w:lvlJc w:val="left"/>
      <w:pPr>
        <w:ind w:left="3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F5A6A58">
      <w:start w:val="1"/>
      <w:numFmt w:val="decimal"/>
      <w:lvlText w:val="%4"/>
      <w:lvlJc w:val="left"/>
      <w:pPr>
        <w:ind w:left="3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260D48">
      <w:start w:val="1"/>
      <w:numFmt w:val="lowerLetter"/>
      <w:lvlText w:val="%5"/>
      <w:lvlJc w:val="left"/>
      <w:pPr>
        <w:ind w:left="4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822B4E">
      <w:start w:val="1"/>
      <w:numFmt w:val="lowerRoman"/>
      <w:lvlText w:val="%6"/>
      <w:lvlJc w:val="left"/>
      <w:pPr>
        <w:ind w:left="5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8EC6FC0">
      <w:start w:val="1"/>
      <w:numFmt w:val="decimal"/>
      <w:lvlText w:val="%7"/>
      <w:lvlJc w:val="left"/>
      <w:pPr>
        <w:ind w:left="6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20566C">
      <w:start w:val="1"/>
      <w:numFmt w:val="lowerLetter"/>
      <w:lvlText w:val="%8"/>
      <w:lvlJc w:val="left"/>
      <w:pPr>
        <w:ind w:left="6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0C9162">
      <w:start w:val="1"/>
      <w:numFmt w:val="lowerRoman"/>
      <w:lvlText w:val="%9"/>
      <w:lvlJc w:val="left"/>
      <w:pPr>
        <w:ind w:left="7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647F3749"/>
    <w:multiLevelType w:val="multilevel"/>
    <w:tmpl w:val="7200EBCC"/>
    <w:lvl w:ilvl="0">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6A882C13"/>
    <w:multiLevelType w:val="multilevel"/>
    <w:tmpl w:val="02B05280"/>
    <w:lvl w:ilvl="0">
      <w:start w:val="1"/>
      <w:numFmt w:val="lowerLetter"/>
      <w:lvlText w:val="%1)"/>
      <w:lvlJc w:val="left"/>
      <w:pPr>
        <w:ind w:left="23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3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5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6B574987"/>
    <w:multiLevelType w:val="multilevel"/>
    <w:tmpl w:val="10ACD244"/>
    <w:lvl w:ilvl="0">
      <w:start w:val="1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34"/>
      <w:numFmt w:val="decimal"/>
      <w:lvlRestart w:val="0"/>
      <w:lvlText w:val="%1.%2"/>
      <w:lvlJc w:val="left"/>
      <w:pPr>
        <w:ind w:left="1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6C695087"/>
    <w:multiLevelType w:val="multilevel"/>
    <w:tmpl w:val="081C964A"/>
    <w:lvl w:ilvl="0">
      <w:start w:val="10"/>
      <w:numFmt w:val="lowerLetter"/>
      <w:lvlText w:val="%1"/>
      <w:lvlJc w:val="left"/>
      <w:pPr>
        <w:ind w:left="3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3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20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6D3A2763"/>
    <w:multiLevelType w:val="hybridMultilevel"/>
    <w:tmpl w:val="530C7D80"/>
    <w:lvl w:ilvl="0" w:tplc="2C005ECC">
      <w:start w:val="1"/>
      <w:numFmt w:val="upperRoman"/>
      <w:lvlText w:val="%1"/>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E4FAF0">
      <w:start w:val="1"/>
      <w:numFmt w:val="lowerLetter"/>
      <w:lvlText w:val="%2"/>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DA328A">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EE72EA">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52E66C">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C03140">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A896DE">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E61A02">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E6A42E4">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6DA816C2"/>
    <w:multiLevelType w:val="hybridMultilevel"/>
    <w:tmpl w:val="979E0F60"/>
    <w:lvl w:ilvl="0" w:tplc="18E2EE42">
      <w:start w:val="1"/>
      <w:numFmt w:val="upperRoman"/>
      <w:lvlText w:val="%1"/>
      <w:lvlJc w:val="left"/>
      <w:pPr>
        <w:ind w:left="22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F028C1AC">
      <w:start w:val="1"/>
      <w:numFmt w:val="lowerLetter"/>
      <w:lvlText w:val="%2"/>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9E489FC8">
      <w:start w:val="1"/>
      <w:numFmt w:val="lowerRoman"/>
      <w:lvlText w:val="%3"/>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2E3C2CF0">
      <w:start w:val="1"/>
      <w:numFmt w:val="decimal"/>
      <w:lvlText w:val="%4"/>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49E431C6">
      <w:start w:val="1"/>
      <w:numFmt w:val="lowerLetter"/>
      <w:lvlText w:val="%5"/>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C8342C1A">
      <w:start w:val="1"/>
      <w:numFmt w:val="lowerRoman"/>
      <w:lvlText w:val="%6"/>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2B3ACA94">
      <w:start w:val="1"/>
      <w:numFmt w:val="decimal"/>
      <w:lvlText w:val="%7"/>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029C7B74">
      <w:start w:val="1"/>
      <w:numFmt w:val="lowerLetter"/>
      <w:lvlText w:val="%8"/>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AA2268BC">
      <w:start w:val="1"/>
      <w:numFmt w:val="lowerRoman"/>
      <w:lvlText w:val="%9"/>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6F277B9F"/>
    <w:multiLevelType w:val="hybridMultilevel"/>
    <w:tmpl w:val="B7B2D012"/>
    <w:lvl w:ilvl="0" w:tplc="FFAAB5A8">
      <w:start w:val="1"/>
      <w:numFmt w:val="lowerLetter"/>
      <w:lvlText w:val="%1)"/>
      <w:lvlJc w:val="left"/>
      <w:pPr>
        <w:ind w:left="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A24ED6">
      <w:start w:val="1"/>
      <w:numFmt w:val="lowerLetter"/>
      <w:lvlText w:val="%2"/>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023380">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C64132">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7007EE">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E2B968">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888BC6">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6CCD90">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2623FE">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6F42068B"/>
    <w:multiLevelType w:val="hybridMultilevel"/>
    <w:tmpl w:val="5754B042"/>
    <w:lvl w:ilvl="0" w:tplc="5562129A">
      <w:start w:val="9"/>
      <w:numFmt w:val="decimal"/>
      <w:lvlText w:val="%1."/>
      <w:lvlJc w:val="left"/>
      <w:pPr>
        <w:ind w:left="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34719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3E491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DA2DF5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70675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CA2CB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420BE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1AE7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288BC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71A51E4B"/>
    <w:multiLevelType w:val="hybridMultilevel"/>
    <w:tmpl w:val="C3AAD94C"/>
    <w:lvl w:ilvl="0" w:tplc="C5502ABC">
      <w:start w:val="1"/>
      <w:numFmt w:val="lowerLetter"/>
      <w:lvlText w:val="%1)"/>
      <w:lvlJc w:val="left"/>
      <w:pPr>
        <w:ind w:left="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70DA8E">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BEA8954">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82FA7C">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4EF050">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A25982">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0EAF14">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5AE884">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602C10">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783D1195"/>
    <w:multiLevelType w:val="hybridMultilevel"/>
    <w:tmpl w:val="8714907A"/>
    <w:lvl w:ilvl="0" w:tplc="15EA1048">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ECB1E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A3CB4A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525E3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EE665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92097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6C0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B0A3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47629D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789419F7"/>
    <w:multiLevelType w:val="multilevel"/>
    <w:tmpl w:val="AD2A92D0"/>
    <w:lvl w:ilvl="0">
      <w:start w:val="1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21"/>
      <w:numFmt w:val="decimal"/>
      <w:lvlRestart w:val="0"/>
      <w:lvlText w:val="%1.%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5" w15:restartNumberingAfterBreak="0">
    <w:nsid w:val="7CD377B3"/>
    <w:multiLevelType w:val="hybridMultilevel"/>
    <w:tmpl w:val="DAD6EEC8"/>
    <w:lvl w:ilvl="0" w:tplc="006473EE">
      <w:start w:val="1"/>
      <w:numFmt w:val="decimal"/>
      <w:lvlText w:val="%1."/>
      <w:lvlJc w:val="left"/>
      <w:pPr>
        <w:ind w:left="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1450A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AC3E8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18935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ACF4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C47F8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98F6C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36AF6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1231E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7D2D7F96"/>
    <w:multiLevelType w:val="hybridMultilevel"/>
    <w:tmpl w:val="EA4CEA0A"/>
    <w:lvl w:ilvl="0" w:tplc="070A6718">
      <w:start w:val="1"/>
      <w:numFmt w:val="lowerLetter"/>
      <w:lvlText w:val="%1)"/>
      <w:lvlJc w:val="left"/>
      <w:pPr>
        <w:ind w:left="2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B4060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5A2C4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F6C1E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9EAFC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B0E85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C18C98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F6456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C6992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7DE0609C"/>
    <w:multiLevelType w:val="multilevel"/>
    <w:tmpl w:val="3822FBBA"/>
    <w:lvl w:ilvl="0">
      <w:start w:val="2"/>
      <w:numFmt w:val="lowerLetter"/>
      <w:lvlText w:val="%1)"/>
      <w:lvlJc w:val="left"/>
      <w:pPr>
        <w:ind w:left="59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49"/>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6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8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0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2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4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6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8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7E903819"/>
    <w:multiLevelType w:val="hybridMultilevel"/>
    <w:tmpl w:val="AB06ADBE"/>
    <w:lvl w:ilvl="0" w:tplc="E40E7886">
      <w:start w:val="11"/>
      <w:numFmt w:val="lowerLetter"/>
      <w:lvlText w:val="%1"/>
      <w:lvlJc w:val="left"/>
      <w:pPr>
        <w:ind w:left="1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3B7C5C54">
      <w:start w:val="1"/>
      <w:numFmt w:val="lowerLetter"/>
      <w:lvlText w:val="%2"/>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7D20DB46">
      <w:start w:val="1"/>
      <w:numFmt w:val="lowerRoman"/>
      <w:lvlText w:val="%3"/>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BB961882">
      <w:start w:val="1"/>
      <w:numFmt w:val="decimal"/>
      <w:lvlText w:val="%4"/>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70AABD50">
      <w:start w:val="1"/>
      <w:numFmt w:val="lowerLetter"/>
      <w:lvlText w:val="%5"/>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498E2C94">
      <w:start w:val="1"/>
      <w:numFmt w:val="lowerRoman"/>
      <w:lvlText w:val="%6"/>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926CCA84">
      <w:start w:val="1"/>
      <w:numFmt w:val="decimal"/>
      <w:lvlText w:val="%7"/>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E7E868FA">
      <w:start w:val="1"/>
      <w:numFmt w:val="lowerLetter"/>
      <w:lvlText w:val="%8"/>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D098D144">
      <w:start w:val="1"/>
      <w:numFmt w:val="lowerRoman"/>
      <w:lvlText w:val="%9"/>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num w:numId="1">
    <w:abstractNumId w:val="65"/>
  </w:num>
  <w:num w:numId="2">
    <w:abstractNumId w:val="51"/>
  </w:num>
  <w:num w:numId="3">
    <w:abstractNumId w:val="37"/>
  </w:num>
  <w:num w:numId="4">
    <w:abstractNumId w:val="20"/>
  </w:num>
  <w:num w:numId="5">
    <w:abstractNumId w:val="11"/>
  </w:num>
  <w:num w:numId="6">
    <w:abstractNumId w:val="7"/>
  </w:num>
  <w:num w:numId="7">
    <w:abstractNumId w:val="39"/>
  </w:num>
  <w:num w:numId="8">
    <w:abstractNumId w:val="15"/>
  </w:num>
  <w:num w:numId="9">
    <w:abstractNumId w:val="52"/>
  </w:num>
  <w:num w:numId="10">
    <w:abstractNumId w:val="46"/>
  </w:num>
  <w:num w:numId="11">
    <w:abstractNumId w:val="22"/>
  </w:num>
  <w:num w:numId="12">
    <w:abstractNumId w:val="0"/>
  </w:num>
  <w:num w:numId="13">
    <w:abstractNumId w:val="1"/>
  </w:num>
  <w:num w:numId="14">
    <w:abstractNumId w:val="38"/>
  </w:num>
  <w:num w:numId="15">
    <w:abstractNumId w:val="6"/>
  </w:num>
  <w:num w:numId="16">
    <w:abstractNumId w:val="48"/>
  </w:num>
  <w:num w:numId="17">
    <w:abstractNumId w:val="41"/>
  </w:num>
  <w:num w:numId="18">
    <w:abstractNumId w:val="55"/>
  </w:num>
  <w:num w:numId="19">
    <w:abstractNumId w:val="27"/>
  </w:num>
  <w:num w:numId="20">
    <w:abstractNumId w:val="57"/>
  </w:num>
  <w:num w:numId="21">
    <w:abstractNumId w:val="68"/>
  </w:num>
  <w:num w:numId="22">
    <w:abstractNumId w:val="58"/>
  </w:num>
  <w:num w:numId="23">
    <w:abstractNumId w:val="44"/>
  </w:num>
  <w:num w:numId="24">
    <w:abstractNumId w:val="10"/>
  </w:num>
  <w:num w:numId="25">
    <w:abstractNumId w:val="42"/>
  </w:num>
  <w:num w:numId="26">
    <w:abstractNumId w:val="4"/>
  </w:num>
  <w:num w:numId="27">
    <w:abstractNumId w:val="40"/>
  </w:num>
  <w:num w:numId="28">
    <w:abstractNumId w:val="21"/>
  </w:num>
  <w:num w:numId="29">
    <w:abstractNumId w:val="18"/>
  </w:num>
  <w:num w:numId="30">
    <w:abstractNumId w:val="13"/>
  </w:num>
  <w:num w:numId="31">
    <w:abstractNumId w:val="62"/>
  </w:num>
  <w:num w:numId="32">
    <w:abstractNumId w:val="60"/>
  </w:num>
  <w:num w:numId="33">
    <w:abstractNumId w:val="14"/>
  </w:num>
  <w:num w:numId="34">
    <w:abstractNumId w:val="64"/>
  </w:num>
  <w:num w:numId="35">
    <w:abstractNumId w:val="45"/>
  </w:num>
  <w:num w:numId="36">
    <w:abstractNumId w:val="56"/>
  </w:num>
  <w:num w:numId="37">
    <w:abstractNumId w:val="12"/>
  </w:num>
  <w:num w:numId="38">
    <w:abstractNumId w:val="34"/>
  </w:num>
  <w:num w:numId="39">
    <w:abstractNumId w:val="3"/>
  </w:num>
  <w:num w:numId="40">
    <w:abstractNumId w:val="19"/>
  </w:num>
  <w:num w:numId="41">
    <w:abstractNumId w:val="67"/>
  </w:num>
  <w:num w:numId="42">
    <w:abstractNumId w:val="50"/>
  </w:num>
  <w:num w:numId="43">
    <w:abstractNumId w:val="5"/>
  </w:num>
  <w:num w:numId="44">
    <w:abstractNumId w:val="28"/>
  </w:num>
  <w:num w:numId="45">
    <w:abstractNumId w:val="33"/>
  </w:num>
  <w:num w:numId="46">
    <w:abstractNumId w:val="8"/>
  </w:num>
  <w:num w:numId="47">
    <w:abstractNumId w:val="59"/>
  </w:num>
  <w:num w:numId="48">
    <w:abstractNumId w:val="30"/>
  </w:num>
  <w:num w:numId="49">
    <w:abstractNumId w:val="53"/>
  </w:num>
  <w:num w:numId="50">
    <w:abstractNumId w:val="66"/>
  </w:num>
  <w:num w:numId="51">
    <w:abstractNumId w:val="43"/>
  </w:num>
  <w:num w:numId="52">
    <w:abstractNumId w:val="23"/>
  </w:num>
  <w:num w:numId="53">
    <w:abstractNumId w:val="2"/>
  </w:num>
  <w:num w:numId="54">
    <w:abstractNumId w:val="26"/>
  </w:num>
  <w:num w:numId="55">
    <w:abstractNumId w:val="54"/>
  </w:num>
  <w:num w:numId="56">
    <w:abstractNumId w:val="35"/>
  </w:num>
  <w:num w:numId="57">
    <w:abstractNumId w:val="61"/>
  </w:num>
  <w:num w:numId="58">
    <w:abstractNumId w:val="63"/>
  </w:num>
  <w:num w:numId="59">
    <w:abstractNumId w:val="47"/>
  </w:num>
  <w:num w:numId="60">
    <w:abstractNumId w:val="25"/>
  </w:num>
  <w:num w:numId="61">
    <w:abstractNumId w:val="49"/>
  </w:num>
  <w:num w:numId="62">
    <w:abstractNumId w:val="16"/>
  </w:num>
  <w:num w:numId="63">
    <w:abstractNumId w:val="31"/>
  </w:num>
  <w:num w:numId="64">
    <w:abstractNumId w:val="32"/>
  </w:num>
  <w:num w:numId="65">
    <w:abstractNumId w:val="17"/>
  </w:num>
  <w:num w:numId="66">
    <w:abstractNumId w:val="24"/>
  </w:num>
  <w:num w:numId="67">
    <w:abstractNumId w:val="9"/>
  </w:num>
  <w:num w:numId="68">
    <w:abstractNumId w:val="29"/>
  </w:num>
  <w:num w:numId="69">
    <w:abstractNumId w:val="3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45C"/>
    <w:rsid w:val="006C145C"/>
    <w:rsid w:val="00C62E5A"/>
    <w:rsid w:val="00EC54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DCFF7A-6B29-4770-810D-B78D97F1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har"/>
    <w:uiPriority w:val="9"/>
    <w:unhideWhenUsed/>
    <w:qFormat/>
    <w:pPr>
      <w:keepNext/>
      <w:keepLines/>
      <w:spacing w:after="136" w:line="265" w:lineRule="auto"/>
      <w:ind w:left="1866" w:hanging="10"/>
      <w:outlineLvl w:val="0"/>
    </w:pPr>
    <w:rPr>
      <w:rFonts w:ascii="Arial" w:eastAsia="Arial" w:hAnsi="Arial" w:cs="Arial"/>
      <w:b/>
      <w:color w:val="FF0000"/>
      <w:sz w:val="20"/>
    </w:rPr>
  </w:style>
  <w:style w:type="paragraph" w:styleId="Ttulo2">
    <w:name w:val="heading 2"/>
    <w:next w:val="Normal"/>
    <w:link w:val="Ttulo2Char"/>
    <w:uiPriority w:val="9"/>
    <w:unhideWhenUsed/>
    <w:qFormat/>
    <w:pPr>
      <w:keepNext/>
      <w:keepLines/>
      <w:spacing w:after="0" w:line="265" w:lineRule="auto"/>
      <w:ind w:left="1020" w:hanging="10"/>
      <w:jc w:val="center"/>
      <w:outlineLvl w:val="1"/>
    </w:pPr>
    <w:rPr>
      <w:rFonts w:ascii="Arial" w:eastAsia="Arial" w:hAnsi="Arial" w:cs="Arial"/>
      <w:b/>
      <w:color w:val="000000"/>
      <w:sz w:val="20"/>
    </w:rPr>
  </w:style>
  <w:style w:type="paragraph" w:styleId="Ttulo3">
    <w:name w:val="heading 3"/>
    <w:next w:val="Normal"/>
    <w:link w:val="Ttulo3Char"/>
    <w:uiPriority w:val="9"/>
    <w:unhideWhenUsed/>
    <w:qFormat/>
    <w:pPr>
      <w:keepNext/>
      <w:keepLines/>
      <w:spacing w:after="0" w:line="265" w:lineRule="auto"/>
      <w:ind w:left="1020" w:hanging="10"/>
      <w:jc w:val="center"/>
      <w:outlineLvl w:val="2"/>
    </w:pPr>
    <w:rPr>
      <w:rFonts w:ascii="Arial" w:eastAsia="Arial" w:hAnsi="Arial" w:cs="Arial"/>
      <w:b/>
      <w:color w:val="000000"/>
      <w:sz w:val="20"/>
    </w:rPr>
  </w:style>
  <w:style w:type="paragraph" w:styleId="Ttulo4">
    <w:name w:val="heading 4"/>
    <w:next w:val="Normal"/>
    <w:link w:val="Ttulo4Char"/>
    <w:uiPriority w:val="9"/>
    <w:unhideWhenUsed/>
    <w:qFormat/>
    <w:pPr>
      <w:keepNext/>
      <w:keepLines/>
      <w:spacing w:after="150" w:line="249" w:lineRule="auto"/>
      <w:ind w:left="1020" w:hanging="10"/>
      <w:jc w:val="both"/>
      <w:outlineLvl w:val="3"/>
    </w:pPr>
    <w:rPr>
      <w:rFonts w:ascii="Arial" w:eastAsia="Arial" w:hAnsi="Arial" w:cs="Arial"/>
      <w:b/>
      <w:color w:val="000000"/>
      <w:sz w:val="20"/>
    </w:rPr>
  </w:style>
  <w:style w:type="paragraph" w:styleId="Ttulo5">
    <w:name w:val="heading 5"/>
    <w:next w:val="Normal"/>
    <w:link w:val="Ttulo5Char"/>
    <w:uiPriority w:val="9"/>
    <w:unhideWhenUsed/>
    <w:qFormat/>
    <w:pPr>
      <w:keepNext/>
      <w:keepLines/>
      <w:spacing w:after="150" w:line="249" w:lineRule="auto"/>
      <w:ind w:left="1020" w:hanging="10"/>
      <w:jc w:val="both"/>
      <w:outlineLvl w:val="4"/>
    </w:pPr>
    <w:rPr>
      <w:rFonts w:ascii="Arial" w:eastAsia="Arial" w:hAnsi="Arial" w:cs="Arial"/>
      <w:b/>
      <w:color w:val="000000"/>
      <w:sz w:val="20"/>
    </w:rPr>
  </w:style>
  <w:style w:type="paragraph" w:styleId="Ttulo6">
    <w:name w:val="heading 6"/>
    <w:next w:val="Normal"/>
    <w:link w:val="Ttulo6Char"/>
    <w:uiPriority w:val="9"/>
    <w:unhideWhenUsed/>
    <w:qFormat/>
    <w:pPr>
      <w:keepNext/>
      <w:keepLines/>
      <w:spacing w:after="150" w:line="249" w:lineRule="auto"/>
      <w:ind w:left="1020" w:hanging="10"/>
      <w:jc w:val="both"/>
      <w:outlineLvl w:val="5"/>
    </w:pPr>
    <w:rPr>
      <w:rFonts w:ascii="Arial" w:eastAsia="Arial" w:hAnsi="Arial" w:cs="Arial"/>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FF0000"/>
      <w:sz w:val="20"/>
    </w:rPr>
  </w:style>
  <w:style w:type="character" w:customStyle="1" w:styleId="Ttulo2Char">
    <w:name w:val="Título 2 Char"/>
    <w:link w:val="Ttulo2"/>
    <w:rPr>
      <w:rFonts w:ascii="Arial" w:eastAsia="Arial" w:hAnsi="Arial" w:cs="Arial"/>
      <w:b/>
      <w:color w:val="000000"/>
      <w:sz w:val="20"/>
    </w:rPr>
  </w:style>
  <w:style w:type="character" w:customStyle="1" w:styleId="Ttulo3Char">
    <w:name w:val="Título 3 Char"/>
    <w:link w:val="Ttulo3"/>
    <w:rPr>
      <w:rFonts w:ascii="Arial" w:eastAsia="Arial" w:hAnsi="Arial" w:cs="Arial"/>
      <w:b/>
      <w:color w:val="000000"/>
      <w:sz w:val="20"/>
    </w:rPr>
  </w:style>
  <w:style w:type="character" w:customStyle="1" w:styleId="Ttulo4Char">
    <w:name w:val="Título 4 Char"/>
    <w:link w:val="Ttulo4"/>
    <w:rPr>
      <w:rFonts w:ascii="Arial" w:eastAsia="Arial" w:hAnsi="Arial" w:cs="Arial"/>
      <w:b/>
      <w:color w:val="000000"/>
      <w:sz w:val="20"/>
    </w:rPr>
  </w:style>
  <w:style w:type="character" w:customStyle="1" w:styleId="Ttulo5Char">
    <w:name w:val="Título 5 Char"/>
    <w:link w:val="Ttulo5"/>
    <w:rPr>
      <w:rFonts w:ascii="Arial" w:eastAsia="Arial" w:hAnsi="Arial" w:cs="Arial"/>
      <w:b/>
      <w:color w:val="000000"/>
      <w:sz w:val="20"/>
    </w:rPr>
  </w:style>
  <w:style w:type="character" w:customStyle="1" w:styleId="Ttulo6Char">
    <w:name w:val="Título 6 Char"/>
    <w:link w:val="Ttulo6"/>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8" Type="http://schemas.openxmlformats.org/officeDocument/2006/relationships/hyperlink" Target="https://certidoes-apf.apps.tcu.gov.br/" TargetMode="External"/><Relationship Id="rId26" Type="http://schemas.openxmlformats.org/officeDocument/2006/relationships/hyperlink" Target="https://www.comprasgovernamentais.gov.br/index.php/orientacoes-e-procedimentos/orientacoes-reformatrabalhista" TargetMode="External"/><Relationship Id="rId39" Type="http://schemas.openxmlformats.org/officeDocument/2006/relationships/hyperlink" Target="https://www.comprasgovernamentais.gov.br/index.php/orientacoes-e-procedimentos/orientacoes-reformatrabalhista" TargetMode="External"/><Relationship Id="rId21" Type="http://schemas.openxmlformats.org/officeDocument/2006/relationships/hyperlink" Target="https://www.comprasgovernamentais.gov.br/images/conteudo/ArquivosCGNOR/fato_gerador.pdf" TargetMode="External"/><Relationship Id="rId34" Type="http://schemas.openxmlformats.org/officeDocument/2006/relationships/hyperlink" Target="http://www.planalto.gov.br/ccivil_03/LEIS/L8666cons.htm" TargetMode="External"/><Relationship Id="rId42" Type="http://schemas.openxmlformats.org/officeDocument/2006/relationships/hyperlink" Target="https://www.comprasgovernamentais.gov.br/index.php/orientacoes-e-procedimentos/orientacoes-reformatrabalhista" TargetMode="External"/><Relationship Id="rId47" Type="http://schemas.openxmlformats.org/officeDocument/2006/relationships/image" Target="media/image2.png"/><Relationship Id="rId50" Type="http://schemas.openxmlformats.org/officeDocument/2006/relationships/footer" Target="footer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ertidoes-apf.apps.tcu.gov.br/" TargetMode="External"/><Relationship Id="rId29" Type="http://schemas.openxmlformats.org/officeDocument/2006/relationships/hyperlink" Target="https://www.comprasgovernamentais.gov.br/index.php/orientacoes-e-procedimentos/orientacoes-reformatrabalhista" TargetMode="External"/><Relationship Id="rId11" Type="http://schemas.openxmlformats.org/officeDocument/2006/relationships/hyperlink" Target="http://www.comprasgovernamentais.gov.br/" TargetMode="External"/><Relationship Id="rId24" Type="http://schemas.openxmlformats.org/officeDocument/2006/relationships/hyperlink" Target="https://www.comprasgovernamentais.gov.br/index.php/orientacoes-e-procedimentos/orientacoes-reformatrabalhista" TargetMode="External"/><Relationship Id="rId32" Type="http://schemas.openxmlformats.org/officeDocument/2006/relationships/hyperlink" Target="https://www.comprasgovernamentais.gov.br/index.php/orientacoes-e-procedimentos/orientacoes-reformatrabalhista" TargetMode="External"/><Relationship Id="rId37" Type="http://schemas.openxmlformats.org/officeDocument/2006/relationships/hyperlink" Target="https://www.comprasgovernamentais.gov.br/index.php/orientacoes-e-procedimentos/orientacoes-reformatrabalhista" TargetMode="External"/><Relationship Id="rId40" Type="http://schemas.openxmlformats.org/officeDocument/2006/relationships/hyperlink" Target="https://www.comprasgovernamentais.gov.br/index.php/orientacoes-e-procedimentos/orientacoes-reformatrabalhista" TargetMode="External"/><Relationship Id="rId45" Type="http://schemas.openxmlformats.org/officeDocument/2006/relationships/hyperlink" Target="https://www.comprasgovernamentais.gov.br/images/conteudo/ArquivosCGNOR/fato_gerador.pdf"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omprasgovernamentais.gov.br/" TargetMode="External"/><Relationship Id="rId19" Type="http://schemas.openxmlformats.org/officeDocument/2006/relationships/hyperlink" Target="https://certidoes-apf.apps.tcu.gov.br/" TargetMode="External"/><Relationship Id="rId31" Type="http://schemas.openxmlformats.org/officeDocument/2006/relationships/hyperlink" Target="https://www.comprasgovernamentais.gov.br/index.php/orientacoes-e-procedimentos/orientacoes-reformatrabalhista" TargetMode="External"/><Relationship Id="rId44" Type="http://schemas.openxmlformats.org/officeDocument/2006/relationships/hyperlink" Target="https://www.comprasgovernamentais.gov.br/index.php/orientacoes-e-procedimentos/orientacoes-reformatrabalhista"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dnit.gov.br/" TargetMode="External"/><Relationship Id="rId14"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22" Type="http://schemas.openxmlformats.org/officeDocument/2006/relationships/hyperlink" Target="https://sei.dnit.gov.br/sei/controlador.php?acao=protocolo_visualizar&amp;id_protocolo=4071366&amp;id_procedimento_atual=3130519&amp;infra_sistema=100000100&amp;infra_unidade_atual=110000046&amp;infra_hash=0b349b11da1be85401a9de412c1caec29e2550b67fe17e461c8ddf8b534e76de" TargetMode="External"/><Relationship Id="rId27" Type="http://schemas.openxmlformats.org/officeDocument/2006/relationships/hyperlink" Target="https://www.comprasgovernamentais.gov.br/index.php/orientacoes-e-procedimentos/orientacoes-reformatrabalhista" TargetMode="External"/><Relationship Id="rId30" Type="http://schemas.openxmlformats.org/officeDocument/2006/relationships/hyperlink" Target="https://www.comprasgovernamentais.gov.br/index.php/orientacoes-e-procedimentos/orientacoes-reformatrabalhista" TargetMode="External"/><Relationship Id="rId35" Type="http://schemas.openxmlformats.org/officeDocument/2006/relationships/hyperlink" Target="http://www.planalto.gov.br/ccivil_03/LEIS/L8666cons.htm" TargetMode="External"/><Relationship Id="rId43" Type="http://schemas.openxmlformats.org/officeDocument/2006/relationships/hyperlink" Target="https://www.comprasgovernamentais.gov.br/index.php/orientacoes-e-procedimentos/orientacoes-reformatrabalhista" TargetMode="External"/><Relationship Id="rId48" Type="http://schemas.openxmlformats.org/officeDocument/2006/relationships/image" Target="media/image1.png"/><Relationship Id="rId8" Type="http://schemas.openxmlformats.org/officeDocument/2006/relationships/hyperlink" Target="http://www.dnit.gov.br/"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www.comprasgovernamentais.gov.br/" TargetMode="External"/><Relationship Id="rId17" Type="http://schemas.openxmlformats.org/officeDocument/2006/relationships/hyperlink" Target="https://certidoes-apf.apps.tcu.gov.br/" TargetMode="External"/><Relationship Id="rId25" Type="http://schemas.openxmlformats.org/officeDocument/2006/relationships/hyperlink" Target="https://www.comprasgovernamentais.gov.br/index.php/orientacoes-e-procedimentos/orientacoes-reformatrabalhista" TargetMode="External"/><Relationship Id="rId33" Type="http://schemas.openxmlformats.org/officeDocument/2006/relationships/hyperlink" Target="https://www.comprasgovernamentais.gov.br/index.php/orientacoes-e-procedimentos/58-gestor-de-compras/865-orientacao-aos-gestores-para-aplicacao-do-decreto-n-8-538-2015" TargetMode="External"/><Relationship Id="rId38" Type="http://schemas.openxmlformats.org/officeDocument/2006/relationships/hyperlink" Target="https://www.comprasgovernamentais.gov.br/index.php/orientacoes-e-procedimentos/orientacoes-reformatrabalhista" TargetMode="External"/><Relationship Id="rId46" Type="http://schemas.openxmlformats.org/officeDocument/2006/relationships/hyperlink" Target="https://www.comprasgovernamentais.gov.br/images/conteudo/ArquivosCGNOR/fato_gerador.pdf" TargetMode="External"/><Relationship Id="rId20" Type="http://schemas.openxmlformats.org/officeDocument/2006/relationships/hyperlink" Target="https://www.comprasgovernamentais.gov.br/images/conteudo/ArquivosCGNOR/fato_gerador.pdf" TargetMode="External"/><Relationship Id="rId41" Type="http://schemas.openxmlformats.org/officeDocument/2006/relationships/hyperlink" Target="https://www.comprasgovernamentais.gov.br/index.php/orientacoes-e-procedimentos/orientacoes-reformatrabalhista"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ertidoes-apf.apps.tcu.gov.br/" TargetMode="External"/><Relationship Id="rId23" Type="http://schemas.openxmlformats.org/officeDocument/2006/relationships/hyperlink" Target="https://sei.dnit.gov.br/sei/controlador.php?acao=protocolo_visualizar&amp;id_protocolo=4071366&amp;id_procedimento_atual=3130519&amp;infra_sistema=100000100&amp;infra_unidade_atual=110000046&amp;infra_hash=0b349b11da1be85401a9de412c1caec29e2550b67fe17e461c8ddf8b534e76de" TargetMode="External"/><Relationship Id="rId28" Type="http://schemas.openxmlformats.org/officeDocument/2006/relationships/hyperlink" Target="https://www.comprasgovernamentais.gov.br/index.php/orientacoes-e-procedimentos/orientacoes-reformatrabalhista" TargetMode="External"/><Relationship Id="rId36" Type="http://schemas.openxmlformats.org/officeDocument/2006/relationships/hyperlink" Target="http://www.planalto.gov.br/ccivil_03/LEIS/L8666cons.htm" TargetMode="External"/><Relationship Id="rId49" Type="http://schemas.openxmlformats.org/officeDocument/2006/relationships/hyperlink" Target="https://www.planalto.gov.br/ccivil_03/_Ato2011-2014/2013/Lei/L12846.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69120</Words>
  <Characters>373248</Characters>
  <Application>Microsoft Office Word</Application>
  <DocSecurity>0</DocSecurity>
  <Lines>3110</Lines>
  <Paragraphs>882</Paragraphs>
  <ScaleCrop>false</ScaleCrop>
  <HeadingPairs>
    <vt:vector size="2" baseType="variant">
      <vt:variant>
        <vt:lpstr>Título</vt:lpstr>
      </vt:variant>
      <vt:variant>
        <vt:i4>1</vt:i4>
      </vt:variant>
    </vt:vector>
  </HeadingPairs>
  <TitlesOfParts>
    <vt:vector size="1" baseType="lpstr">
      <vt:lpstr>Edital para Pregão Eletrônico, Serviços Contínuos com dedicação exclusiva de mão de obra. Habilitação Completa e Ampla Participação</vt:lpstr>
    </vt:vector>
  </TitlesOfParts>
  <Company>DNIT</Company>
  <LinksUpToDate>false</LinksUpToDate>
  <CharactersWithSpaces>441486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subject/>
  <dc:creator>Manoel Paz e Silva Filho</dc:creator>
  <cp:keywords/>
  <cp:lastModifiedBy>Ana Carla Carneiro de Sousa</cp:lastModifiedBy>
  <cp:revision>3</cp:revision>
  <dcterms:created xsi:type="dcterms:W3CDTF">2019-12-05T18:30:00Z</dcterms:created>
  <dcterms:modified xsi:type="dcterms:W3CDTF">2019-12-05T18:30:00Z</dcterms:modified>
</cp:coreProperties>
</file>