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24" w:rsidRDefault="00B209DD" w:rsidP="00B209DD">
      <w:pPr>
        <w:jc w:val="center"/>
      </w:pPr>
      <w:r>
        <w:t>PRESTAÇÃO DE CONTAS (Exercício 2020)</w:t>
      </w:r>
    </w:p>
    <w:p w:rsidR="00B209DD" w:rsidRDefault="00B209DD" w:rsidP="00B209DD">
      <w:pPr>
        <w:jc w:val="center"/>
      </w:pPr>
    </w:p>
    <w:p w:rsidR="00B209DD" w:rsidRDefault="00B209DD" w:rsidP="00B209DD">
      <w:pPr>
        <w:jc w:val="both"/>
      </w:pPr>
      <w:r>
        <w:t xml:space="preserve">O Tribunal de Contas da União </w:t>
      </w:r>
      <w:r>
        <w:tab/>
        <w:t>(TCU) adotou a correspondente materialidade da participação acionária na União como critério para estabelecer a obrigatoriedade das Unidades Prestadoras de Contas (UPC) formalizarem suas contas, conforme disposto no Decisão Normativa TCU nº 188, de 30 de setembro de 2020.</w:t>
      </w:r>
    </w:p>
    <w:p w:rsidR="00B209DD" w:rsidRDefault="00B209DD" w:rsidP="00B209DD">
      <w:pPr>
        <w:jc w:val="both"/>
      </w:pPr>
      <w:r>
        <w:t xml:space="preserve">Nesse diapasão, o Anexo à DN TCU Nº 188/2020 contempla o conjunto de UPC e respectivas Unidades Supervisoras destinadas a realizar os procedimentos aplicáveis à Decisão, sem fazer menção ao Ministério da Defesa. </w:t>
      </w:r>
    </w:p>
    <w:p w:rsidR="00B209DD" w:rsidRDefault="00B209DD" w:rsidP="00B209DD">
      <w:pPr>
        <w:jc w:val="both"/>
      </w:pPr>
      <w:bookmarkStart w:id="0" w:name="_GoBack"/>
      <w:bookmarkEnd w:id="0"/>
    </w:p>
    <w:sectPr w:rsidR="00B20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DD"/>
    <w:rsid w:val="00270AE5"/>
    <w:rsid w:val="00644724"/>
    <w:rsid w:val="00B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FA20B-1C61-4275-A02C-936A0DE8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2021-09-22T15:31:00Z</dcterms:created>
  <dcterms:modified xsi:type="dcterms:W3CDTF">2021-09-22T19:11:00Z</dcterms:modified>
</cp:coreProperties>
</file>