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CF9" w:rsidRPr="00747D1D" w:rsidRDefault="009C1CF9" w:rsidP="00472765">
      <w:pPr>
        <w:spacing w:line="312" w:lineRule="auto"/>
        <w:contextualSpacing/>
        <w:jc w:val="center"/>
      </w:pPr>
      <w:r w:rsidRPr="00747D1D">
        <w:t>RELATÓRIO DE ANÁLISE DA SDM</w:t>
      </w:r>
    </w:p>
    <w:p w:rsidR="009C1CF9" w:rsidRPr="00747D1D" w:rsidRDefault="009C1CF9" w:rsidP="00472765">
      <w:pPr>
        <w:pStyle w:val="SDMTtulo2"/>
        <w:spacing w:line="312" w:lineRule="auto"/>
        <w:contextualSpacing/>
        <w:jc w:val="center"/>
        <w:outlineLvl w:val="0"/>
      </w:pPr>
      <w:r w:rsidRPr="00747D1D">
        <w:rPr>
          <w:color w:val="000000"/>
        </w:rPr>
        <w:t>Audiência Pública n</w:t>
      </w:r>
      <w:r w:rsidRPr="00747D1D">
        <w:t>º 0</w:t>
      </w:r>
      <w:r w:rsidR="009F7192">
        <w:t>8</w:t>
      </w:r>
      <w:r w:rsidRPr="00747D1D">
        <w:t>/20</w:t>
      </w:r>
      <w:r w:rsidR="009F7192">
        <w:t>10</w:t>
      </w:r>
    </w:p>
    <w:p w:rsidR="001737C1" w:rsidRDefault="009C1CF9" w:rsidP="00472765">
      <w:pPr>
        <w:pStyle w:val="SDMTtulo2"/>
        <w:spacing w:line="312" w:lineRule="auto"/>
        <w:contextualSpacing/>
        <w:outlineLvl w:val="0"/>
        <w:rPr>
          <w:b w:val="0"/>
        </w:rPr>
      </w:pPr>
      <w:r w:rsidRPr="00747D1D">
        <w:rPr>
          <w:b w:val="0"/>
        </w:rPr>
        <w:t xml:space="preserve"> </w:t>
      </w:r>
    </w:p>
    <w:p w:rsidR="009C1CF9" w:rsidRPr="00747D1D" w:rsidRDefault="009C1CF9" w:rsidP="00057620">
      <w:pPr>
        <w:pStyle w:val="Default"/>
        <w:spacing w:line="312" w:lineRule="auto"/>
        <w:contextualSpacing/>
        <w:jc w:val="both"/>
        <w:rPr>
          <w:b/>
        </w:rPr>
      </w:pPr>
      <w:r w:rsidRPr="00747D1D">
        <w:rPr>
          <w:bCs/>
        </w:rPr>
        <w:t>Objeto</w:t>
      </w:r>
      <w:r w:rsidRPr="00747D1D">
        <w:rPr>
          <w:b/>
          <w:bCs/>
        </w:rPr>
        <w:t xml:space="preserve">: </w:t>
      </w:r>
      <w:r w:rsidR="001737C1">
        <w:t xml:space="preserve"> </w:t>
      </w:r>
      <w:r w:rsidR="001737C1">
        <w:rPr>
          <w:sz w:val="23"/>
          <w:szCs w:val="23"/>
        </w:rPr>
        <w:t xml:space="preserve">Alteração das Instruções CVM nº 400, de </w:t>
      </w:r>
      <w:r w:rsidR="0041243D">
        <w:rPr>
          <w:sz w:val="23"/>
          <w:szCs w:val="23"/>
        </w:rPr>
        <w:t xml:space="preserve">29 de dezembro de </w:t>
      </w:r>
      <w:r w:rsidR="001737C1">
        <w:rPr>
          <w:sz w:val="23"/>
          <w:szCs w:val="23"/>
        </w:rPr>
        <w:t xml:space="preserve">2003, </w:t>
      </w:r>
      <w:r w:rsidR="007A4227">
        <w:rPr>
          <w:sz w:val="23"/>
          <w:szCs w:val="23"/>
        </w:rPr>
        <w:t xml:space="preserve">nº </w:t>
      </w:r>
      <w:r w:rsidR="001737C1">
        <w:rPr>
          <w:sz w:val="23"/>
          <w:szCs w:val="23"/>
        </w:rPr>
        <w:t>476</w:t>
      </w:r>
      <w:r w:rsidR="0041243D">
        <w:rPr>
          <w:sz w:val="23"/>
          <w:szCs w:val="23"/>
        </w:rPr>
        <w:t>, de 16 de janeiro de 2009,</w:t>
      </w:r>
      <w:r w:rsidR="001737C1">
        <w:rPr>
          <w:sz w:val="23"/>
          <w:szCs w:val="23"/>
        </w:rPr>
        <w:t xml:space="preserve"> e </w:t>
      </w:r>
      <w:r w:rsidR="007A4227">
        <w:rPr>
          <w:sz w:val="23"/>
          <w:szCs w:val="23"/>
        </w:rPr>
        <w:t xml:space="preserve">nº </w:t>
      </w:r>
      <w:r w:rsidR="001737C1">
        <w:rPr>
          <w:sz w:val="23"/>
          <w:szCs w:val="23"/>
        </w:rPr>
        <w:t xml:space="preserve">480, </w:t>
      </w:r>
      <w:r w:rsidR="0041243D">
        <w:rPr>
          <w:sz w:val="23"/>
          <w:szCs w:val="23"/>
        </w:rPr>
        <w:t>de 7 de dezembro de 2009</w:t>
      </w:r>
    </w:p>
    <w:p w:rsidR="009C1CF9" w:rsidRPr="00747D1D" w:rsidRDefault="009C1CF9" w:rsidP="00472765">
      <w:pPr>
        <w:pStyle w:val="SDMTtulo2"/>
        <w:spacing w:line="312" w:lineRule="auto"/>
        <w:contextualSpacing/>
        <w:outlineLvl w:val="0"/>
        <w:rPr>
          <w:iCs/>
          <w:color w:val="000000"/>
          <w:highlight w:val="yellow"/>
        </w:rPr>
      </w:pPr>
    </w:p>
    <w:p w:rsidR="009C1CF9" w:rsidRPr="00747D1D" w:rsidRDefault="009C1CF9" w:rsidP="00472765">
      <w:pPr>
        <w:pStyle w:val="SDMTtulo2"/>
        <w:spacing w:line="312" w:lineRule="auto"/>
        <w:contextualSpacing/>
        <w:outlineLvl w:val="0"/>
        <w:rPr>
          <w:iCs/>
          <w:color w:val="000000"/>
        </w:rPr>
      </w:pPr>
      <w:r w:rsidRPr="00747D1D">
        <w:rPr>
          <w:iCs/>
          <w:color w:val="000000"/>
        </w:rPr>
        <w:t>1.</w:t>
      </w:r>
      <w:r w:rsidRPr="00747D1D">
        <w:rPr>
          <w:iCs/>
          <w:color w:val="000000"/>
        </w:rPr>
        <w:tab/>
        <w:t>Introdução</w:t>
      </w:r>
    </w:p>
    <w:p w:rsidR="009C1CF9" w:rsidRPr="00747D1D" w:rsidRDefault="009C1CF9" w:rsidP="00472765">
      <w:pPr>
        <w:pStyle w:val="SDMTtulo2"/>
        <w:spacing w:line="312" w:lineRule="auto"/>
        <w:contextualSpacing/>
        <w:outlineLvl w:val="0"/>
        <w:rPr>
          <w:iCs/>
          <w:color w:val="000000"/>
        </w:rPr>
      </w:pPr>
    </w:p>
    <w:p w:rsidR="00507082" w:rsidRPr="00747D1D" w:rsidRDefault="001737C1" w:rsidP="00472765">
      <w:pPr>
        <w:pStyle w:val="Recuodecorpodetexto"/>
        <w:spacing w:after="0" w:line="312" w:lineRule="auto"/>
        <w:ind w:left="0" w:firstLine="709"/>
        <w:contextualSpacing/>
        <w:jc w:val="both"/>
        <w:rPr>
          <w:color w:val="000000"/>
        </w:rPr>
      </w:pPr>
      <w:r>
        <w:rPr>
          <w:color w:val="000000"/>
        </w:rPr>
        <w:t>A</w:t>
      </w:r>
      <w:r w:rsidR="00507082" w:rsidRPr="00747D1D">
        <w:rPr>
          <w:color w:val="000000"/>
        </w:rPr>
        <w:t xml:space="preserve"> Audiência Pública nº 0</w:t>
      </w:r>
      <w:r w:rsidR="009F7192">
        <w:rPr>
          <w:color w:val="000000"/>
        </w:rPr>
        <w:t>8</w:t>
      </w:r>
      <w:r w:rsidR="00507082" w:rsidRPr="00747D1D">
        <w:rPr>
          <w:color w:val="000000"/>
        </w:rPr>
        <w:t>/20</w:t>
      </w:r>
      <w:r w:rsidR="009F7192">
        <w:rPr>
          <w:color w:val="000000"/>
        </w:rPr>
        <w:t>10</w:t>
      </w:r>
      <w:r w:rsidR="00507082" w:rsidRPr="00747D1D">
        <w:rPr>
          <w:color w:val="000000"/>
        </w:rPr>
        <w:t xml:space="preserve"> </w:t>
      </w:r>
      <w:r w:rsidR="00884DB8">
        <w:rPr>
          <w:color w:val="000000"/>
        </w:rPr>
        <w:t xml:space="preserve">tem </w:t>
      </w:r>
      <w:r>
        <w:rPr>
          <w:color w:val="000000"/>
        </w:rPr>
        <w:t xml:space="preserve">como objeto </w:t>
      </w:r>
      <w:r w:rsidR="00507082" w:rsidRPr="00747D1D">
        <w:t xml:space="preserve">minuta </w:t>
      </w:r>
      <w:r w:rsidR="00884DB8">
        <w:t xml:space="preserve">de instrução </w:t>
      </w:r>
      <w:r w:rsidR="00507082" w:rsidRPr="00747D1D">
        <w:t xml:space="preserve">que estabelece as regras </w:t>
      </w:r>
      <w:r w:rsidR="009F7192">
        <w:t xml:space="preserve">para o programa </w:t>
      </w:r>
      <w:r w:rsidR="00507082" w:rsidRPr="00747D1D">
        <w:t>de</w:t>
      </w:r>
      <w:r w:rsidR="009F7192">
        <w:t xml:space="preserve"> oferta pública de distribuição de letras financeiras não vinculadas</w:t>
      </w:r>
      <w:r w:rsidR="00273D2E">
        <w:t xml:space="preserve"> </w:t>
      </w:r>
      <w:r w:rsidR="00507082" w:rsidRPr="00747D1D">
        <w:t>(“</w:t>
      </w:r>
      <w:r w:rsidR="009A10A9" w:rsidRPr="00747D1D">
        <w:t>Minuta</w:t>
      </w:r>
      <w:r w:rsidR="00507082" w:rsidRPr="00747D1D">
        <w:t>”)</w:t>
      </w:r>
      <w:r w:rsidR="00507082" w:rsidRPr="00747D1D">
        <w:rPr>
          <w:color w:val="000000"/>
        </w:rPr>
        <w:t xml:space="preserve">. </w:t>
      </w:r>
      <w:r w:rsidR="009C1CF9" w:rsidRPr="00747D1D">
        <w:t xml:space="preserve">A CVM recebeu os comentários </w:t>
      </w:r>
      <w:r w:rsidR="00884DB8">
        <w:t xml:space="preserve">do público </w:t>
      </w:r>
      <w:r w:rsidR="009C1CF9" w:rsidRPr="00747D1D">
        <w:t xml:space="preserve">entre os dias </w:t>
      </w:r>
      <w:r w:rsidR="00A560B8">
        <w:t>7</w:t>
      </w:r>
      <w:r w:rsidR="009C1CF9" w:rsidRPr="00747D1D">
        <w:rPr>
          <w:color w:val="000000"/>
        </w:rPr>
        <w:t xml:space="preserve"> de </w:t>
      </w:r>
      <w:r w:rsidR="009F7192">
        <w:rPr>
          <w:color w:val="000000"/>
        </w:rPr>
        <w:t>outubro</w:t>
      </w:r>
      <w:r w:rsidR="009C1CF9" w:rsidRPr="00747D1D">
        <w:rPr>
          <w:color w:val="000000"/>
        </w:rPr>
        <w:t xml:space="preserve"> de 20</w:t>
      </w:r>
      <w:r w:rsidR="009F7192">
        <w:rPr>
          <w:color w:val="000000"/>
        </w:rPr>
        <w:t>10</w:t>
      </w:r>
      <w:r w:rsidR="009C1CF9" w:rsidRPr="00747D1D">
        <w:rPr>
          <w:color w:val="000000"/>
        </w:rPr>
        <w:t xml:space="preserve"> e </w:t>
      </w:r>
      <w:r w:rsidR="009F7192">
        <w:rPr>
          <w:color w:val="000000"/>
        </w:rPr>
        <w:t>8</w:t>
      </w:r>
      <w:r w:rsidR="009C1CF9" w:rsidRPr="00747D1D">
        <w:rPr>
          <w:color w:val="000000"/>
        </w:rPr>
        <w:t xml:space="preserve"> de </w:t>
      </w:r>
      <w:r w:rsidR="009F7192">
        <w:rPr>
          <w:color w:val="000000"/>
        </w:rPr>
        <w:t>n</w:t>
      </w:r>
      <w:r w:rsidR="009C1CF9" w:rsidRPr="00747D1D">
        <w:rPr>
          <w:color w:val="000000"/>
        </w:rPr>
        <w:t>o</w:t>
      </w:r>
      <w:r w:rsidR="009F7192">
        <w:rPr>
          <w:color w:val="000000"/>
        </w:rPr>
        <w:t>vembro</w:t>
      </w:r>
      <w:r w:rsidR="009C1CF9" w:rsidRPr="00747D1D">
        <w:rPr>
          <w:color w:val="000000"/>
        </w:rPr>
        <w:t xml:space="preserve"> de 20</w:t>
      </w:r>
      <w:r w:rsidR="009F7192">
        <w:rPr>
          <w:color w:val="000000"/>
        </w:rPr>
        <w:t>10</w:t>
      </w:r>
      <w:r w:rsidR="00507082" w:rsidRPr="00747D1D">
        <w:rPr>
          <w:color w:val="000000"/>
        </w:rPr>
        <w:t xml:space="preserve">. </w:t>
      </w:r>
    </w:p>
    <w:p w:rsidR="00507082" w:rsidRDefault="00507082" w:rsidP="00472765">
      <w:pPr>
        <w:pStyle w:val="Recuodecorpodetexto"/>
        <w:spacing w:after="0" w:line="312" w:lineRule="auto"/>
        <w:ind w:left="0" w:firstLine="709"/>
        <w:contextualSpacing/>
        <w:jc w:val="both"/>
        <w:rPr>
          <w:color w:val="000000"/>
        </w:rPr>
      </w:pPr>
    </w:p>
    <w:p w:rsidR="005A5212" w:rsidRPr="00747D1D" w:rsidRDefault="005A5212" w:rsidP="00472765">
      <w:pPr>
        <w:pStyle w:val="Recuodecorpodetexto"/>
        <w:spacing w:after="0" w:line="312" w:lineRule="auto"/>
        <w:ind w:left="0" w:firstLine="709"/>
        <w:contextualSpacing/>
        <w:jc w:val="both"/>
        <w:rPr>
          <w:color w:val="000000"/>
        </w:rPr>
      </w:pPr>
      <w:r>
        <w:rPr>
          <w:color w:val="000000"/>
        </w:rPr>
        <w:t>As propostas trazidas pela Minuta pretendiam (i) criar o Programa de Distribuição Cont</w:t>
      </w:r>
      <w:r w:rsidR="00FF09F1">
        <w:rPr>
          <w:color w:val="000000"/>
        </w:rPr>
        <w:t>í</w:t>
      </w:r>
      <w:r>
        <w:rPr>
          <w:color w:val="000000"/>
        </w:rPr>
        <w:t xml:space="preserve">nua – “PDC”, que permite que certos emissores registrem distribuições de letras financeiras não vinculadas automaticamente e (ii) em decorrência da criação do “PDC”, </w:t>
      </w:r>
      <w:r w:rsidRPr="00FF09F1">
        <w:t>propor alterações pontuais na Instrução CVM n°</w:t>
      </w:r>
      <w:r w:rsidR="00FF09F1" w:rsidRPr="00FF09F1">
        <w:rPr>
          <w:color w:val="FF0000"/>
        </w:rPr>
        <w:t xml:space="preserve"> </w:t>
      </w:r>
      <w:r>
        <w:rPr>
          <w:color w:val="000000"/>
        </w:rPr>
        <w:t xml:space="preserve">400, de 2003, na Instrução </w:t>
      </w:r>
      <w:r w:rsidR="009E36B6">
        <w:rPr>
          <w:color w:val="000000"/>
        </w:rPr>
        <w:t xml:space="preserve">CVM nº </w:t>
      </w:r>
      <w:r>
        <w:rPr>
          <w:color w:val="000000"/>
        </w:rPr>
        <w:t xml:space="preserve">476, de 2009 e na Instrução CVM n° 480, de 2009. </w:t>
      </w:r>
    </w:p>
    <w:p w:rsidR="005A5212" w:rsidRDefault="005A5212" w:rsidP="00472765">
      <w:pPr>
        <w:spacing w:line="312" w:lineRule="auto"/>
        <w:ind w:firstLine="708"/>
        <w:contextualSpacing/>
        <w:jc w:val="both"/>
        <w:rPr>
          <w:color w:val="000000"/>
        </w:rPr>
      </w:pPr>
    </w:p>
    <w:p w:rsidR="009C1CF9" w:rsidRPr="00747D1D" w:rsidRDefault="009C1CF9" w:rsidP="00472765">
      <w:pPr>
        <w:spacing w:line="312" w:lineRule="auto"/>
        <w:ind w:firstLine="708"/>
        <w:contextualSpacing/>
        <w:jc w:val="both"/>
      </w:pPr>
      <w:r w:rsidRPr="00747D1D">
        <w:rPr>
          <w:color w:val="000000"/>
        </w:rPr>
        <w:t>Para melhor descrever e comentar a</w:t>
      </w:r>
      <w:r w:rsidR="00062F2D">
        <w:rPr>
          <w:color w:val="000000"/>
        </w:rPr>
        <w:t>s</w:t>
      </w:r>
      <w:r w:rsidRPr="00747D1D">
        <w:rPr>
          <w:color w:val="000000"/>
        </w:rPr>
        <w:t xml:space="preserve"> manifestaç</w:t>
      </w:r>
      <w:r w:rsidR="00062F2D">
        <w:rPr>
          <w:color w:val="000000"/>
        </w:rPr>
        <w:t>ões</w:t>
      </w:r>
      <w:r w:rsidRPr="00747D1D">
        <w:rPr>
          <w:color w:val="000000"/>
        </w:rPr>
        <w:t xml:space="preserve"> do</w:t>
      </w:r>
      <w:r w:rsidR="00062F2D">
        <w:rPr>
          <w:color w:val="000000"/>
        </w:rPr>
        <w:t>s</w:t>
      </w:r>
      <w:r w:rsidRPr="00747D1D">
        <w:rPr>
          <w:color w:val="000000"/>
        </w:rPr>
        <w:t xml:space="preserve"> participante</w:t>
      </w:r>
      <w:r w:rsidR="00062F2D">
        <w:rPr>
          <w:color w:val="000000"/>
        </w:rPr>
        <w:t>s</w:t>
      </w:r>
      <w:r w:rsidRPr="00747D1D">
        <w:rPr>
          <w:color w:val="000000"/>
        </w:rPr>
        <w:t>, este relatório é dividido da seguinte forma: (i) introdução; (ii) participante</w:t>
      </w:r>
      <w:r w:rsidR="00062F2D">
        <w:rPr>
          <w:color w:val="000000"/>
        </w:rPr>
        <w:t>s</w:t>
      </w:r>
      <w:r w:rsidRPr="00747D1D">
        <w:rPr>
          <w:color w:val="000000"/>
        </w:rPr>
        <w:t xml:space="preserve">; (iii) comentários </w:t>
      </w:r>
      <w:r w:rsidR="009E36B6">
        <w:rPr>
          <w:color w:val="000000"/>
        </w:rPr>
        <w:t>à</w:t>
      </w:r>
      <w:r w:rsidRPr="00747D1D">
        <w:rPr>
          <w:color w:val="000000"/>
        </w:rPr>
        <w:t xml:space="preserve"> Minuta;</w:t>
      </w:r>
      <w:r w:rsidR="009D0363">
        <w:rPr>
          <w:color w:val="000000"/>
        </w:rPr>
        <w:t xml:space="preserve"> (i</w:t>
      </w:r>
      <w:r w:rsidR="001737C1">
        <w:rPr>
          <w:color w:val="000000"/>
        </w:rPr>
        <w:t>v</w:t>
      </w:r>
      <w:r w:rsidR="009D0363">
        <w:rPr>
          <w:color w:val="000000"/>
        </w:rPr>
        <w:t>) outras propostas</w:t>
      </w:r>
      <w:r w:rsidRPr="00747D1D">
        <w:rPr>
          <w:color w:val="000000"/>
        </w:rPr>
        <w:t xml:space="preserve"> </w:t>
      </w:r>
      <w:r w:rsidR="006E78D3" w:rsidRPr="00747D1D">
        <w:rPr>
          <w:color w:val="000000"/>
        </w:rPr>
        <w:t xml:space="preserve">e </w:t>
      </w:r>
      <w:r w:rsidRPr="00747D1D">
        <w:rPr>
          <w:color w:val="000000"/>
        </w:rPr>
        <w:t>(</w:t>
      </w:r>
      <w:r w:rsidR="006E78D3" w:rsidRPr="00747D1D">
        <w:rPr>
          <w:color w:val="000000"/>
        </w:rPr>
        <w:t>v</w:t>
      </w:r>
      <w:r w:rsidRPr="00747D1D">
        <w:rPr>
          <w:color w:val="000000"/>
        </w:rPr>
        <w:t xml:space="preserve">) </w:t>
      </w:r>
      <w:r w:rsidR="008C506B">
        <w:rPr>
          <w:color w:val="000000"/>
        </w:rPr>
        <w:t>proposta definitiva de instrução</w:t>
      </w:r>
      <w:r w:rsidR="008B34D3" w:rsidRPr="00747D1D">
        <w:rPr>
          <w:color w:val="000000"/>
        </w:rPr>
        <w:t>.</w:t>
      </w:r>
    </w:p>
    <w:p w:rsidR="009C1CF9" w:rsidRPr="00747D1D" w:rsidRDefault="009C1CF9" w:rsidP="00472765">
      <w:pPr>
        <w:pStyle w:val="Recuodecorpodetexto"/>
        <w:spacing w:after="0" w:line="312" w:lineRule="auto"/>
        <w:ind w:left="0" w:firstLine="709"/>
        <w:contextualSpacing/>
        <w:jc w:val="both"/>
      </w:pPr>
    </w:p>
    <w:p w:rsidR="009C1CF9" w:rsidRPr="00747D1D" w:rsidRDefault="009C1CF9" w:rsidP="00472765">
      <w:pPr>
        <w:autoSpaceDE w:val="0"/>
        <w:autoSpaceDN w:val="0"/>
        <w:adjustRightInd w:val="0"/>
        <w:spacing w:line="312" w:lineRule="auto"/>
        <w:ind w:firstLine="708"/>
        <w:contextualSpacing/>
        <w:jc w:val="both"/>
      </w:pPr>
      <w:r w:rsidRPr="00747D1D">
        <w:t xml:space="preserve">Este relatório foi elaborado pela Superintendência de Desenvolvimento de Mercado - SDM, com o objetivo de apresentar ao Colegiado da CVM as sugestões recebidas </w:t>
      </w:r>
      <w:r w:rsidR="00507082" w:rsidRPr="00747D1D">
        <w:t>na</w:t>
      </w:r>
      <w:r w:rsidRPr="00747D1D">
        <w:t xml:space="preserve"> </w:t>
      </w:r>
      <w:r w:rsidRPr="00747D1D">
        <w:rPr>
          <w:color w:val="000000"/>
        </w:rPr>
        <w:t>Audiência Pública nº 0</w:t>
      </w:r>
      <w:r w:rsidR="009F7192">
        <w:rPr>
          <w:color w:val="000000"/>
        </w:rPr>
        <w:t>8</w:t>
      </w:r>
      <w:r w:rsidRPr="00747D1D">
        <w:rPr>
          <w:color w:val="000000"/>
        </w:rPr>
        <w:t>/20</w:t>
      </w:r>
      <w:r w:rsidR="009F7192">
        <w:rPr>
          <w:color w:val="000000"/>
        </w:rPr>
        <w:t>10</w:t>
      </w:r>
      <w:r w:rsidRPr="00747D1D">
        <w:t xml:space="preserve">.  Seu conteúdo reflete a opinião e as interpretações de tal Superintendência e não necessariamente as da CVM.  Este relatório não é aprovado pelo Colegiado ou por outras Superintendências da CVM. </w:t>
      </w:r>
    </w:p>
    <w:p w:rsidR="009C1CF9" w:rsidRPr="00747D1D" w:rsidRDefault="009C1CF9" w:rsidP="00472765">
      <w:pPr>
        <w:pStyle w:val="SDMTtulo2"/>
        <w:spacing w:line="312" w:lineRule="auto"/>
        <w:contextualSpacing/>
        <w:outlineLvl w:val="0"/>
        <w:rPr>
          <w:b w:val="0"/>
          <w:iCs/>
          <w:color w:val="000000"/>
        </w:rPr>
      </w:pPr>
    </w:p>
    <w:p w:rsidR="009C1CF9" w:rsidRPr="00747D1D" w:rsidRDefault="009C1CF9" w:rsidP="00472765">
      <w:pPr>
        <w:spacing w:line="312" w:lineRule="auto"/>
        <w:contextualSpacing/>
        <w:jc w:val="both"/>
        <w:rPr>
          <w:b/>
          <w:iCs/>
          <w:color w:val="000000"/>
        </w:rPr>
      </w:pPr>
      <w:r w:rsidRPr="00747D1D">
        <w:rPr>
          <w:b/>
          <w:iCs/>
          <w:color w:val="000000"/>
        </w:rPr>
        <w:t>2.</w:t>
      </w:r>
      <w:r w:rsidRPr="00747D1D">
        <w:rPr>
          <w:b/>
          <w:iCs/>
          <w:color w:val="000000"/>
        </w:rPr>
        <w:tab/>
        <w:t>Participante</w:t>
      </w:r>
      <w:r w:rsidR="00062F2D">
        <w:rPr>
          <w:b/>
          <w:iCs/>
          <w:color w:val="000000"/>
        </w:rPr>
        <w:t>s</w:t>
      </w:r>
    </w:p>
    <w:p w:rsidR="001737C1" w:rsidRDefault="001737C1" w:rsidP="00472765">
      <w:pPr>
        <w:pStyle w:val="Default"/>
        <w:spacing w:line="312" w:lineRule="auto"/>
        <w:ind w:firstLine="700"/>
        <w:contextualSpacing/>
        <w:jc w:val="both"/>
      </w:pPr>
    </w:p>
    <w:p w:rsidR="004C4A89" w:rsidRDefault="009C1CF9" w:rsidP="00472765">
      <w:pPr>
        <w:pStyle w:val="Default"/>
        <w:spacing w:line="312" w:lineRule="auto"/>
        <w:ind w:firstLine="700"/>
        <w:contextualSpacing/>
        <w:jc w:val="both"/>
      </w:pPr>
      <w:r w:rsidRPr="00747D1D">
        <w:t>Particip</w:t>
      </w:r>
      <w:r w:rsidR="004C4A89">
        <w:t>aram</w:t>
      </w:r>
      <w:r w:rsidRPr="00747D1D">
        <w:t xml:space="preserve"> da</w:t>
      </w:r>
      <w:r w:rsidR="00FF1114">
        <w:t xml:space="preserve"> audiência pública</w:t>
      </w:r>
      <w:r w:rsidRPr="00747D1D">
        <w:t xml:space="preserve">: </w:t>
      </w:r>
      <w:r w:rsidR="00472765">
        <w:t xml:space="preserve">(i) </w:t>
      </w:r>
      <w:r w:rsidR="00EE48B9">
        <w:t>Associação Brasileira das Entidades dos Mercados Financeiros e de Capitais</w:t>
      </w:r>
      <w:r w:rsidR="00C84715">
        <w:t xml:space="preserve"> (“ANBIMA</w:t>
      </w:r>
      <w:r w:rsidR="00FF09F1">
        <w:t>”</w:t>
      </w:r>
      <w:r w:rsidR="00C84715">
        <w:t>)</w:t>
      </w:r>
      <w:r w:rsidR="00D0166E" w:rsidRPr="00747D1D">
        <w:t>;</w:t>
      </w:r>
      <w:r w:rsidR="00472765">
        <w:t xml:space="preserve"> </w:t>
      </w:r>
      <w:r w:rsidR="002D641F">
        <w:t xml:space="preserve">(ii) Banco Central do Brasil (“BACEN”); </w:t>
      </w:r>
      <w:r w:rsidR="00472765">
        <w:t>(</w:t>
      </w:r>
      <w:r w:rsidR="002D641F">
        <w:t>i</w:t>
      </w:r>
      <w:r w:rsidR="00472765">
        <w:t xml:space="preserve">ii) </w:t>
      </w:r>
      <w:r w:rsidR="004C4A89">
        <w:t>BM&amp;FBovespa</w:t>
      </w:r>
      <w:r w:rsidR="00C84715">
        <w:t xml:space="preserve"> S.A</w:t>
      </w:r>
      <w:r w:rsidR="00FF09F1">
        <w:t>.</w:t>
      </w:r>
      <w:r w:rsidR="00C84715">
        <w:t xml:space="preserve"> – Bolsa de Valores, Mercadorias e Futuros (“BM&amp;FBovespa”)</w:t>
      </w:r>
      <w:r w:rsidR="004C4A89">
        <w:t>; e</w:t>
      </w:r>
      <w:r w:rsidR="00472765">
        <w:t xml:space="preserve"> (</w:t>
      </w:r>
      <w:r w:rsidR="002D641F">
        <w:t>iv</w:t>
      </w:r>
      <w:r w:rsidR="00472765">
        <w:t xml:space="preserve">) </w:t>
      </w:r>
      <w:r w:rsidR="004C4A89">
        <w:t>Buranello Passos Advogados.</w:t>
      </w:r>
    </w:p>
    <w:p w:rsidR="00062F2D" w:rsidRDefault="00062F2D" w:rsidP="00472765">
      <w:pPr>
        <w:spacing w:line="312" w:lineRule="auto"/>
        <w:contextualSpacing/>
        <w:jc w:val="both"/>
        <w:rPr>
          <w:b/>
        </w:rPr>
      </w:pPr>
    </w:p>
    <w:p w:rsidR="009C1CF9" w:rsidRPr="00747D1D" w:rsidRDefault="002E258A" w:rsidP="00472765">
      <w:pPr>
        <w:spacing w:line="312" w:lineRule="auto"/>
        <w:contextualSpacing/>
        <w:jc w:val="both"/>
        <w:rPr>
          <w:b/>
          <w:color w:val="000000"/>
        </w:rPr>
      </w:pPr>
      <w:r>
        <w:rPr>
          <w:b/>
        </w:rPr>
        <w:t>3</w:t>
      </w:r>
      <w:r w:rsidR="009C1CF9" w:rsidRPr="00747D1D">
        <w:rPr>
          <w:b/>
        </w:rPr>
        <w:t>.</w:t>
      </w:r>
      <w:r w:rsidR="009C1CF9" w:rsidRPr="00747D1D">
        <w:rPr>
          <w:b/>
        </w:rPr>
        <w:tab/>
      </w:r>
      <w:r w:rsidR="009C1CF9" w:rsidRPr="00747D1D">
        <w:rPr>
          <w:b/>
          <w:color w:val="000000"/>
        </w:rPr>
        <w:t xml:space="preserve">Comentários </w:t>
      </w:r>
      <w:r w:rsidR="009E36B6">
        <w:rPr>
          <w:b/>
          <w:color w:val="000000"/>
        </w:rPr>
        <w:t>à</w:t>
      </w:r>
      <w:r w:rsidR="009C1CF9" w:rsidRPr="00747D1D">
        <w:rPr>
          <w:b/>
          <w:color w:val="000000"/>
        </w:rPr>
        <w:t xml:space="preserve"> Minuta</w:t>
      </w:r>
    </w:p>
    <w:p w:rsidR="009C1CF9" w:rsidRPr="00747D1D" w:rsidRDefault="009C1CF9" w:rsidP="00472765">
      <w:pPr>
        <w:spacing w:line="312" w:lineRule="auto"/>
        <w:contextualSpacing/>
        <w:rPr>
          <w:b/>
        </w:rPr>
      </w:pPr>
    </w:p>
    <w:p w:rsidR="006570D9" w:rsidRPr="00747D1D" w:rsidRDefault="002E258A" w:rsidP="00472765">
      <w:pPr>
        <w:spacing w:line="312" w:lineRule="auto"/>
        <w:contextualSpacing/>
        <w:jc w:val="both"/>
        <w:rPr>
          <w:b/>
        </w:rPr>
      </w:pPr>
      <w:r>
        <w:rPr>
          <w:b/>
        </w:rPr>
        <w:t>3</w:t>
      </w:r>
      <w:r w:rsidR="006570D9" w:rsidRPr="00747D1D">
        <w:rPr>
          <w:b/>
        </w:rPr>
        <w:t>.</w:t>
      </w:r>
      <w:r w:rsidR="00C73E97" w:rsidRPr="00747D1D">
        <w:rPr>
          <w:b/>
        </w:rPr>
        <w:t>1</w:t>
      </w:r>
      <w:r w:rsidR="006570D9" w:rsidRPr="00747D1D">
        <w:rPr>
          <w:b/>
        </w:rPr>
        <w:t>.</w:t>
      </w:r>
      <w:r w:rsidR="006570D9" w:rsidRPr="00747D1D">
        <w:rPr>
          <w:b/>
        </w:rPr>
        <w:tab/>
      </w:r>
      <w:r w:rsidR="00C84715">
        <w:rPr>
          <w:b/>
        </w:rPr>
        <w:t>Redução do prazo para realização de nova oferta</w:t>
      </w:r>
      <w:r w:rsidR="00FB6039">
        <w:rPr>
          <w:b/>
        </w:rPr>
        <w:t xml:space="preserve"> com esforços restritos</w:t>
      </w:r>
      <w:r>
        <w:rPr>
          <w:b/>
        </w:rPr>
        <w:t xml:space="preserve"> </w:t>
      </w:r>
      <w:r w:rsidR="00FB6039">
        <w:rPr>
          <w:b/>
        </w:rPr>
        <w:t xml:space="preserve">(art. 9º, Instrução </w:t>
      </w:r>
      <w:r w:rsidR="009E36B6">
        <w:rPr>
          <w:b/>
        </w:rPr>
        <w:t xml:space="preserve">CVM </w:t>
      </w:r>
      <w:r w:rsidR="00FB6039">
        <w:rPr>
          <w:b/>
        </w:rPr>
        <w:t>nº 476, de 2009)</w:t>
      </w:r>
    </w:p>
    <w:p w:rsidR="006570D9" w:rsidRDefault="006570D9" w:rsidP="00472765">
      <w:pPr>
        <w:spacing w:line="312" w:lineRule="auto"/>
        <w:contextualSpacing/>
      </w:pPr>
    </w:p>
    <w:p w:rsidR="00273D2E" w:rsidRDefault="002E258A" w:rsidP="00472765">
      <w:pPr>
        <w:spacing w:line="312" w:lineRule="auto"/>
        <w:ind w:firstLine="720"/>
        <w:contextualSpacing/>
        <w:jc w:val="both"/>
      </w:pPr>
      <w:r>
        <w:t xml:space="preserve">A </w:t>
      </w:r>
      <w:r w:rsidR="00834ED2">
        <w:t xml:space="preserve">ANBIMA sugere que, tratando-se de distribuição de </w:t>
      </w:r>
      <w:r>
        <w:t>l</w:t>
      </w:r>
      <w:r w:rsidR="00834ED2">
        <w:t xml:space="preserve">etra </w:t>
      </w:r>
      <w:r>
        <w:t>f</w:t>
      </w:r>
      <w:r w:rsidR="00834ED2">
        <w:t xml:space="preserve">inanceira </w:t>
      </w:r>
      <w:r w:rsidR="009E36B6">
        <w:t>por meio</w:t>
      </w:r>
      <w:r w:rsidR="00834ED2">
        <w:t xml:space="preserve"> de oferta pública </w:t>
      </w:r>
      <w:r w:rsidR="00A560B8">
        <w:t>com</w:t>
      </w:r>
      <w:r w:rsidR="00834ED2">
        <w:t xml:space="preserve"> esforços de venda restritos, o prazo previsto no art</w:t>
      </w:r>
      <w:r w:rsidR="00DA6368">
        <w:t>.</w:t>
      </w:r>
      <w:r w:rsidR="00834ED2">
        <w:t xml:space="preserve"> 9° da Instrução CVM n° 476</w:t>
      </w:r>
      <w:r w:rsidR="001737C1">
        <w:t>, de 2009,</w:t>
      </w:r>
      <w:r w:rsidR="00834ED2">
        <w:t xml:space="preserve"> seja reduzido de </w:t>
      </w:r>
      <w:r w:rsidR="00117048">
        <w:t>4</w:t>
      </w:r>
      <w:r w:rsidR="00834ED2">
        <w:t xml:space="preserve"> para </w:t>
      </w:r>
      <w:r w:rsidR="00117048">
        <w:t>1</w:t>
      </w:r>
      <w:r w:rsidR="00834ED2">
        <w:t xml:space="preserve"> mês. </w:t>
      </w:r>
    </w:p>
    <w:p w:rsidR="00273D2E" w:rsidRDefault="00273D2E" w:rsidP="00472765">
      <w:pPr>
        <w:spacing w:line="312" w:lineRule="auto"/>
        <w:ind w:firstLine="720"/>
        <w:contextualSpacing/>
        <w:jc w:val="both"/>
      </w:pPr>
    </w:p>
    <w:p w:rsidR="00834ED2" w:rsidRPr="00747D1D" w:rsidRDefault="007F3882" w:rsidP="00472765">
      <w:pPr>
        <w:spacing w:line="312" w:lineRule="auto"/>
        <w:ind w:firstLine="720"/>
        <w:contextualSpacing/>
        <w:jc w:val="both"/>
      </w:pPr>
      <w:r>
        <w:t xml:space="preserve">Argumenta </w:t>
      </w:r>
      <w:r w:rsidR="00834ED2">
        <w:t>que, com esta redução, instituições que atualmente não são registradas como emissoras de valores mobiliários e que t</w:t>
      </w:r>
      <w:r w:rsidR="00E02E89">
        <w:t>ê</w:t>
      </w:r>
      <w:r w:rsidR="00834ED2">
        <w:t>m como público alvo investidores qualificados, conforme discriminado no art</w:t>
      </w:r>
      <w:r w:rsidR="00DA6368">
        <w:t>.</w:t>
      </w:r>
      <w:r w:rsidR="00834ED2">
        <w:t xml:space="preserve"> 4° da referida Instrução, poderão valer-se da</w:t>
      </w:r>
      <w:r w:rsidR="002E258A">
        <w:t xml:space="preserve"> emissão de l</w:t>
      </w:r>
      <w:r w:rsidR="00834ED2">
        <w:t xml:space="preserve">etra </w:t>
      </w:r>
      <w:r w:rsidR="002E258A">
        <w:t>f</w:t>
      </w:r>
      <w:r w:rsidR="00834ED2">
        <w:t>inanceira</w:t>
      </w:r>
      <w:r w:rsidR="002E258A">
        <w:t xml:space="preserve"> via</w:t>
      </w:r>
      <w:r w:rsidR="00834ED2">
        <w:t xml:space="preserve"> Instrução CVM n° 476</w:t>
      </w:r>
      <w:r w:rsidR="001737C1">
        <w:t>, de 2009,</w:t>
      </w:r>
      <w:r w:rsidR="00834ED2">
        <w:t xml:space="preserve"> como mais um</w:t>
      </w:r>
      <w:r w:rsidR="00A560B8">
        <w:t>a</w:t>
      </w:r>
      <w:r w:rsidR="00834ED2">
        <w:t xml:space="preserve"> </w:t>
      </w:r>
      <w:r w:rsidR="00A560B8">
        <w:t>alternativa</w:t>
      </w:r>
      <w:r w:rsidR="00834ED2">
        <w:t xml:space="preserve"> de captação de recursos. </w:t>
      </w:r>
    </w:p>
    <w:p w:rsidR="00CB46E6" w:rsidRPr="00747D1D" w:rsidRDefault="00CB46E6" w:rsidP="00472765">
      <w:pPr>
        <w:spacing w:line="312" w:lineRule="auto"/>
        <w:ind w:firstLine="708"/>
        <w:contextualSpacing/>
        <w:jc w:val="both"/>
        <w:rPr>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tblPr>
      <w:tblGrid>
        <w:gridCol w:w="9072"/>
      </w:tblGrid>
      <w:tr w:rsidR="006570D9" w:rsidRPr="00747D1D" w:rsidTr="00A1355D">
        <w:trPr>
          <w:trHeight w:val="310"/>
        </w:trPr>
        <w:tc>
          <w:tcPr>
            <w:tcW w:w="9072" w:type="dxa"/>
            <w:shd w:val="clear" w:color="auto" w:fill="F3F3F3"/>
          </w:tcPr>
          <w:p w:rsidR="00095B7A" w:rsidRDefault="00117048" w:rsidP="00472765">
            <w:pPr>
              <w:pStyle w:val="SDM"/>
              <w:spacing w:line="312" w:lineRule="auto"/>
              <w:ind w:firstLine="497"/>
              <w:contextualSpacing/>
            </w:pPr>
            <w:r>
              <w:t>O objetivo da imposição de prazo de 4 meses entre distribuiç</w:t>
            </w:r>
            <w:r w:rsidR="00E02E89">
              <w:t>ões com esforços restritos</w:t>
            </w:r>
            <w:r>
              <w:t xml:space="preserve"> de um mesmo valor mobiliário, por um mesmo ofertante, é evitar que uma oferta pública cujas características se aproximem mais daquelas ofertas reguladas pela Instrução </w:t>
            </w:r>
            <w:r w:rsidR="009E36B6">
              <w:t xml:space="preserve">CVM </w:t>
            </w:r>
            <w:r>
              <w:t xml:space="preserve">nº 400, de 2003, seja feita por meio de seguidas ofertas com esforços restritos.  A CVM entende que o prazo de 4 meses é adequado para assegurar os objetivos da norma. </w:t>
            </w:r>
          </w:p>
          <w:p w:rsidR="00117048" w:rsidRDefault="00117048" w:rsidP="00472765">
            <w:pPr>
              <w:pStyle w:val="SDM"/>
              <w:spacing w:line="312" w:lineRule="auto"/>
              <w:ind w:firstLine="497"/>
              <w:contextualSpacing/>
            </w:pPr>
          </w:p>
          <w:p w:rsidR="00665FC7" w:rsidRDefault="002849D1" w:rsidP="00E02E89">
            <w:pPr>
              <w:pStyle w:val="SDM"/>
              <w:spacing w:line="312" w:lineRule="auto"/>
              <w:ind w:firstLine="497"/>
              <w:contextualSpacing/>
            </w:pPr>
            <w:r>
              <w:lastRenderedPageBreak/>
              <w:t>Por ess</w:t>
            </w:r>
            <w:r w:rsidR="00FF09F1">
              <w:t>a</w:t>
            </w:r>
            <w:r>
              <w:t xml:space="preserve"> </w:t>
            </w:r>
            <w:r w:rsidR="00FF09F1">
              <w:t>razão</w:t>
            </w:r>
            <w:r>
              <w:t xml:space="preserve">, a </w:t>
            </w:r>
            <w:r w:rsidR="00E02E89">
              <w:t>CVM</w:t>
            </w:r>
            <w:r>
              <w:t xml:space="preserve"> considera necessário esse intervalo e, </w:t>
            </w:r>
            <w:r w:rsidR="005726C5">
              <w:t>por isso manteve a redação original da proposta</w:t>
            </w:r>
            <w:r w:rsidR="00120FC5">
              <w:t>.</w:t>
            </w:r>
            <w:r w:rsidR="00095B7A">
              <w:t xml:space="preserve"> </w:t>
            </w:r>
          </w:p>
        </w:tc>
      </w:tr>
    </w:tbl>
    <w:p w:rsidR="006570D9" w:rsidRDefault="006570D9" w:rsidP="00472765">
      <w:pPr>
        <w:spacing w:line="312" w:lineRule="auto"/>
        <w:contextualSpacing/>
        <w:rPr>
          <w:b/>
        </w:rPr>
      </w:pPr>
    </w:p>
    <w:p w:rsidR="00665FC7" w:rsidRDefault="00273D2E" w:rsidP="00665FC7">
      <w:pPr>
        <w:spacing w:line="312" w:lineRule="auto"/>
        <w:contextualSpacing/>
        <w:jc w:val="both"/>
        <w:rPr>
          <w:b/>
        </w:rPr>
      </w:pPr>
      <w:r>
        <w:rPr>
          <w:b/>
        </w:rPr>
        <w:t>3</w:t>
      </w:r>
      <w:r w:rsidR="00132677">
        <w:rPr>
          <w:b/>
        </w:rPr>
        <w:t>.</w:t>
      </w:r>
      <w:r w:rsidR="00834ED2">
        <w:rPr>
          <w:b/>
        </w:rPr>
        <w:t xml:space="preserve">2. </w:t>
      </w:r>
      <w:r w:rsidR="00DA6368">
        <w:rPr>
          <w:b/>
        </w:rPr>
        <w:tab/>
        <w:t xml:space="preserve">Instituições autorizadas a emitir no âmbito do “PDC” (art. 13-A, </w:t>
      </w:r>
      <w:r w:rsidR="007C7D00">
        <w:rPr>
          <w:b/>
        </w:rPr>
        <w:t>caput</w:t>
      </w:r>
      <w:r w:rsidR="00665FC7" w:rsidRPr="00665FC7">
        <w:rPr>
          <w:b/>
        </w:rPr>
        <w:t>, da Instrução CVM nº 400, de 2003</w:t>
      </w:r>
      <w:r w:rsidR="00DA6368">
        <w:rPr>
          <w:b/>
        </w:rPr>
        <w:t>)</w:t>
      </w:r>
    </w:p>
    <w:p w:rsidR="00DA6368" w:rsidRDefault="00DA6368" w:rsidP="00472765">
      <w:pPr>
        <w:spacing w:line="312" w:lineRule="auto"/>
        <w:contextualSpacing/>
        <w:rPr>
          <w:b/>
        </w:rPr>
      </w:pPr>
    </w:p>
    <w:p w:rsidR="00665FC7" w:rsidRDefault="00DA6368" w:rsidP="00665FC7">
      <w:pPr>
        <w:spacing w:line="312" w:lineRule="auto"/>
        <w:ind w:firstLine="720"/>
        <w:contextualSpacing/>
        <w:jc w:val="both"/>
      </w:pPr>
      <w:r>
        <w:t xml:space="preserve">A BM&amp;FBovespa sugere </w:t>
      </w:r>
      <w:r w:rsidR="009E36B6">
        <w:t xml:space="preserve">que </w:t>
      </w:r>
      <w:r>
        <w:t>as sociedades de crédito, financiamento e investimento, companhias hipotecárias e sociedades de crédito imobiliário sejam autorizadas a emitir letras financeiras no âmbito do PDC.  Isto porque o valor unitário da letra financeira será, no mínimo, de R$ 300.000,00</w:t>
      </w:r>
      <w:r w:rsidR="00CE40D3">
        <w:t xml:space="preserve"> (trezentos mil reais)</w:t>
      </w:r>
      <w:r>
        <w:t>, e assim tais títulos não serão destinados ao varejo.</w:t>
      </w:r>
    </w:p>
    <w:p w:rsidR="00DA6368" w:rsidRDefault="00DA6368" w:rsidP="00472765">
      <w:pPr>
        <w:spacing w:line="312"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180"/>
      </w:tblGrid>
      <w:tr w:rsidR="00DA6368" w:rsidRPr="00542F05" w:rsidTr="00A1355D">
        <w:tc>
          <w:tcPr>
            <w:tcW w:w="9180" w:type="dxa"/>
            <w:shd w:val="pct5" w:color="auto" w:fill="auto"/>
          </w:tcPr>
          <w:p w:rsidR="00665FC7" w:rsidRDefault="00DA6368">
            <w:pPr>
              <w:spacing w:line="312" w:lineRule="auto"/>
              <w:ind w:firstLine="567"/>
              <w:contextualSpacing/>
              <w:jc w:val="both"/>
            </w:pPr>
            <w:r>
              <w:t xml:space="preserve">A </w:t>
            </w:r>
            <w:r w:rsidR="009A3101">
              <w:t>CVM</w:t>
            </w:r>
            <w:r>
              <w:t xml:space="preserve"> entende que, nesse primeiro momento, a utilização do PDC deve estar restrita </w:t>
            </w:r>
            <w:r w:rsidR="009E36B6">
              <w:t>à</w:t>
            </w:r>
            <w:r>
              <w:t>s instituições mencionadas na Minuta</w:t>
            </w:r>
            <w:r w:rsidR="006A72F6">
              <w:t>, conforme exposto no edital de audiência pública</w:t>
            </w:r>
            <w:r>
              <w:t>.</w:t>
            </w:r>
          </w:p>
        </w:tc>
      </w:tr>
    </w:tbl>
    <w:p w:rsidR="00DA6368" w:rsidRDefault="00DA6368" w:rsidP="00472765">
      <w:pPr>
        <w:spacing w:line="312" w:lineRule="auto"/>
        <w:contextualSpacing/>
        <w:jc w:val="both"/>
        <w:rPr>
          <w:b/>
        </w:rPr>
      </w:pPr>
    </w:p>
    <w:p w:rsidR="00834ED2" w:rsidRDefault="00DA6368" w:rsidP="00472765">
      <w:pPr>
        <w:spacing w:line="312" w:lineRule="auto"/>
        <w:contextualSpacing/>
        <w:jc w:val="both"/>
        <w:rPr>
          <w:b/>
        </w:rPr>
      </w:pPr>
      <w:r>
        <w:rPr>
          <w:b/>
        </w:rPr>
        <w:t>3.3.</w:t>
      </w:r>
      <w:r>
        <w:rPr>
          <w:b/>
        </w:rPr>
        <w:tab/>
      </w:r>
      <w:r w:rsidR="00FB6039">
        <w:rPr>
          <w:b/>
        </w:rPr>
        <w:t>“Classe e espécie” de letras financeiras (inciso II do</w:t>
      </w:r>
      <w:r w:rsidR="00FB7E45">
        <w:rPr>
          <w:b/>
        </w:rPr>
        <w:t xml:space="preserve"> §2</w:t>
      </w:r>
      <w:r w:rsidR="00FB6039">
        <w:rPr>
          <w:b/>
        </w:rPr>
        <w:t>º</w:t>
      </w:r>
      <w:r w:rsidR="00FB7E45">
        <w:rPr>
          <w:b/>
        </w:rPr>
        <w:t xml:space="preserve"> do art</w:t>
      </w:r>
      <w:r>
        <w:rPr>
          <w:b/>
        </w:rPr>
        <w:t>.</w:t>
      </w:r>
      <w:r w:rsidR="00FB7E45">
        <w:rPr>
          <w:b/>
        </w:rPr>
        <w:t xml:space="preserve"> 13-A</w:t>
      </w:r>
      <w:r w:rsidR="009E36B6">
        <w:rPr>
          <w:b/>
        </w:rPr>
        <w:t>, da Instrução CVM nº 400, de 2003</w:t>
      </w:r>
      <w:r w:rsidR="00FB6039">
        <w:rPr>
          <w:b/>
        </w:rPr>
        <w:t>)</w:t>
      </w:r>
      <w:r w:rsidR="00834ED2">
        <w:rPr>
          <w:b/>
        </w:rPr>
        <w:t xml:space="preserve"> </w:t>
      </w:r>
    </w:p>
    <w:p w:rsidR="007474EE" w:rsidRDefault="007474EE" w:rsidP="00472765">
      <w:pPr>
        <w:spacing w:line="312" w:lineRule="auto"/>
        <w:contextualSpacing/>
      </w:pPr>
    </w:p>
    <w:p w:rsidR="007474EE" w:rsidRDefault="002E258A" w:rsidP="00472765">
      <w:pPr>
        <w:spacing w:line="312" w:lineRule="auto"/>
        <w:ind w:firstLine="720"/>
        <w:contextualSpacing/>
        <w:jc w:val="both"/>
      </w:pPr>
      <w:r>
        <w:t xml:space="preserve">A </w:t>
      </w:r>
      <w:r w:rsidR="007474EE">
        <w:t xml:space="preserve">ANBIMA sugere </w:t>
      </w:r>
      <w:r>
        <w:t>que o conceito de títulos fungíveis possa ser utilizado dentro de uma mesma série.</w:t>
      </w:r>
      <w:r w:rsidR="00C21690">
        <w:t xml:space="preserve"> </w:t>
      </w:r>
      <w:r>
        <w:t>Para tanto, propõe alter</w:t>
      </w:r>
      <w:r w:rsidR="00FB6039">
        <w:t>ações</w:t>
      </w:r>
      <w:r>
        <w:t xml:space="preserve"> </w:t>
      </w:r>
      <w:r w:rsidR="00FB6039">
        <w:t>n</w:t>
      </w:r>
      <w:r>
        <w:t xml:space="preserve">o </w:t>
      </w:r>
      <w:r w:rsidR="00DA6368">
        <w:t>§2° do art.</w:t>
      </w:r>
      <w:r w:rsidR="007474EE">
        <w:t xml:space="preserve"> 13-A</w:t>
      </w:r>
      <w:r w:rsidR="00FB6039">
        <w:t>, que passaria a ter a seguinte redação:</w:t>
      </w:r>
      <w:r>
        <w:t xml:space="preserve"> </w:t>
      </w:r>
    </w:p>
    <w:p w:rsidR="007967B0" w:rsidRDefault="007967B0" w:rsidP="00472765">
      <w:pPr>
        <w:spacing w:line="312" w:lineRule="auto"/>
        <w:ind w:firstLine="720"/>
        <w:contextualSpacing/>
        <w:jc w:val="both"/>
        <w:rPr>
          <w:i/>
        </w:rPr>
      </w:pPr>
    </w:p>
    <w:p w:rsidR="007474EE" w:rsidRPr="00FB7E45" w:rsidRDefault="00FB6039" w:rsidP="00472765">
      <w:pPr>
        <w:spacing w:line="312" w:lineRule="auto"/>
        <w:ind w:firstLine="720"/>
        <w:contextualSpacing/>
        <w:jc w:val="both"/>
        <w:rPr>
          <w:i/>
        </w:rPr>
      </w:pPr>
      <w:r>
        <w:rPr>
          <w:i/>
        </w:rPr>
        <w:t>“</w:t>
      </w:r>
      <w:r w:rsidR="007474EE" w:rsidRPr="00FB7E45">
        <w:rPr>
          <w:i/>
        </w:rPr>
        <w:t>Art.13-A (...)</w:t>
      </w:r>
    </w:p>
    <w:p w:rsidR="007474EE" w:rsidRPr="00FB7E45" w:rsidRDefault="007474EE" w:rsidP="00472765">
      <w:pPr>
        <w:spacing w:line="312" w:lineRule="auto"/>
        <w:ind w:firstLine="720"/>
        <w:contextualSpacing/>
        <w:jc w:val="both"/>
        <w:rPr>
          <w:i/>
        </w:rPr>
      </w:pPr>
      <w:r w:rsidRPr="00FB7E45">
        <w:rPr>
          <w:i/>
        </w:rPr>
        <w:t>§2° O Programa de Distribuição Continua permite:</w:t>
      </w:r>
    </w:p>
    <w:p w:rsidR="007474EE" w:rsidRPr="00FB7E45" w:rsidRDefault="007474EE" w:rsidP="00472765">
      <w:pPr>
        <w:spacing w:line="312" w:lineRule="auto"/>
        <w:ind w:firstLine="720"/>
        <w:contextualSpacing/>
        <w:jc w:val="both"/>
        <w:rPr>
          <w:i/>
        </w:rPr>
      </w:pPr>
      <w:r w:rsidRPr="00FB7E45">
        <w:rPr>
          <w:i/>
        </w:rPr>
        <w:t>(...)</w:t>
      </w:r>
    </w:p>
    <w:p w:rsidR="007474EE" w:rsidRPr="00737F5C" w:rsidRDefault="007474EE" w:rsidP="00472765">
      <w:pPr>
        <w:spacing w:line="312" w:lineRule="auto"/>
        <w:ind w:firstLine="720"/>
        <w:contextualSpacing/>
        <w:jc w:val="both"/>
        <w:rPr>
          <w:i/>
        </w:rPr>
      </w:pPr>
      <w:r w:rsidRPr="00FB7E45">
        <w:rPr>
          <w:i/>
        </w:rPr>
        <w:t xml:space="preserve">II – o registro de múltiplas </w:t>
      </w:r>
      <w:r w:rsidRPr="00023771">
        <w:rPr>
          <w:b/>
          <w:i/>
        </w:rPr>
        <w:t>séries de letras financeiras</w:t>
      </w:r>
      <w:r w:rsidRPr="00737F5C">
        <w:rPr>
          <w:i/>
        </w:rPr>
        <w:t>;</w:t>
      </w:r>
    </w:p>
    <w:p w:rsidR="002562FA" w:rsidRDefault="007474EE">
      <w:pPr>
        <w:spacing w:line="312" w:lineRule="auto"/>
        <w:ind w:left="709"/>
        <w:contextualSpacing/>
        <w:jc w:val="both"/>
        <w:rPr>
          <w:i/>
        </w:rPr>
      </w:pPr>
      <w:r w:rsidRPr="00FB7E45">
        <w:rPr>
          <w:i/>
        </w:rPr>
        <w:t>III</w:t>
      </w:r>
      <w:r w:rsidR="00E6622B" w:rsidRPr="00FB7E45">
        <w:rPr>
          <w:i/>
        </w:rPr>
        <w:t xml:space="preserve"> – o registro de mais de uma distribuição dentro de uma mesma série com possibilidade de incremento de volume</w:t>
      </w:r>
      <w:r w:rsidR="00FB6039">
        <w:rPr>
          <w:i/>
        </w:rPr>
        <w:t>.”</w:t>
      </w:r>
    </w:p>
    <w:p w:rsidR="007474EE" w:rsidRPr="00FB7E45" w:rsidRDefault="007474EE" w:rsidP="00472765">
      <w:pPr>
        <w:spacing w:line="312" w:lineRule="auto"/>
        <w:ind w:firstLine="720"/>
        <w:contextualSpacing/>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180"/>
      </w:tblGrid>
      <w:tr w:rsidR="004C4A89" w:rsidTr="00A1355D">
        <w:tc>
          <w:tcPr>
            <w:tcW w:w="9180" w:type="dxa"/>
            <w:shd w:val="pct5" w:color="auto" w:fill="auto"/>
          </w:tcPr>
          <w:p w:rsidR="00A96339" w:rsidRDefault="00A96339" w:rsidP="00472765">
            <w:pPr>
              <w:spacing w:line="312" w:lineRule="auto"/>
              <w:ind w:firstLine="567"/>
              <w:contextualSpacing/>
              <w:jc w:val="both"/>
            </w:pPr>
            <w:r>
              <w:t xml:space="preserve">O comentário do participante </w:t>
            </w:r>
            <w:r w:rsidR="00F47315">
              <w:t>é pertinente</w:t>
            </w:r>
            <w:r>
              <w:t>. O objetivo da CVM com a redação originalmente proposta era identificar títulos econômica e juridicamente fungíveis, por isso usou a expressão “mesma classe e espécie”.  Tais adjetivos são utilizados para identificar as características de ações, por conta do art</w:t>
            </w:r>
            <w:r w:rsidR="00DA6368">
              <w:t>.</w:t>
            </w:r>
            <w:r>
              <w:t xml:space="preserve"> 15 da Lei nº 6.404, de 15 de dezembro de 1976.  </w:t>
            </w:r>
          </w:p>
          <w:p w:rsidR="00A96339" w:rsidRDefault="00A96339" w:rsidP="00472765">
            <w:pPr>
              <w:spacing w:line="312" w:lineRule="auto"/>
              <w:ind w:firstLine="567"/>
              <w:contextualSpacing/>
              <w:jc w:val="both"/>
            </w:pPr>
          </w:p>
          <w:p w:rsidR="00004811" w:rsidRDefault="00A96339" w:rsidP="00472765">
            <w:pPr>
              <w:spacing w:line="312" w:lineRule="auto"/>
              <w:ind w:firstLine="567"/>
              <w:contextualSpacing/>
              <w:jc w:val="both"/>
            </w:pPr>
            <w:r>
              <w:t>No entanto, o art</w:t>
            </w:r>
            <w:r w:rsidR="00DA6368">
              <w:t xml:space="preserve">. </w:t>
            </w:r>
            <w:r>
              <w:t xml:space="preserve">53 da Lei </w:t>
            </w:r>
            <w:r w:rsidR="00004811">
              <w:t xml:space="preserve">nº </w:t>
            </w:r>
            <w:r>
              <w:t xml:space="preserve">6.404, de 1976, </w:t>
            </w:r>
            <w:r w:rsidR="006A72F6">
              <w:t xml:space="preserve">classifica </w:t>
            </w:r>
            <w:r>
              <w:t>as</w:t>
            </w:r>
            <w:r w:rsidR="00004811">
              <w:t xml:space="preserve"> debêntures entre aquelas de mesma emissão e série, conferi</w:t>
            </w:r>
            <w:r w:rsidR="006A72F6">
              <w:t>n</w:t>
            </w:r>
            <w:r w:rsidR="00004811">
              <w:t>do a fungibilidade jurídica e econômica àquelas debêntures da mesma série (“[</w:t>
            </w:r>
            <w:r w:rsidR="00004811" w:rsidRPr="00472765">
              <w:rPr>
                <w:i/>
              </w:rPr>
              <w:t>a</w:t>
            </w:r>
            <w:r w:rsidR="00004811">
              <w:t>]</w:t>
            </w:r>
            <w:r w:rsidR="00004811" w:rsidRPr="00472765">
              <w:rPr>
                <w:i/>
              </w:rPr>
              <w:t>s debêntures da mesma série terão igual valor nominal e conferirão a seus titulares os mesmos direitos</w:t>
            </w:r>
            <w:r w:rsidR="00004811">
              <w:t>”).</w:t>
            </w:r>
          </w:p>
          <w:p w:rsidR="00004811" w:rsidRDefault="00004811" w:rsidP="00472765">
            <w:pPr>
              <w:spacing w:line="312" w:lineRule="auto"/>
              <w:ind w:firstLine="567"/>
              <w:contextualSpacing/>
              <w:jc w:val="both"/>
            </w:pPr>
          </w:p>
          <w:p w:rsidR="00004811" w:rsidRDefault="00004811" w:rsidP="00472765">
            <w:pPr>
              <w:spacing w:line="312" w:lineRule="auto"/>
              <w:ind w:firstLine="567"/>
              <w:contextualSpacing/>
              <w:jc w:val="both"/>
            </w:pPr>
            <w:r>
              <w:t xml:space="preserve">Tendo em vista que a letra financeira é um título muito mais próximo das debêntures que das ações, parece mais adequado identificar sua fungibilidade jurídica e econômica por meio de série e não </w:t>
            </w:r>
            <w:r w:rsidR="00CE40D3">
              <w:t xml:space="preserve">por meio de sua </w:t>
            </w:r>
            <w:r>
              <w:t xml:space="preserve">“classe e espécie”.    </w:t>
            </w:r>
          </w:p>
          <w:p w:rsidR="00004811" w:rsidRDefault="00004811" w:rsidP="00472765">
            <w:pPr>
              <w:spacing w:line="312" w:lineRule="auto"/>
              <w:ind w:firstLine="567"/>
              <w:contextualSpacing/>
              <w:jc w:val="both"/>
            </w:pPr>
          </w:p>
          <w:p w:rsidR="00F47315" w:rsidRDefault="00F47315" w:rsidP="00472765">
            <w:pPr>
              <w:spacing w:line="312" w:lineRule="auto"/>
              <w:ind w:firstLine="567"/>
              <w:contextualSpacing/>
              <w:jc w:val="both"/>
            </w:pPr>
            <w:r>
              <w:t xml:space="preserve">Por essa razão, </w:t>
            </w:r>
            <w:r w:rsidR="00004811">
              <w:t>a sugestão foi aceita com ajustes à redação.</w:t>
            </w:r>
          </w:p>
        </w:tc>
      </w:tr>
    </w:tbl>
    <w:p w:rsidR="004C4A89" w:rsidRDefault="004C4A89" w:rsidP="00472765">
      <w:pPr>
        <w:pStyle w:val="Subttulo"/>
        <w:spacing w:after="0" w:line="312" w:lineRule="auto"/>
        <w:contextualSpacing/>
      </w:pPr>
    </w:p>
    <w:p w:rsidR="00A22137" w:rsidRDefault="00DA6368" w:rsidP="00472765">
      <w:pPr>
        <w:spacing w:line="312" w:lineRule="auto"/>
        <w:contextualSpacing/>
        <w:jc w:val="both"/>
        <w:rPr>
          <w:b/>
        </w:rPr>
      </w:pPr>
      <w:r>
        <w:rPr>
          <w:b/>
        </w:rPr>
        <w:t>3.4</w:t>
      </w:r>
      <w:r>
        <w:rPr>
          <w:b/>
        </w:rPr>
        <w:tab/>
        <w:t>Contrato de distribuição (</w:t>
      </w:r>
      <w:r w:rsidR="00FB7E45">
        <w:rPr>
          <w:b/>
        </w:rPr>
        <w:t>§4° do art</w:t>
      </w:r>
      <w:r>
        <w:rPr>
          <w:b/>
        </w:rPr>
        <w:t>.</w:t>
      </w:r>
      <w:r w:rsidR="00FB7E45">
        <w:rPr>
          <w:b/>
        </w:rPr>
        <w:t xml:space="preserve"> 33 da Instrução CVM n° 400</w:t>
      </w:r>
      <w:r w:rsidR="009E36B6">
        <w:rPr>
          <w:b/>
        </w:rPr>
        <w:t>, de 2003</w:t>
      </w:r>
      <w:r>
        <w:rPr>
          <w:b/>
        </w:rPr>
        <w:t>)</w:t>
      </w:r>
    </w:p>
    <w:p w:rsidR="00FB7E45" w:rsidRDefault="00FB7E45" w:rsidP="00472765">
      <w:pPr>
        <w:spacing w:line="312" w:lineRule="auto"/>
        <w:contextualSpacing/>
      </w:pPr>
    </w:p>
    <w:p w:rsidR="00132677" w:rsidRDefault="00273D2E" w:rsidP="00472765">
      <w:pPr>
        <w:spacing w:line="312" w:lineRule="auto"/>
        <w:ind w:firstLine="720"/>
        <w:contextualSpacing/>
        <w:jc w:val="both"/>
      </w:pPr>
      <w:r>
        <w:t xml:space="preserve">A </w:t>
      </w:r>
      <w:r w:rsidR="00132677">
        <w:t xml:space="preserve">ANBIMA </w:t>
      </w:r>
      <w:r w:rsidR="00DA6368">
        <w:t>sugere que a</w:t>
      </w:r>
      <w:r w:rsidR="00132677">
        <w:t xml:space="preserve"> dispensa </w:t>
      </w:r>
      <w:r w:rsidR="00DA6368">
        <w:t>de</w:t>
      </w:r>
      <w:r w:rsidR="00132677">
        <w:t xml:space="preserve"> formalização de contrato de distribuição quando </w:t>
      </w:r>
      <w:r w:rsidR="006A72F6">
        <w:t xml:space="preserve">o </w:t>
      </w:r>
      <w:r w:rsidR="00132677">
        <w:t xml:space="preserve">emissor e o distribuidor forem a mesma pessoa </w:t>
      </w:r>
      <w:r w:rsidR="000063DC">
        <w:t>seja</w:t>
      </w:r>
      <w:r w:rsidR="00132677">
        <w:t xml:space="preserve"> estendida às hipóteses em que o emissor e o distribuidor </w:t>
      </w:r>
      <w:r w:rsidR="006A72F6">
        <w:t xml:space="preserve">integrem </w:t>
      </w:r>
      <w:r w:rsidR="00132677">
        <w:t>o mesmo grupo</w:t>
      </w:r>
      <w:r w:rsidR="009E36B6">
        <w:t xml:space="preserve"> </w:t>
      </w:r>
      <w:r w:rsidR="00132677">
        <w:t xml:space="preserve">econômico, uma vez </w:t>
      </w:r>
      <w:r w:rsidR="009E36B6">
        <w:t xml:space="preserve">que, </w:t>
      </w:r>
      <w:r w:rsidR="00DA6368">
        <w:t>para</w:t>
      </w:r>
      <w:r w:rsidR="00132677">
        <w:t xml:space="preserve"> </w:t>
      </w:r>
      <w:r w:rsidR="00DA6368">
        <w:t>u</w:t>
      </w:r>
      <w:r w:rsidR="00132677">
        <w:t>m número significativo de conglomerados financeiro</w:t>
      </w:r>
      <w:r w:rsidR="006A72F6">
        <w:t>s</w:t>
      </w:r>
      <w:r w:rsidR="00132677">
        <w:t xml:space="preserve"> no Brasil, o veículo que detém o registro de emissor de valores mobiliários (potencial emissor de letra financeira) não coincide com o veículo que atua como distribuidor em ofertas de valores mobiliários.</w:t>
      </w:r>
    </w:p>
    <w:p w:rsidR="00A22137" w:rsidRDefault="00A22137" w:rsidP="00472765">
      <w:pPr>
        <w:spacing w:line="312"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180"/>
      </w:tblGrid>
      <w:tr w:rsidR="004C4A89" w:rsidRPr="00542F05" w:rsidTr="00A1355D">
        <w:tc>
          <w:tcPr>
            <w:tcW w:w="9180" w:type="dxa"/>
            <w:shd w:val="pct5" w:color="auto" w:fill="auto"/>
          </w:tcPr>
          <w:p w:rsidR="00DA6368" w:rsidRPr="00DA6368" w:rsidRDefault="00DA6368" w:rsidP="00472765">
            <w:pPr>
              <w:spacing w:line="312" w:lineRule="auto"/>
              <w:ind w:firstLine="567"/>
              <w:contextualSpacing/>
              <w:jc w:val="both"/>
              <w:rPr>
                <w:color w:val="000000"/>
              </w:rPr>
            </w:pPr>
            <w:r>
              <w:t>Embora</w:t>
            </w:r>
            <w:r w:rsidR="00877DEF">
              <w:t xml:space="preserve"> </w:t>
            </w:r>
            <w:r>
              <w:t xml:space="preserve">sociedades pertencentes a um mesmo </w:t>
            </w:r>
            <w:r w:rsidR="00877DEF">
              <w:t>grupo econômico</w:t>
            </w:r>
            <w:r>
              <w:t xml:space="preserve"> tenham</w:t>
            </w:r>
            <w:r w:rsidR="008242D3">
              <w:t xml:space="preserve"> objetivos </w:t>
            </w:r>
            <w:r w:rsidR="006A72F6">
              <w:t xml:space="preserve">comuns </w:t>
            </w:r>
            <w:r w:rsidRPr="00DA6368">
              <w:rPr>
                <w:color w:val="000000"/>
              </w:rPr>
              <w:t>e, muitas vezes operações coordenadas</w:t>
            </w:r>
            <w:r w:rsidR="008242D3" w:rsidRPr="00DA6368">
              <w:rPr>
                <w:color w:val="000000"/>
              </w:rPr>
              <w:t>, cada uma destas conserva personalidade e patrimônio distintos, conforme estabelece o art.</w:t>
            </w:r>
            <w:r w:rsidR="006A72F6">
              <w:rPr>
                <w:color w:val="000000"/>
              </w:rPr>
              <w:t xml:space="preserve"> </w:t>
            </w:r>
            <w:r w:rsidR="008242D3" w:rsidRPr="00DA6368">
              <w:rPr>
                <w:color w:val="000000"/>
              </w:rPr>
              <w:t>266 da Lei 6.404</w:t>
            </w:r>
            <w:r w:rsidRPr="00DA6368">
              <w:rPr>
                <w:color w:val="000000"/>
              </w:rPr>
              <w:t>, de 1976</w:t>
            </w:r>
            <w:r w:rsidR="008242D3" w:rsidRPr="00DA6368">
              <w:rPr>
                <w:color w:val="000000"/>
              </w:rPr>
              <w:t>.</w:t>
            </w:r>
            <w:r>
              <w:rPr>
                <w:color w:val="000000"/>
              </w:rPr>
              <w:t xml:space="preserve">  Desta forma, é adequado que arranjos contratuais entre tais sociedade</w:t>
            </w:r>
            <w:r w:rsidR="006A72F6">
              <w:rPr>
                <w:color w:val="000000"/>
              </w:rPr>
              <w:t>s</w:t>
            </w:r>
            <w:r>
              <w:rPr>
                <w:color w:val="000000"/>
              </w:rPr>
              <w:t xml:space="preserve"> sejam documentados</w:t>
            </w:r>
            <w:r w:rsidR="006A72F6">
              <w:rPr>
                <w:color w:val="000000"/>
              </w:rPr>
              <w:t>,</w:t>
            </w:r>
            <w:r>
              <w:rPr>
                <w:color w:val="000000"/>
              </w:rPr>
              <w:t xml:space="preserve"> ficando clara a divisão de responsabilidades </w:t>
            </w:r>
            <w:r w:rsidR="00E02E89">
              <w:rPr>
                <w:color w:val="000000"/>
              </w:rPr>
              <w:t>entre as</w:t>
            </w:r>
            <w:r>
              <w:rPr>
                <w:color w:val="000000"/>
              </w:rPr>
              <w:t xml:space="preserve"> instituiç</w:t>
            </w:r>
            <w:r w:rsidR="00E02E89">
              <w:rPr>
                <w:color w:val="000000"/>
              </w:rPr>
              <w:t>ões</w:t>
            </w:r>
            <w:r>
              <w:rPr>
                <w:color w:val="000000"/>
              </w:rPr>
              <w:t>.</w:t>
            </w:r>
          </w:p>
          <w:p w:rsidR="00DA6368" w:rsidRPr="00DA6368" w:rsidRDefault="00DA6368" w:rsidP="00472765">
            <w:pPr>
              <w:spacing w:line="312" w:lineRule="auto"/>
              <w:ind w:firstLine="567"/>
              <w:contextualSpacing/>
              <w:jc w:val="both"/>
              <w:rPr>
                <w:color w:val="000000"/>
              </w:rPr>
            </w:pPr>
          </w:p>
          <w:p w:rsidR="00B60AA1" w:rsidRPr="00B60AA1" w:rsidRDefault="00DA6368" w:rsidP="00472765">
            <w:pPr>
              <w:spacing w:line="312" w:lineRule="auto"/>
              <w:ind w:firstLine="567"/>
              <w:contextualSpacing/>
              <w:jc w:val="both"/>
              <w:rPr>
                <w:color w:val="FF0000"/>
              </w:rPr>
            </w:pPr>
            <w:r w:rsidRPr="00DA6368">
              <w:rPr>
                <w:color w:val="000000"/>
              </w:rPr>
              <w:lastRenderedPageBreak/>
              <w:t>Por essa</w:t>
            </w:r>
            <w:r>
              <w:rPr>
                <w:color w:val="000000"/>
              </w:rPr>
              <w:t xml:space="preserve"> razão</w:t>
            </w:r>
            <w:r w:rsidR="00F55382">
              <w:t>, a redação original foi mantida.</w:t>
            </w:r>
          </w:p>
        </w:tc>
      </w:tr>
    </w:tbl>
    <w:p w:rsidR="004C4A89" w:rsidRDefault="004C4A89" w:rsidP="00472765">
      <w:pPr>
        <w:spacing w:line="312" w:lineRule="auto"/>
        <w:contextualSpacing/>
        <w:rPr>
          <w:b/>
        </w:rPr>
      </w:pPr>
    </w:p>
    <w:p w:rsidR="00D32BA9" w:rsidRDefault="001168B2" w:rsidP="00472765">
      <w:pPr>
        <w:spacing w:line="312" w:lineRule="auto"/>
        <w:contextualSpacing/>
        <w:rPr>
          <w:b/>
        </w:rPr>
      </w:pPr>
      <w:r>
        <w:rPr>
          <w:b/>
        </w:rPr>
        <w:t>3.</w:t>
      </w:r>
      <w:r w:rsidR="009A3101">
        <w:rPr>
          <w:b/>
        </w:rPr>
        <w:t>5.</w:t>
      </w:r>
      <w:r w:rsidR="009A3101">
        <w:rPr>
          <w:b/>
        </w:rPr>
        <w:tab/>
        <w:t>Suspensão do PDC (</w:t>
      </w:r>
      <w:r w:rsidR="00DA6368" w:rsidRPr="00DA6368">
        <w:rPr>
          <w:b/>
        </w:rPr>
        <w:t>art.</w:t>
      </w:r>
      <w:r w:rsidR="00D32BA9">
        <w:rPr>
          <w:b/>
        </w:rPr>
        <w:t xml:space="preserve">13-F </w:t>
      </w:r>
      <w:r w:rsidR="00F55382">
        <w:rPr>
          <w:b/>
        </w:rPr>
        <w:t>d</w:t>
      </w:r>
      <w:r w:rsidR="00D32BA9">
        <w:rPr>
          <w:b/>
        </w:rPr>
        <w:t>a Instrução CVM n° 400, de 2003</w:t>
      </w:r>
      <w:r w:rsidR="009A3101">
        <w:rPr>
          <w:b/>
        </w:rPr>
        <w:t>)</w:t>
      </w:r>
      <w:r w:rsidR="00D32BA9">
        <w:rPr>
          <w:b/>
        </w:rPr>
        <w:t xml:space="preserve"> </w:t>
      </w:r>
    </w:p>
    <w:p w:rsidR="007316F9" w:rsidRDefault="007316F9" w:rsidP="00472765">
      <w:pPr>
        <w:spacing w:line="312" w:lineRule="auto"/>
        <w:contextualSpacing/>
        <w:rPr>
          <w:b/>
        </w:rPr>
      </w:pPr>
    </w:p>
    <w:p w:rsidR="007316F9" w:rsidRPr="007316F9" w:rsidRDefault="007316F9" w:rsidP="00472765">
      <w:pPr>
        <w:spacing w:line="312" w:lineRule="auto"/>
        <w:contextualSpacing/>
        <w:jc w:val="both"/>
      </w:pPr>
      <w:r>
        <w:rPr>
          <w:b/>
        </w:rPr>
        <w:tab/>
      </w:r>
      <w:r>
        <w:t xml:space="preserve">A BM&amp;FBovespa entende que o inadimplemento das obrigações de informar não deveria gerar suspensão </w:t>
      </w:r>
      <w:r w:rsidR="009A3101">
        <w:t xml:space="preserve">automática </w:t>
      </w:r>
      <w:r>
        <w:t xml:space="preserve">do PDC. Argumenta que, em virtude da gravidade da sanção, a suspensão deveria ser precedida de um procedimento de contraditório, nos termos do que atualmente já é previsto no </w:t>
      </w:r>
      <w:r w:rsidR="00DA6368">
        <w:t xml:space="preserve">art. </w:t>
      </w:r>
      <w:r>
        <w:t>52 e seguintes da Instrução CVM n° 480, de 2009.</w:t>
      </w:r>
    </w:p>
    <w:p w:rsidR="00D32BA9" w:rsidRDefault="00D32BA9" w:rsidP="00472765">
      <w:pPr>
        <w:spacing w:line="312"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180"/>
      </w:tblGrid>
      <w:tr w:rsidR="007316F9" w:rsidRPr="00542F05" w:rsidTr="00A1355D">
        <w:tc>
          <w:tcPr>
            <w:tcW w:w="9180" w:type="dxa"/>
            <w:shd w:val="pct5" w:color="auto" w:fill="auto"/>
          </w:tcPr>
          <w:p w:rsidR="00F55382" w:rsidRDefault="00F55382" w:rsidP="00472765">
            <w:pPr>
              <w:spacing w:line="312" w:lineRule="auto"/>
              <w:ind w:firstLine="567"/>
              <w:contextualSpacing/>
              <w:jc w:val="both"/>
            </w:pPr>
            <w:r>
              <w:t>Assim como proposto pela Minuta, o</w:t>
            </w:r>
            <w:r w:rsidR="005A4F7F">
              <w:t xml:space="preserve"> </w:t>
            </w:r>
            <w:r w:rsidR="00DA6368">
              <w:t xml:space="preserve">art. </w:t>
            </w:r>
            <w:r w:rsidR="005A4F7F">
              <w:t xml:space="preserve">52 </w:t>
            </w:r>
            <w:r>
              <w:t xml:space="preserve">e seguintes </w:t>
            </w:r>
            <w:r w:rsidR="005A4F7F">
              <w:t>da Instrução CVM n°</w:t>
            </w:r>
            <w:r w:rsidR="008C506B">
              <w:t xml:space="preserve"> 480</w:t>
            </w:r>
            <w:r>
              <w:t>, de 2009, disciplinam a</w:t>
            </w:r>
            <w:r w:rsidR="005A4F7F">
              <w:t xml:space="preserve"> suspensão automática do registro de emissor</w:t>
            </w:r>
            <w:r>
              <w:t>.  O procedimento de contraditório previsto em tal instrução precede somente o cancelamento de registro</w:t>
            </w:r>
            <w:r w:rsidR="005A4F7F">
              <w:t>.</w:t>
            </w:r>
          </w:p>
          <w:p w:rsidR="00472765" w:rsidRDefault="00472765" w:rsidP="00472765">
            <w:pPr>
              <w:spacing w:line="312" w:lineRule="auto"/>
              <w:ind w:firstLine="567"/>
              <w:contextualSpacing/>
              <w:jc w:val="both"/>
            </w:pPr>
          </w:p>
          <w:p w:rsidR="00472765" w:rsidRDefault="00472765" w:rsidP="00472765">
            <w:pPr>
              <w:spacing w:line="312" w:lineRule="auto"/>
              <w:ind w:firstLine="567"/>
              <w:contextualSpacing/>
              <w:jc w:val="both"/>
            </w:pPr>
            <w:r>
              <w:t xml:space="preserve">Ademais, vale notar que de qualquer decisão das áreas técnicas da CVM cabe recurso ao </w:t>
            </w:r>
            <w:r w:rsidR="006A72F6">
              <w:t>Colegiado,</w:t>
            </w:r>
            <w:r>
              <w:t xml:space="preserve"> </w:t>
            </w:r>
            <w:r w:rsidR="006A72F6">
              <w:t>d</w:t>
            </w:r>
            <w:r>
              <w:t xml:space="preserve">e modo que o contraditório está garantido.  </w:t>
            </w:r>
          </w:p>
          <w:p w:rsidR="00F55382" w:rsidRDefault="00F55382" w:rsidP="00472765">
            <w:pPr>
              <w:spacing w:line="312" w:lineRule="auto"/>
              <w:ind w:firstLine="567"/>
              <w:contextualSpacing/>
              <w:jc w:val="both"/>
            </w:pPr>
          </w:p>
          <w:p w:rsidR="003600F1" w:rsidRPr="003600F1" w:rsidRDefault="00F55382" w:rsidP="00472765">
            <w:pPr>
              <w:spacing w:line="312" w:lineRule="auto"/>
              <w:ind w:firstLine="567"/>
              <w:contextualSpacing/>
              <w:jc w:val="both"/>
            </w:pPr>
            <w:r>
              <w:t>Por essa razão, a redação original foi mantida</w:t>
            </w:r>
            <w:r w:rsidR="003600F1">
              <w:t>.</w:t>
            </w:r>
          </w:p>
        </w:tc>
      </w:tr>
    </w:tbl>
    <w:p w:rsidR="007316F9" w:rsidRDefault="007316F9" w:rsidP="00472765">
      <w:pPr>
        <w:spacing w:line="312" w:lineRule="auto"/>
        <w:contextualSpacing/>
        <w:rPr>
          <w:b/>
        </w:rPr>
      </w:pPr>
    </w:p>
    <w:p w:rsidR="00013DA0" w:rsidRDefault="00273D2E" w:rsidP="00472765">
      <w:pPr>
        <w:spacing w:line="312" w:lineRule="auto"/>
        <w:contextualSpacing/>
        <w:rPr>
          <w:b/>
        </w:rPr>
      </w:pPr>
      <w:r>
        <w:rPr>
          <w:b/>
        </w:rPr>
        <w:t>4</w:t>
      </w:r>
      <w:r w:rsidR="00013DA0" w:rsidRPr="00747D1D">
        <w:rPr>
          <w:b/>
        </w:rPr>
        <w:t>.</w:t>
      </w:r>
      <w:r w:rsidR="007474EE">
        <w:rPr>
          <w:b/>
        </w:rPr>
        <w:t xml:space="preserve"> </w:t>
      </w:r>
      <w:r w:rsidR="00F55382">
        <w:rPr>
          <w:b/>
        </w:rPr>
        <w:tab/>
      </w:r>
      <w:r w:rsidR="00013DA0" w:rsidRPr="00747D1D">
        <w:rPr>
          <w:b/>
        </w:rPr>
        <w:t>Outros comentários</w:t>
      </w:r>
    </w:p>
    <w:p w:rsidR="00437577" w:rsidRDefault="00437577" w:rsidP="00472765">
      <w:pPr>
        <w:spacing w:line="312" w:lineRule="auto"/>
        <w:contextualSpacing/>
        <w:rPr>
          <w:b/>
        </w:rPr>
      </w:pPr>
    </w:p>
    <w:p w:rsidR="00DA6368" w:rsidRDefault="00437577" w:rsidP="00472765">
      <w:pPr>
        <w:spacing w:line="312" w:lineRule="auto"/>
        <w:contextualSpacing/>
        <w:jc w:val="both"/>
      </w:pPr>
      <w:r>
        <w:rPr>
          <w:b/>
        </w:rPr>
        <w:t xml:space="preserve">4.1 </w:t>
      </w:r>
      <w:r w:rsidR="00F55382">
        <w:rPr>
          <w:b/>
        </w:rPr>
        <w:tab/>
      </w:r>
      <w:r w:rsidR="00DA6368">
        <w:rPr>
          <w:b/>
        </w:rPr>
        <w:t>Vedação à negociação</w:t>
      </w:r>
      <w:r w:rsidR="00DA6368">
        <w:t xml:space="preserve"> </w:t>
      </w:r>
      <w:r w:rsidR="00F55382">
        <w:t>(</w:t>
      </w:r>
      <w:r w:rsidR="00DA6368">
        <w:t>a</w:t>
      </w:r>
      <w:r w:rsidR="00DA6368">
        <w:rPr>
          <w:b/>
        </w:rPr>
        <w:t>dequação do §4° do art. 13 da Instrução CVM n° 358</w:t>
      </w:r>
      <w:r w:rsidR="00F55382">
        <w:rPr>
          <w:b/>
        </w:rPr>
        <w:t xml:space="preserve">, de </w:t>
      </w:r>
      <w:r w:rsidR="008763A8">
        <w:rPr>
          <w:b/>
        </w:rPr>
        <w:t xml:space="preserve">3 de janeiro de </w:t>
      </w:r>
      <w:r w:rsidR="00F55382">
        <w:rPr>
          <w:b/>
        </w:rPr>
        <w:t>2002)</w:t>
      </w:r>
    </w:p>
    <w:p w:rsidR="00DA6368" w:rsidRDefault="00DA6368" w:rsidP="00472765">
      <w:pPr>
        <w:spacing w:line="312" w:lineRule="auto"/>
        <w:contextualSpacing/>
        <w:jc w:val="both"/>
      </w:pPr>
    </w:p>
    <w:p w:rsidR="00F55382" w:rsidRDefault="00DA6368" w:rsidP="00472765">
      <w:pPr>
        <w:spacing w:line="312" w:lineRule="auto"/>
        <w:ind w:firstLine="720"/>
        <w:contextualSpacing/>
        <w:jc w:val="both"/>
      </w:pPr>
      <w:r>
        <w:t>A ANBIMA sugere que</w:t>
      </w:r>
      <w:r w:rsidR="00F55382" w:rsidRPr="00F55382">
        <w:t xml:space="preserve"> </w:t>
      </w:r>
      <w:r w:rsidR="00F55382">
        <w:t>a Instrução CVM n° 358</w:t>
      </w:r>
      <w:r w:rsidR="009E36B6">
        <w:t>, de 2002,</w:t>
      </w:r>
      <w:r w:rsidR="00F55382">
        <w:t xml:space="preserve"> seja adaptada à</w:t>
      </w:r>
      <w:r>
        <w:t xml:space="preserve"> </w:t>
      </w:r>
      <w:r w:rsidR="006A72F6">
        <w:t xml:space="preserve">regra que determina a </w:t>
      </w:r>
      <w:r>
        <w:t xml:space="preserve">não aplicação da </w:t>
      </w:r>
      <w:r w:rsidR="00F55382">
        <w:t xml:space="preserve">abstenção de </w:t>
      </w:r>
      <w:r w:rsidR="006A72F6">
        <w:t xml:space="preserve">negociação </w:t>
      </w:r>
      <w:r w:rsidR="00F55382">
        <w:t>no</w:t>
      </w:r>
      <w:r>
        <w:t xml:space="preserve"> período que antecede qualquer divulgação periódica da emissora </w:t>
      </w:r>
      <w:r w:rsidR="00F55382">
        <w:t xml:space="preserve">para aqueles títulos emitidos </w:t>
      </w:r>
      <w:r>
        <w:t>no âmbito do PDC</w:t>
      </w:r>
      <w:r w:rsidR="00F55382">
        <w:t xml:space="preserve"> (§5º do art. 48 da Instrução CVM n° 400, de 2003, conforme proposto pela Minuta).  </w:t>
      </w:r>
    </w:p>
    <w:p w:rsidR="00F55382" w:rsidRDefault="00F55382" w:rsidP="00472765">
      <w:pPr>
        <w:spacing w:line="312" w:lineRule="auto"/>
        <w:ind w:firstLine="720"/>
        <w:contextualSpacing/>
        <w:jc w:val="both"/>
      </w:pPr>
    </w:p>
    <w:p w:rsidR="00DA6368" w:rsidRPr="00A22137" w:rsidRDefault="00F55382" w:rsidP="00472765">
      <w:pPr>
        <w:spacing w:line="312" w:lineRule="auto"/>
        <w:ind w:firstLine="720"/>
        <w:contextualSpacing/>
        <w:jc w:val="both"/>
        <w:rPr>
          <w:b/>
          <w:i/>
          <w:u w:val="single"/>
        </w:rPr>
      </w:pPr>
      <w:r>
        <w:t>Para tanto</w:t>
      </w:r>
      <w:r w:rsidR="006A72F6">
        <w:t>,</w:t>
      </w:r>
      <w:r>
        <w:t xml:space="preserve"> sugere que </w:t>
      </w:r>
      <w:r w:rsidR="00DA6368">
        <w:t>o art. 13,</w:t>
      </w:r>
      <w:r>
        <w:t xml:space="preserve"> </w:t>
      </w:r>
      <w:r w:rsidR="00DA6368">
        <w:t>§4°</w:t>
      </w:r>
      <w:r w:rsidR="006A72F6">
        <w:t>,</w:t>
      </w:r>
      <w:r w:rsidR="00DA6368">
        <w:t xml:space="preserve"> da Instrução CVM n° 358</w:t>
      </w:r>
      <w:r>
        <w:t>, de 2002</w:t>
      </w:r>
      <w:r w:rsidR="00E02E89">
        <w:t>,</w:t>
      </w:r>
      <w:r w:rsidR="00DA6368">
        <w:t xml:space="preserve"> pass</w:t>
      </w:r>
      <w:r>
        <w:t>e</w:t>
      </w:r>
      <w:r w:rsidR="00DA6368">
        <w:t xml:space="preserve"> a </w:t>
      </w:r>
      <w:r>
        <w:t xml:space="preserve">ter a </w:t>
      </w:r>
      <w:r w:rsidR="00DA6368">
        <w:t>seguinte redação:</w:t>
      </w:r>
      <w:r>
        <w:t xml:space="preserve"> “</w:t>
      </w:r>
      <w:r w:rsidR="00DA6368" w:rsidRPr="00A22137">
        <w:rPr>
          <w:i/>
        </w:rPr>
        <w:t xml:space="preserve">§4° </w:t>
      </w:r>
      <w:r w:rsidRPr="00F55382">
        <w:t>[</w:t>
      </w:r>
      <w:r>
        <w:rPr>
          <w:i/>
        </w:rPr>
        <w:t>t</w:t>
      </w:r>
      <w:r w:rsidRPr="00F55382">
        <w:t>]</w:t>
      </w:r>
      <w:r w:rsidR="00DA6368" w:rsidRPr="00A22137">
        <w:rPr>
          <w:i/>
        </w:rPr>
        <w:t xml:space="preserve">ambém é vedada a negociação pelas pessoas mencionadas no caput </w:t>
      </w:r>
      <w:r w:rsidR="00DA6368" w:rsidRPr="00A22137">
        <w:rPr>
          <w:i/>
        </w:rPr>
        <w:lastRenderedPageBreak/>
        <w:t xml:space="preserve">no período de 15 (quinze) dias que anteceder a divulgação das informações trimestrais (ITR) e anuais (DFP) da companhia, ressalvado o disposto no §3° do art.15. </w:t>
      </w:r>
      <w:r w:rsidR="00DA6368" w:rsidRPr="00A22137">
        <w:rPr>
          <w:b/>
          <w:i/>
          <w:u w:val="single"/>
        </w:rPr>
        <w:t>O disposto neste artigo não se aplica à distribuição de valores mobiliários no âmbito de Programas de Distribuição Contínua</w:t>
      </w:r>
      <w:r w:rsidR="00665FC7" w:rsidRPr="00665FC7">
        <w:t>”</w:t>
      </w:r>
      <w:r w:rsidR="006A72F6">
        <w:t>.</w:t>
      </w:r>
    </w:p>
    <w:p w:rsidR="00DA6368" w:rsidRDefault="00DA6368" w:rsidP="00472765">
      <w:pPr>
        <w:spacing w:line="312"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180"/>
      </w:tblGrid>
      <w:tr w:rsidR="00DA6368" w:rsidRPr="00542F05" w:rsidTr="00A1355D">
        <w:tc>
          <w:tcPr>
            <w:tcW w:w="9180" w:type="dxa"/>
            <w:shd w:val="pct5" w:color="auto" w:fill="auto"/>
          </w:tcPr>
          <w:p w:rsidR="00472765" w:rsidRDefault="00472765" w:rsidP="00472765">
            <w:pPr>
              <w:spacing w:line="312" w:lineRule="auto"/>
              <w:ind w:firstLine="567"/>
              <w:contextualSpacing/>
              <w:jc w:val="both"/>
            </w:pPr>
            <w:r>
              <w:rPr>
                <w:color w:val="000000"/>
              </w:rPr>
              <w:t xml:space="preserve">O objetivo do </w:t>
            </w:r>
            <w:r w:rsidRPr="00472765">
              <w:t>§</w:t>
            </w:r>
            <w:r>
              <w:t xml:space="preserve"> 5º é permitir que os emissores e ofertantes negociem outros valores mobiliários do emissor durante o processo de distribuição das letras financeiras.  Essa exceção é importante porque o processo de distribuição de letras financeiras tende a ser contínuo ou quase contínuo, uma vez que </w:t>
            </w:r>
            <w:r w:rsidR="006A72F6">
              <w:t xml:space="preserve">as instituições </w:t>
            </w:r>
            <w:r>
              <w:t>financeira</w:t>
            </w:r>
            <w:r w:rsidR="006A72F6">
              <w:t>s</w:t>
            </w:r>
            <w:r>
              <w:t xml:space="preserve"> t</w:t>
            </w:r>
            <w:r w:rsidR="00E02E89">
              <w:t>ê</w:t>
            </w:r>
            <w:r>
              <w:t>m necessidade permanente de captação.</w:t>
            </w:r>
          </w:p>
          <w:p w:rsidR="00472765" w:rsidRDefault="00472765" w:rsidP="00472765">
            <w:pPr>
              <w:spacing w:line="312" w:lineRule="auto"/>
              <w:ind w:firstLine="567"/>
              <w:contextualSpacing/>
              <w:jc w:val="both"/>
            </w:pPr>
          </w:p>
          <w:p w:rsidR="00A1355D" w:rsidRDefault="00472765" w:rsidP="00A1355D">
            <w:pPr>
              <w:spacing w:line="312" w:lineRule="auto"/>
              <w:ind w:firstLine="567"/>
              <w:contextualSpacing/>
              <w:jc w:val="both"/>
            </w:pPr>
            <w:r>
              <w:t>O objetivo do art. 13</w:t>
            </w:r>
            <w:r w:rsidR="00A1355D">
              <w:t xml:space="preserve"> da Instrução nº 358</w:t>
            </w:r>
            <w:r>
              <w:t>,</w:t>
            </w:r>
            <w:r w:rsidR="00A1355D">
              <w:t xml:space="preserve"> de 2002,</w:t>
            </w:r>
            <w:r>
              <w:t xml:space="preserve"> </w:t>
            </w:r>
            <w:r w:rsidR="0050245B">
              <w:t>por sua vez</w:t>
            </w:r>
            <w:r>
              <w:t>, é evitar que certas pessoas com informações privilegiadas negociem valores mobiliários do emissor</w:t>
            </w:r>
            <w:r w:rsidR="00A1355D">
              <w:t xml:space="preserve">.  A CVM entende que é adequado manter essa vedação.  Assim, nada impede que distribuições em curso continuem durante os períodos em que as pessoas mencionadas no art. 13 </w:t>
            </w:r>
            <w:r w:rsidR="006A72F6">
              <w:t xml:space="preserve">detêm </w:t>
            </w:r>
            <w:r w:rsidR="00A1355D">
              <w:t xml:space="preserve">informações ainda não divulgadas ao mercado.  No entanto, não parece desejável que os </w:t>
            </w:r>
            <w:r w:rsidR="00A1355D" w:rsidRPr="00A1355D">
              <w:rPr>
                <w:b/>
              </w:rPr>
              <w:t>insiders</w:t>
            </w:r>
            <w:r w:rsidR="00A1355D" w:rsidRPr="00A1355D">
              <w:t xml:space="preserve"> </w:t>
            </w:r>
            <w:r w:rsidR="0050245B">
              <w:t xml:space="preserve">possam </w:t>
            </w:r>
            <w:r w:rsidR="00A1355D" w:rsidRPr="00A1355D">
              <w:t>ne</w:t>
            </w:r>
            <w:r w:rsidR="00A1355D">
              <w:t>gociar letras financeiras no período em que det</w:t>
            </w:r>
            <w:r w:rsidR="009E36B6">
              <w:t>ê</w:t>
            </w:r>
            <w:r w:rsidR="00A1355D">
              <w:t>m mais informações que o mercado.</w:t>
            </w:r>
            <w:r w:rsidR="0050245B">
              <w:t xml:space="preserve">  </w:t>
            </w:r>
            <w:r w:rsidR="00A1355D">
              <w:t xml:space="preserve">  </w:t>
            </w:r>
          </w:p>
          <w:p w:rsidR="00A1355D" w:rsidRDefault="00A1355D" w:rsidP="00A1355D">
            <w:pPr>
              <w:spacing w:line="312" w:lineRule="auto"/>
              <w:ind w:firstLine="567"/>
              <w:contextualSpacing/>
              <w:jc w:val="both"/>
            </w:pPr>
          </w:p>
          <w:p w:rsidR="00DA6368" w:rsidRPr="00F55382" w:rsidRDefault="00A1355D" w:rsidP="00A1355D">
            <w:pPr>
              <w:spacing w:line="312" w:lineRule="auto"/>
              <w:ind w:firstLine="567"/>
              <w:contextualSpacing/>
              <w:jc w:val="both"/>
              <w:rPr>
                <w:color w:val="000000"/>
              </w:rPr>
            </w:pPr>
            <w:r>
              <w:t xml:space="preserve">Por essas razões, a proposta não foi acolhida.  </w:t>
            </w:r>
            <w:r w:rsidR="00472765">
              <w:t xml:space="preserve">   </w:t>
            </w:r>
          </w:p>
        </w:tc>
      </w:tr>
    </w:tbl>
    <w:p w:rsidR="00DA6368" w:rsidRDefault="00DA6368" w:rsidP="00472765">
      <w:pPr>
        <w:spacing w:line="312" w:lineRule="auto"/>
        <w:contextualSpacing/>
        <w:rPr>
          <w:b/>
        </w:rPr>
      </w:pPr>
    </w:p>
    <w:p w:rsidR="00437577" w:rsidRDefault="00DA6368" w:rsidP="00472765">
      <w:pPr>
        <w:spacing w:line="312" w:lineRule="auto"/>
        <w:contextualSpacing/>
        <w:rPr>
          <w:b/>
        </w:rPr>
      </w:pPr>
      <w:r>
        <w:rPr>
          <w:b/>
        </w:rPr>
        <w:t>4.2</w:t>
      </w:r>
      <w:r>
        <w:rPr>
          <w:b/>
        </w:rPr>
        <w:tab/>
      </w:r>
      <w:r w:rsidR="00437577">
        <w:rPr>
          <w:b/>
        </w:rPr>
        <w:t>Distribuição fora do âmbito do PDC</w:t>
      </w:r>
    </w:p>
    <w:p w:rsidR="00437577" w:rsidRDefault="00437577" w:rsidP="00472765">
      <w:pPr>
        <w:spacing w:line="312" w:lineRule="auto"/>
        <w:contextualSpacing/>
        <w:rPr>
          <w:b/>
        </w:rPr>
      </w:pPr>
    </w:p>
    <w:p w:rsidR="00437577" w:rsidRDefault="00437577" w:rsidP="00472765">
      <w:pPr>
        <w:spacing w:line="312" w:lineRule="auto"/>
        <w:ind w:firstLine="720"/>
        <w:contextualSpacing/>
        <w:jc w:val="both"/>
      </w:pPr>
      <w:r>
        <w:t>A BM&amp;FBovespa entende que deveria haver maior detalhamento nos normativos pertinentes acerca da possibilidade de realização de distribuição de letras financeira</w:t>
      </w:r>
      <w:r w:rsidR="004C7504">
        <w:t>s</w:t>
      </w:r>
      <w:r>
        <w:t xml:space="preserve"> fora do âmbito do PDC.</w:t>
      </w:r>
      <w:r w:rsidR="00F55382">
        <w:t xml:space="preserve">  </w:t>
      </w:r>
      <w:r>
        <w:t>Sustenta que</w:t>
      </w:r>
      <w:r w:rsidR="004C7504">
        <w:t>,</w:t>
      </w:r>
      <w:r>
        <w:t xml:space="preserve"> como a Minuta apenas prevê emissão de letras financeiras no âmbito do PDC</w:t>
      </w:r>
      <w:r w:rsidR="004C7504">
        <w:t>,</w:t>
      </w:r>
      <w:r>
        <w:t xml:space="preserve"> e o fato das letras financeiras não serem expressamente qualificadas como valores mobiliários na lei que as criou, poderiam surgir dúvidas acerca da possibilidade do registro de ofertas públicas de letras financeiras fora do âmbito do PDC.</w:t>
      </w:r>
    </w:p>
    <w:p w:rsidR="00437577" w:rsidRDefault="00437577" w:rsidP="00472765">
      <w:pPr>
        <w:spacing w:line="312" w:lineRule="auto"/>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tblPr>
      <w:tblGrid>
        <w:gridCol w:w="9180"/>
      </w:tblGrid>
      <w:tr w:rsidR="00437577" w:rsidRPr="00542F05" w:rsidTr="00EC4937">
        <w:tc>
          <w:tcPr>
            <w:tcW w:w="9180" w:type="dxa"/>
            <w:shd w:val="pct5" w:color="auto" w:fill="auto"/>
          </w:tcPr>
          <w:p w:rsidR="00196208" w:rsidRPr="00196208" w:rsidRDefault="00F55382" w:rsidP="00472765">
            <w:pPr>
              <w:pStyle w:val="Ttulo"/>
              <w:spacing w:line="312" w:lineRule="auto"/>
              <w:ind w:firstLine="567"/>
              <w:jc w:val="both"/>
            </w:pPr>
            <w:r w:rsidRPr="00F55382">
              <w:rPr>
                <w:b w:val="0"/>
              </w:rPr>
              <w:t xml:space="preserve">O edital de audiência pública deixa claro que </w:t>
            </w:r>
            <w:r>
              <w:rPr>
                <w:b w:val="0"/>
                <w:bCs w:val="0"/>
              </w:rPr>
              <w:t xml:space="preserve">sociedades que não registrem PDC, seja </w:t>
            </w:r>
            <w:r>
              <w:rPr>
                <w:b w:val="0"/>
                <w:bCs w:val="0"/>
              </w:rPr>
              <w:lastRenderedPageBreak/>
              <w:t>porque não desejam, seja porque não lhes é facultado pela regulamentação</w:t>
            </w:r>
            <w:r w:rsidR="004C7504">
              <w:rPr>
                <w:b w:val="0"/>
                <w:bCs w:val="0"/>
              </w:rPr>
              <w:t>,</w:t>
            </w:r>
            <w:r>
              <w:rPr>
                <w:b w:val="0"/>
                <w:bCs w:val="0"/>
              </w:rPr>
              <w:t xml:space="preserve"> </w:t>
            </w:r>
            <w:r>
              <w:rPr>
                <w:b w:val="0"/>
              </w:rPr>
              <w:t xml:space="preserve"> poderão promover distribuições públicas de letras financeiras de duas maneiras: “[</w:t>
            </w:r>
            <w:r w:rsidRPr="00F55382">
              <w:rPr>
                <w:b w:val="0"/>
                <w:i/>
              </w:rPr>
              <w:t>a</w:t>
            </w:r>
            <w:r>
              <w:rPr>
                <w:b w:val="0"/>
              </w:rPr>
              <w:t xml:space="preserve">] </w:t>
            </w:r>
            <w:r w:rsidRPr="00F55382">
              <w:rPr>
                <w:b w:val="0"/>
                <w:i/>
              </w:rPr>
              <w:t>primeira é utilizar as ofertas públicas com esforços restritos conforme disciplinadas pela Instrução CVM nº 476, de 2009.  A outra forma seria tais instituições se registrarem como emissores de valores mobiliários e ofertarem publicamente letras financeiras sob as regras gerais previstas na Instrução CVM nº 400, de 2003.</w:t>
            </w:r>
            <w:r>
              <w:rPr>
                <w:b w:val="0"/>
              </w:rPr>
              <w:t>”</w:t>
            </w:r>
            <w:r w:rsidR="00962164">
              <w:t xml:space="preserve">   </w:t>
            </w:r>
          </w:p>
        </w:tc>
      </w:tr>
    </w:tbl>
    <w:p w:rsidR="00EC4937" w:rsidRDefault="00EC4937" w:rsidP="00472765">
      <w:pPr>
        <w:tabs>
          <w:tab w:val="left" w:pos="709"/>
        </w:tabs>
        <w:spacing w:line="312" w:lineRule="auto"/>
        <w:contextualSpacing/>
        <w:jc w:val="both"/>
        <w:rPr>
          <w:b/>
        </w:rPr>
      </w:pPr>
    </w:p>
    <w:p w:rsidR="0018320E" w:rsidRDefault="00273D2E" w:rsidP="00472765">
      <w:pPr>
        <w:tabs>
          <w:tab w:val="left" w:pos="709"/>
        </w:tabs>
        <w:spacing w:line="312" w:lineRule="auto"/>
        <w:contextualSpacing/>
        <w:jc w:val="both"/>
        <w:rPr>
          <w:b/>
        </w:rPr>
      </w:pPr>
      <w:r>
        <w:rPr>
          <w:b/>
        </w:rPr>
        <w:t>4</w:t>
      </w:r>
      <w:r w:rsidR="00367246" w:rsidRPr="00747D1D">
        <w:rPr>
          <w:b/>
        </w:rPr>
        <w:t>.</w:t>
      </w:r>
      <w:r w:rsidR="00F55382">
        <w:rPr>
          <w:b/>
        </w:rPr>
        <w:t>3</w:t>
      </w:r>
      <w:r w:rsidR="00F55382">
        <w:rPr>
          <w:b/>
        </w:rPr>
        <w:tab/>
      </w:r>
      <w:r w:rsidR="0018320E">
        <w:rPr>
          <w:b/>
        </w:rPr>
        <w:t xml:space="preserve">Inclusão dos Certificados de Direitos Creditórios do Agronegócio (“CDCAs”) e das Cédulas de Produto Rural Financeiras (“CPR-Fs”) </w:t>
      </w:r>
    </w:p>
    <w:p w:rsidR="00013DA0" w:rsidRDefault="00013DA0" w:rsidP="00472765">
      <w:pPr>
        <w:spacing w:line="312" w:lineRule="auto"/>
        <w:contextualSpacing/>
      </w:pPr>
    </w:p>
    <w:p w:rsidR="0018320E" w:rsidRPr="0096628A" w:rsidRDefault="004C4A89" w:rsidP="00472765">
      <w:pPr>
        <w:tabs>
          <w:tab w:val="left" w:pos="709"/>
        </w:tabs>
        <w:spacing w:line="312" w:lineRule="auto"/>
        <w:contextualSpacing/>
        <w:jc w:val="both"/>
      </w:pPr>
      <w:r>
        <w:tab/>
      </w:r>
      <w:r w:rsidR="0018320E">
        <w:t>Buranello Passos Advogados sugere que sejam incluídos no regime da Instrução CVM n° 476, de 16 de janeiro de 2009, que disciplina as ofertas públicas com esforços de venda restritos, os Certificados de Direitos Creditórios do Agronegócio e as Cédulas de Produto Rural Financeiras.</w:t>
      </w:r>
    </w:p>
    <w:p w:rsidR="0018320E" w:rsidRPr="00747D1D" w:rsidRDefault="0018320E" w:rsidP="00472765">
      <w:pPr>
        <w:spacing w:line="312" w:lineRule="auto"/>
        <w:contextualSpacin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tblPr>
      <w:tblGrid>
        <w:gridCol w:w="9072"/>
      </w:tblGrid>
      <w:tr w:rsidR="00013DA0" w:rsidRPr="00747D1D" w:rsidTr="00EC4937">
        <w:trPr>
          <w:trHeight w:val="310"/>
        </w:trPr>
        <w:tc>
          <w:tcPr>
            <w:tcW w:w="9072" w:type="dxa"/>
            <w:shd w:val="clear" w:color="auto" w:fill="F3F3F3"/>
          </w:tcPr>
          <w:p w:rsidR="00013DA0" w:rsidRPr="00747D1D" w:rsidRDefault="00F55382" w:rsidP="00472765">
            <w:pPr>
              <w:pStyle w:val="SDM"/>
              <w:spacing w:line="312" w:lineRule="auto"/>
              <w:ind w:firstLine="497"/>
              <w:contextualSpacing/>
            </w:pPr>
            <w:r>
              <w:t>O</w:t>
            </w:r>
            <w:r w:rsidR="004C4A89">
              <w:t xml:space="preserve"> comentário </w:t>
            </w:r>
            <w:r w:rsidR="0018320E">
              <w:t xml:space="preserve">foge </w:t>
            </w:r>
            <w:r w:rsidR="007729F9">
              <w:t>d</w:t>
            </w:r>
            <w:r w:rsidR="0018320E">
              <w:t>o escopo da Minuta</w:t>
            </w:r>
            <w:r>
              <w:t xml:space="preserve"> e, por isso, será analisado em processo independente</w:t>
            </w:r>
            <w:r w:rsidR="0018320E">
              <w:t>.</w:t>
            </w:r>
          </w:p>
        </w:tc>
      </w:tr>
    </w:tbl>
    <w:p w:rsidR="008565B1" w:rsidRDefault="008565B1" w:rsidP="00472765">
      <w:pPr>
        <w:spacing w:line="312" w:lineRule="auto"/>
        <w:contextualSpacing/>
      </w:pPr>
    </w:p>
    <w:p w:rsidR="002D641F" w:rsidRDefault="002D641F" w:rsidP="002D641F">
      <w:pPr>
        <w:tabs>
          <w:tab w:val="left" w:pos="709"/>
        </w:tabs>
        <w:spacing w:line="312" w:lineRule="auto"/>
        <w:contextualSpacing/>
        <w:jc w:val="both"/>
        <w:rPr>
          <w:b/>
        </w:rPr>
      </w:pPr>
      <w:r>
        <w:rPr>
          <w:b/>
        </w:rPr>
        <w:t>4</w:t>
      </w:r>
      <w:r w:rsidRPr="00747D1D">
        <w:rPr>
          <w:b/>
        </w:rPr>
        <w:t>.</w:t>
      </w:r>
      <w:r>
        <w:rPr>
          <w:b/>
        </w:rPr>
        <w:t>4</w:t>
      </w:r>
      <w:r>
        <w:rPr>
          <w:b/>
        </w:rPr>
        <w:tab/>
        <w:t xml:space="preserve">Condições de vencimento antecipado (alínea “h” do Anexo X da Instrução CVM nº 400, de 2003) </w:t>
      </w:r>
    </w:p>
    <w:p w:rsidR="002D641F" w:rsidRDefault="002D641F" w:rsidP="002D641F">
      <w:pPr>
        <w:spacing w:line="312" w:lineRule="auto"/>
        <w:contextualSpacing/>
      </w:pPr>
    </w:p>
    <w:p w:rsidR="002D641F" w:rsidRPr="0096628A" w:rsidRDefault="002D641F" w:rsidP="002D641F">
      <w:pPr>
        <w:tabs>
          <w:tab w:val="left" w:pos="709"/>
        </w:tabs>
        <w:spacing w:line="312" w:lineRule="auto"/>
        <w:contextualSpacing/>
        <w:jc w:val="both"/>
      </w:pPr>
      <w:r>
        <w:tab/>
        <w:t xml:space="preserve">O BACEN sugere que o “Anexo X – Informações sobre o Programa de Distribuição Contínua” seja ajustado, </w:t>
      </w:r>
      <w:r w:rsidR="006C4934">
        <w:t>tendo em vista</w:t>
      </w:r>
      <w:r>
        <w:t xml:space="preserve"> que </w:t>
      </w:r>
      <w:r w:rsidR="008D0436">
        <w:t>“</w:t>
      </w:r>
      <w:r w:rsidR="00F83B23" w:rsidRPr="00F83B23">
        <w:rPr>
          <w:i/>
        </w:rPr>
        <w:t>a alínea “h” do referido documento solicita que a instituição informe as “condições de vencimento antecipado da letra financeira emitida”, o que poderia indicar às instituições informantes que existiria a possibilidade de se optar por um vencimento antecipado, inclusive anterior ao vencimento mínimo estabelecido em lei ou na regulamentação complementar, o que não é permitido pela Resolução nº 3.826</w:t>
      </w:r>
      <w:r w:rsidR="00F83B23">
        <w:t>[sic]</w:t>
      </w:r>
      <w:r w:rsidR="00F83B23" w:rsidRPr="00F83B23">
        <w:rPr>
          <w:i/>
        </w:rPr>
        <w:t>, de 25 de fevereiro de 2010</w:t>
      </w:r>
      <w:r w:rsidR="008D0436">
        <w:t>”</w:t>
      </w:r>
      <w:r>
        <w:t>.</w:t>
      </w:r>
    </w:p>
    <w:p w:rsidR="002D641F" w:rsidRPr="00747D1D" w:rsidRDefault="002D641F" w:rsidP="002D641F">
      <w:pPr>
        <w:spacing w:line="312" w:lineRule="auto"/>
        <w:contextualSpacin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left w:w="70" w:type="dxa"/>
          <w:right w:w="70" w:type="dxa"/>
        </w:tblCellMar>
        <w:tblLook w:val="0000"/>
      </w:tblPr>
      <w:tblGrid>
        <w:gridCol w:w="9072"/>
      </w:tblGrid>
      <w:tr w:rsidR="002D641F" w:rsidRPr="00747D1D" w:rsidTr="002D641F">
        <w:trPr>
          <w:trHeight w:val="310"/>
        </w:trPr>
        <w:tc>
          <w:tcPr>
            <w:tcW w:w="9072" w:type="dxa"/>
            <w:shd w:val="clear" w:color="auto" w:fill="F3F3F3"/>
          </w:tcPr>
          <w:p w:rsidR="003E1D97" w:rsidRDefault="008D0436">
            <w:pPr>
              <w:pStyle w:val="SDM"/>
              <w:spacing w:line="312" w:lineRule="auto"/>
              <w:ind w:firstLine="497"/>
              <w:contextualSpacing/>
            </w:pPr>
            <w:r>
              <w:lastRenderedPageBreak/>
              <w:t>Em razão do comentário do BACEN</w:t>
            </w:r>
            <w:r w:rsidR="00F746CD">
              <w:t>, a alínea “h” foi retirada do Anexo X da Instrução CVM nº 400, de 2003</w:t>
            </w:r>
            <w:r w:rsidR="002D641F">
              <w:t>.</w:t>
            </w:r>
          </w:p>
        </w:tc>
      </w:tr>
    </w:tbl>
    <w:p w:rsidR="002D641F" w:rsidRPr="00747D1D" w:rsidRDefault="002D641F" w:rsidP="00472765">
      <w:pPr>
        <w:spacing w:line="312" w:lineRule="auto"/>
        <w:contextualSpacing/>
      </w:pPr>
    </w:p>
    <w:p w:rsidR="008565B1" w:rsidRPr="00747D1D" w:rsidRDefault="00273D2E" w:rsidP="00472765">
      <w:pPr>
        <w:spacing w:line="312" w:lineRule="auto"/>
        <w:contextualSpacing/>
        <w:jc w:val="both"/>
        <w:outlineLvl w:val="0"/>
        <w:rPr>
          <w:b/>
          <w:bCs/>
        </w:rPr>
      </w:pPr>
      <w:r>
        <w:rPr>
          <w:b/>
          <w:bCs/>
        </w:rPr>
        <w:t>5</w:t>
      </w:r>
      <w:r w:rsidR="008565B1" w:rsidRPr="00747D1D">
        <w:rPr>
          <w:b/>
          <w:bCs/>
        </w:rPr>
        <w:t>.</w:t>
      </w:r>
      <w:r w:rsidR="008565B1" w:rsidRPr="00747D1D">
        <w:rPr>
          <w:b/>
          <w:bCs/>
        </w:rPr>
        <w:tab/>
      </w:r>
      <w:r w:rsidR="008C506B">
        <w:rPr>
          <w:b/>
          <w:bCs/>
        </w:rPr>
        <w:t>Proposta definitiva de instrução</w:t>
      </w:r>
    </w:p>
    <w:p w:rsidR="008565B1" w:rsidRPr="00747D1D" w:rsidRDefault="008565B1" w:rsidP="00472765">
      <w:pPr>
        <w:pStyle w:val="Corpodetexto2"/>
        <w:spacing w:after="0" w:line="312" w:lineRule="auto"/>
        <w:ind w:firstLine="720"/>
        <w:contextualSpacing/>
        <w:jc w:val="both"/>
        <w:rPr>
          <w:color w:val="000000"/>
        </w:rPr>
      </w:pPr>
    </w:p>
    <w:p w:rsidR="008565B1" w:rsidRPr="00747D1D" w:rsidRDefault="008565B1" w:rsidP="00472765">
      <w:pPr>
        <w:pStyle w:val="Corpodetexto2"/>
        <w:spacing w:after="0" w:line="312" w:lineRule="auto"/>
        <w:ind w:firstLine="720"/>
        <w:contextualSpacing/>
        <w:jc w:val="both"/>
        <w:rPr>
          <w:color w:val="000000"/>
        </w:rPr>
      </w:pPr>
      <w:r w:rsidRPr="00747D1D">
        <w:rPr>
          <w:color w:val="000000"/>
        </w:rPr>
        <w:t>A</w:t>
      </w:r>
      <w:r w:rsidR="008C506B">
        <w:rPr>
          <w:color w:val="000000"/>
        </w:rPr>
        <w:t xml:space="preserve"> proposta definitiva de instrução, que incorpora as sugestões acatadas acima mencionadas, segue em anexo ao presente relatório</w:t>
      </w:r>
      <w:r w:rsidRPr="00747D1D">
        <w:rPr>
          <w:color w:val="000000"/>
        </w:rPr>
        <w:t>.</w:t>
      </w:r>
    </w:p>
    <w:p w:rsidR="008565B1" w:rsidRPr="00747D1D" w:rsidRDefault="008565B1" w:rsidP="00472765">
      <w:pPr>
        <w:pStyle w:val="SDM"/>
        <w:spacing w:line="312" w:lineRule="auto"/>
        <w:ind w:firstLine="720"/>
        <w:contextualSpacing/>
        <w:rPr>
          <w:bCs w:val="0"/>
          <w:color w:val="000000"/>
        </w:rPr>
      </w:pPr>
    </w:p>
    <w:p w:rsidR="008565B1" w:rsidRPr="00747D1D" w:rsidRDefault="009165E9" w:rsidP="00472765">
      <w:pPr>
        <w:spacing w:line="312" w:lineRule="auto"/>
        <w:ind w:firstLine="720"/>
        <w:contextualSpacing/>
        <w:jc w:val="center"/>
        <w:rPr>
          <w:color w:val="000000"/>
        </w:rPr>
      </w:pPr>
      <w:r w:rsidRPr="00747D1D">
        <w:rPr>
          <w:color w:val="000000"/>
        </w:rPr>
        <w:t xml:space="preserve">Rio de Janeiro, </w:t>
      </w:r>
      <w:r w:rsidR="00C547A4">
        <w:rPr>
          <w:color w:val="000000"/>
        </w:rPr>
        <w:t>16</w:t>
      </w:r>
      <w:r w:rsidR="00C547A4" w:rsidRPr="00747D1D">
        <w:rPr>
          <w:color w:val="000000"/>
        </w:rPr>
        <w:t xml:space="preserve"> </w:t>
      </w:r>
      <w:r w:rsidRPr="00747D1D">
        <w:rPr>
          <w:color w:val="000000"/>
        </w:rPr>
        <w:t xml:space="preserve">de </w:t>
      </w:r>
      <w:r w:rsidR="008D0436">
        <w:rPr>
          <w:color w:val="000000"/>
        </w:rPr>
        <w:t>dezembro</w:t>
      </w:r>
      <w:r w:rsidR="008D0436" w:rsidRPr="00747D1D">
        <w:rPr>
          <w:color w:val="000000"/>
        </w:rPr>
        <w:t xml:space="preserve"> </w:t>
      </w:r>
      <w:r w:rsidRPr="00747D1D">
        <w:rPr>
          <w:color w:val="000000"/>
        </w:rPr>
        <w:t>de 20</w:t>
      </w:r>
      <w:r w:rsidR="0018320E">
        <w:rPr>
          <w:color w:val="000000"/>
        </w:rPr>
        <w:t>10</w:t>
      </w:r>
      <w:r w:rsidRPr="00747D1D">
        <w:rPr>
          <w:color w:val="000000"/>
        </w:rPr>
        <w:t xml:space="preserve"> </w:t>
      </w:r>
    </w:p>
    <w:p w:rsidR="008565B1" w:rsidRPr="00747D1D" w:rsidRDefault="008565B1" w:rsidP="00472765">
      <w:pPr>
        <w:spacing w:line="312" w:lineRule="auto"/>
        <w:ind w:firstLine="720"/>
        <w:contextualSpacing/>
        <w:jc w:val="center"/>
        <w:rPr>
          <w:color w:val="000000"/>
        </w:rPr>
      </w:pPr>
    </w:p>
    <w:p w:rsidR="00747D1D" w:rsidRPr="00747D1D" w:rsidRDefault="00747D1D" w:rsidP="00472765">
      <w:pPr>
        <w:spacing w:line="312" w:lineRule="auto"/>
        <w:ind w:firstLine="720"/>
        <w:contextualSpacing/>
        <w:jc w:val="center"/>
        <w:rPr>
          <w:color w:val="000000"/>
        </w:rPr>
      </w:pPr>
    </w:p>
    <w:p w:rsidR="008565B1" w:rsidRPr="00747D1D" w:rsidRDefault="0055272F" w:rsidP="00472765">
      <w:pPr>
        <w:pStyle w:val="Ttulo1"/>
        <w:spacing w:line="312" w:lineRule="auto"/>
        <w:ind w:firstLine="720"/>
        <w:contextualSpacing/>
        <w:rPr>
          <w:smallCaps/>
          <w:color w:val="000000"/>
        </w:rPr>
      </w:pPr>
      <w:r>
        <w:rPr>
          <w:smallCaps/>
          <w:color w:val="000000"/>
        </w:rPr>
        <w:t>GUILHERME MALIK PARENTE</w:t>
      </w:r>
    </w:p>
    <w:p w:rsidR="008565B1" w:rsidRPr="00747D1D" w:rsidRDefault="008565B1" w:rsidP="00472765">
      <w:pPr>
        <w:spacing w:line="312" w:lineRule="auto"/>
        <w:ind w:firstLine="720"/>
        <w:contextualSpacing/>
        <w:jc w:val="center"/>
        <w:rPr>
          <w:color w:val="000000"/>
        </w:rPr>
      </w:pPr>
      <w:r w:rsidRPr="00747D1D">
        <w:rPr>
          <w:color w:val="000000"/>
        </w:rPr>
        <w:t>Superintendente de Desenvolvimento de Mercado</w:t>
      </w:r>
      <w:r w:rsidR="0055272F">
        <w:rPr>
          <w:color w:val="000000"/>
        </w:rPr>
        <w:t xml:space="preserve"> – Em exercício</w:t>
      </w:r>
    </w:p>
    <w:p w:rsidR="008565B1" w:rsidRPr="00747D1D" w:rsidRDefault="008565B1" w:rsidP="00472765">
      <w:pPr>
        <w:spacing w:line="312" w:lineRule="auto"/>
        <w:contextualSpacing/>
      </w:pPr>
    </w:p>
    <w:sectPr w:rsidR="008565B1" w:rsidRPr="00747D1D" w:rsidSect="00472765">
      <w:headerReference w:type="default" r:id="rId8"/>
      <w:footerReference w:type="default" r:id="rId9"/>
      <w:pgSz w:w="11906" w:h="16838" w:code="9"/>
      <w:pgMar w:top="1418" w:right="1134" w:bottom="1418" w:left="1701" w:header="862" w:footer="862"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164" w:rsidRDefault="00B90164" w:rsidP="005E5054">
      <w:r>
        <w:separator/>
      </w:r>
    </w:p>
  </w:endnote>
  <w:endnote w:type="continuationSeparator" w:id="0">
    <w:p w:rsidR="00B90164" w:rsidRDefault="00B90164" w:rsidP="005E50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D97" w:rsidRDefault="00EE6F92">
    <w:pPr>
      <w:pStyle w:val="Rodap"/>
      <w:jc w:val="center"/>
    </w:pPr>
    <w:fldSimple w:instr=" PAGE   \* MERGEFORMAT ">
      <w:r w:rsidR="008D0414">
        <w:rPr>
          <w:noProof/>
        </w:rPr>
        <w:t>1</w:t>
      </w:r>
    </w:fldSimple>
  </w:p>
  <w:p w:rsidR="003E1D97" w:rsidRDefault="003E1D9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164" w:rsidRDefault="00B90164" w:rsidP="005E5054">
      <w:r>
        <w:separator/>
      </w:r>
    </w:p>
  </w:footnote>
  <w:footnote w:type="continuationSeparator" w:id="0">
    <w:p w:rsidR="00B90164" w:rsidRDefault="00B90164" w:rsidP="005E50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D97" w:rsidRDefault="008D0414" w:rsidP="00C73E97">
    <w:pPr>
      <w:pStyle w:val="Cabealho"/>
      <w:ind w:right="360"/>
    </w:pPr>
    <w:r>
      <w:rPr>
        <w:noProof/>
      </w:rPr>
      <w:drawing>
        <wp:inline distT="0" distB="0" distL="0" distR="0">
          <wp:extent cx="4419600" cy="783590"/>
          <wp:effectExtent l="19050" t="0" r="0" b="0"/>
          <wp:docPr id="1" name="Imagem 1"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ew"/>
                  <pic:cNvPicPr>
                    <a:picLocks noChangeAspect="1" noChangeArrowheads="1"/>
                  </pic:cNvPicPr>
                </pic:nvPicPr>
                <pic:blipFill>
                  <a:blip r:embed="rId1"/>
                  <a:srcRect/>
                  <a:stretch>
                    <a:fillRect/>
                  </a:stretch>
                </pic:blipFill>
                <pic:spPr bwMode="auto">
                  <a:xfrm>
                    <a:off x="0" y="0"/>
                    <a:ext cx="4419600" cy="783590"/>
                  </a:xfrm>
                  <a:prstGeom prst="rect">
                    <a:avLst/>
                  </a:prstGeom>
                  <a:noFill/>
                  <a:ln w="9525">
                    <a:noFill/>
                    <a:miter lim="800000"/>
                    <a:headEnd/>
                    <a:tailEnd/>
                  </a:ln>
                </pic:spPr>
              </pic:pic>
            </a:graphicData>
          </a:graphic>
        </wp:inline>
      </w:drawing>
    </w:r>
  </w:p>
  <w:p w:rsidR="003E1D97" w:rsidRDefault="003E1D9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05D28"/>
    <w:multiLevelType w:val="hybridMultilevel"/>
    <w:tmpl w:val="8B801898"/>
    <w:lvl w:ilvl="0" w:tplc="24FC5B06">
      <w:start w:val="1"/>
      <w:numFmt w:val="lowerRoman"/>
      <w:lvlText w:val="%1)"/>
      <w:lvlJc w:val="left"/>
      <w:pPr>
        <w:tabs>
          <w:tab w:val="num" w:pos="1260"/>
        </w:tabs>
        <w:ind w:left="1260" w:hanging="72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1">
    <w:nsid w:val="0DBA4596"/>
    <w:multiLevelType w:val="hybridMultilevel"/>
    <w:tmpl w:val="CD026448"/>
    <w:lvl w:ilvl="0" w:tplc="6BD89B1A">
      <w:start w:val="1"/>
      <w:numFmt w:val="lowerLetter"/>
      <w:lvlText w:val="%1)"/>
      <w:lvlJc w:val="left"/>
      <w:pPr>
        <w:tabs>
          <w:tab w:val="num" w:pos="1407"/>
        </w:tabs>
        <w:ind w:left="1407" w:hanging="840"/>
      </w:pPr>
      <w:rPr>
        <w:rFonts w:eastAsia="Times New Roman" w:hint="default"/>
        <w:color w:val="auto"/>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2">
    <w:nsid w:val="0EBF576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53475D"/>
    <w:multiLevelType w:val="multilevel"/>
    <w:tmpl w:val="D1100060"/>
    <w:lvl w:ilvl="0">
      <w:start w:val="1"/>
      <w:numFmt w:val="decimal"/>
      <w:suff w:val="space"/>
      <w:lvlText w:val="%1."/>
      <w:lvlJc w:val="left"/>
      <w:pPr>
        <w:ind w:left="567" w:hanging="567"/>
      </w:pPr>
      <w:rPr>
        <w:rFonts w:ascii="Times New Roman" w:hAnsi="Times New Roman" w:hint="default"/>
        <w:b/>
        <w:i w:val="0"/>
        <w:sz w:val="20"/>
        <w:szCs w:val="20"/>
      </w:rPr>
    </w:lvl>
    <w:lvl w:ilvl="1">
      <w:start w:val="1"/>
      <w:numFmt w:val="decimal"/>
      <w:lvlText w:val="%1.%2."/>
      <w:lvlJc w:val="left"/>
      <w:pPr>
        <w:tabs>
          <w:tab w:val="num" w:pos="792"/>
        </w:tabs>
        <w:ind w:left="792" w:hanging="432"/>
      </w:pPr>
      <w:rPr>
        <w:rFonts w:ascii="Times New Roman" w:hAnsi="Times New Roman" w:hint="default"/>
        <w:b/>
        <w:i w:val="0"/>
        <w:sz w:val="20"/>
        <w:szCs w:val="20"/>
      </w:rPr>
    </w:lvl>
    <w:lvl w:ilvl="2">
      <w:start w:val="1"/>
      <w:numFmt w:val="lowerLetter"/>
      <w:lvlText w:val="%3."/>
      <w:lvlJc w:val="left"/>
      <w:pPr>
        <w:tabs>
          <w:tab w:val="num" w:pos="1224"/>
        </w:tabs>
        <w:ind w:left="1224" w:hanging="504"/>
      </w:pPr>
      <w:rPr>
        <w:rFonts w:hint="default"/>
      </w:rPr>
    </w:lvl>
    <w:lvl w:ilvl="3">
      <w:start w:val="1"/>
      <w:numFmt w:val="lowerRoman"/>
      <w:lvlText w:val="%4."/>
      <w:lvlJc w:val="left"/>
      <w:pPr>
        <w:tabs>
          <w:tab w:val="num" w:pos="1728"/>
        </w:tabs>
        <w:ind w:left="1728" w:hanging="648"/>
      </w:pPr>
      <w:rPr>
        <w:rFonts w:ascii="Times New Roman" w:hAnsi="Times New Roman" w:hint="default"/>
        <w:b w:val="0"/>
        <w:i w:val="0"/>
        <w:color w:val="auto"/>
        <w:sz w:val="24"/>
        <w:u w:val="none"/>
      </w:rPr>
    </w:lvl>
    <w:lvl w:ilvl="4">
      <w:start w:val="1"/>
      <w:numFmt w:val="bullet"/>
      <w:lvlText w:val=""/>
      <w:lvlJc w:val="left"/>
      <w:pPr>
        <w:tabs>
          <w:tab w:val="num" w:pos="2232"/>
        </w:tabs>
        <w:ind w:left="2232" w:hanging="792"/>
      </w:pPr>
      <w:rPr>
        <w:rFonts w:ascii="Symbol" w:hAnsi="Symbol" w:hint="default"/>
        <w:color w:val="auto"/>
      </w:rPr>
    </w:lvl>
    <w:lvl w:ilvl="5">
      <w:start w:val="1"/>
      <w:numFmt w:val="bullet"/>
      <w:lvlText w:val=""/>
      <w:lvlJc w:val="left"/>
      <w:pPr>
        <w:tabs>
          <w:tab w:val="num" w:pos="2880"/>
        </w:tabs>
        <w:ind w:left="2736" w:hanging="936"/>
      </w:pPr>
      <w:rPr>
        <w:rFonts w:ascii="Symbol" w:hAnsi="Symbol"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28B01A27"/>
    <w:multiLevelType w:val="multilevel"/>
    <w:tmpl w:val="F5FC62A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0911D48"/>
    <w:multiLevelType w:val="multilevel"/>
    <w:tmpl w:val="E7BA4D02"/>
    <w:lvl w:ilvl="0">
      <w:start w:val="10"/>
      <w:numFmt w:val="decimal"/>
      <w:suff w:val="space"/>
      <w:lvlText w:val="%1."/>
      <w:lvlJc w:val="left"/>
      <w:pPr>
        <w:ind w:left="567" w:hanging="567"/>
      </w:pPr>
      <w:rPr>
        <w:rFonts w:ascii="Times New Roman" w:hAnsi="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i w:val="0"/>
        <w:sz w:val="24"/>
      </w:rPr>
    </w:lvl>
    <w:lvl w:ilvl="2">
      <w:start w:val="1"/>
      <w:numFmt w:val="lowerLetter"/>
      <w:lvlText w:val="%3."/>
      <w:lvlJc w:val="left"/>
      <w:pPr>
        <w:tabs>
          <w:tab w:val="num" w:pos="1224"/>
        </w:tabs>
        <w:ind w:left="1224" w:hanging="504"/>
      </w:pPr>
      <w:rPr>
        <w:rFonts w:hint="default"/>
      </w:rPr>
    </w:lvl>
    <w:lvl w:ilvl="3">
      <w:start w:val="1"/>
      <w:numFmt w:val="lowerRoman"/>
      <w:lvlText w:val="%4."/>
      <w:lvlJc w:val="left"/>
      <w:pPr>
        <w:tabs>
          <w:tab w:val="num" w:pos="1728"/>
        </w:tabs>
        <w:ind w:left="1728" w:hanging="648"/>
      </w:pPr>
      <w:rPr>
        <w:rFonts w:ascii="Times New Roman" w:hAnsi="Times New Roman" w:hint="default"/>
        <w:b w:val="0"/>
        <w:i w:val="0"/>
        <w:color w:val="auto"/>
        <w:sz w:val="24"/>
        <w:u w:val="none"/>
      </w:rPr>
    </w:lvl>
    <w:lvl w:ilvl="4">
      <w:start w:val="1"/>
      <w:numFmt w:val="bullet"/>
      <w:lvlText w:val=""/>
      <w:lvlJc w:val="left"/>
      <w:pPr>
        <w:tabs>
          <w:tab w:val="num" w:pos="2232"/>
        </w:tabs>
        <w:ind w:left="2232" w:hanging="792"/>
      </w:pPr>
      <w:rPr>
        <w:rFonts w:ascii="Symbol" w:hAnsi="Symbol" w:hint="default"/>
        <w:color w:val="auto"/>
      </w:rPr>
    </w:lvl>
    <w:lvl w:ilvl="5">
      <w:start w:val="1"/>
      <w:numFmt w:val="bullet"/>
      <w:lvlText w:val=""/>
      <w:lvlJc w:val="left"/>
      <w:pPr>
        <w:tabs>
          <w:tab w:val="num" w:pos="2880"/>
        </w:tabs>
        <w:ind w:left="2736" w:hanging="936"/>
      </w:pPr>
      <w:rPr>
        <w:rFonts w:ascii="Symbol" w:hAnsi="Symbol"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0A33998"/>
    <w:multiLevelType w:val="multilevel"/>
    <w:tmpl w:val="37D8B9D4"/>
    <w:lvl w:ilvl="0">
      <w:start w:val="18"/>
      <w:numFmt w:val="decimal"/>
      <w:suff w:val="space"/>
      <w:lvlText w:val="%1."/>
      <w:lvlJc w:val="left"/>
      <w:pPr>
        <w:ind w:left="567" w:hanging="567"/>
      </w:pPr>
      <w:rPr>
        <w:rFonts w:ascii="Times New Roman" w:hAnsi="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i w:val="0"/>
        <w:sz w:val="24"/>
      </w:rPr>
    </w:lvl>
    <w:lvl w:ilvl="2">
      <w:start w:val="1"/>
      <w:numFmt w:val="lowerLetter"/>
      <w:lvlText w:val="%3."/>
      <w:lvlJc w:val="left"/>
      <w:pPr>
        <w:tabs>
          <w:tab w:val="num" w:pos="1044"/>
        </w:tabs>
        <w:ind w:left="1044" w:hanging="504"/>
      </w:pPr>
      <w:rPr>
        <w:rFonts w:hint="default"/>
      </w:rPr>
    </w:lvl>
    <w:lvl w:ilvl="3">
      <w:start w:val="1"/>
      <w:numFmt w:val="lowerRoman"/>
      <w:lvlText w:val="%4."/>
      <w:lvlJc w:val="left"/>
      <w:pPr>
        <w:tabs>
          <w:tab w:val="num" w:pos="1728"/>
        </w:tabs>
        <w:ind w:left="1728" w:hanging="648"/>
      </w:pPr>
      <w:rPr>
        <w:rFonts w:ascii="Times New Roman" w:hAnsi="Times New Roman" w:hint="default"/>
        <w:b w:val="0"/>
        <w:i w:val="0"/>
        <w:color w:val="auto"/>
        <w:sz w:val="24"/>
        <w:u w:val="none"/>
      </w:rPr>
    </w:lvl>
    <w:lvl w:ilvl="4">
      <w:start w:val="1"/>
      <w:numFmt w:val="bullet"/>
      <w:lvlText w:val=""/>
      <w:lvlJc w:val="left"/>
      <w:pPr>
        <w:tabs>
          <w:tab w:val="num" w:pos="2232"/>
        </w:tabs>
        <w:ind w:left="2232" w:hanging="792"/>
      </w:pPr>
      <w:rPr>
        <w:rFonts w:ascii="Symbol" w:hAnsi="Symbol" w:hint="default"/>
        <w:color w:val="auto"/>
      </w:rPr>
    </w:lvl>
    <w:lvl w:ilvl="5">
      <w:start w:val="1"/>
      <w:numFmt w:val="bullet"/>
      <w:lvlText w:val=""/>
      <w:lvlJc w:val="left"/>
      <w:pPr>
        <w:tabs>
          <w:tab w:val="num" w:pos="2880"/>
        </w:tabs>
        <w:ind w:left="2736" w:hanging="936"/>
      </w:pPr>
      <w:rPr>
        <w:rFonts w:ascii="Symbol" w:hAnsi="Symbol"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5231621C"/>
    <w:multiLevelType w:val="hybridMultilevel"/>
    <w:tmpl w:val="58A29726"/>
    <w:lvl w:ilvl="0" w:tplc="D7D0C280">
      <w:start w:val="1"/>
      <w:numFmt w:val="lowerLetter"/>
      <w:lvlText w:val="%1)"/>
      <w:lvlJc w:val="left"/>
      <w:pPr>
        <w:tabs>
          <w:tab w:val="num" w:pos="927"/>
        </w:tabs>
        <w:ind w:left="927" w:hanging="360"/>
      </w:pPr>
      <w:rPr>
        <w:rFonts w:hint="default"/>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8">
    <w:nsid w:val="6E8651E8"/>
    <w:multiLevelType w:val="multilevel"/>
    <w:tmpl w:val="0A7A43D6"/>
    <w:lvl w:ilvl="0">
      <w:start w:val="13"/>
      <w:numFmt w:val="decimal"/>
      <w:suff w:val="space"/>
      <w:lvlText w:val="%1."/>
      <w:lvlJc w:val="left"/>
      <w:pPr>
        <w:ind w:left="567" w:hanging="567"/>
      </w:pPr>
      <w:rPr>
        <w:rFonts w:ascii="Times New Roman" w:hAnsi="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i w:val="0"/>
        <w:sz w:val="24"/>
      </w:rPr>
    </w:lvl>
    <w:lvl w:ilvl="2">
      <w:start w:val="1"/>
      <w:numFmt w:val="lowerLetter"/>
      <w:lvlText w:val="%3."/>
      <w:lvlJc w:val="left"/>
      <w:pPr>
        <w:tabs>
          <w:tab w:val="num" w:pos="1224"/>
        </w:tabs>
        <w:ind w:left="1224" w:hanging="504"/>
      </w:pPr>
      <w:rPr>
        <w:rFonts w:hint="default"/>
      </w:rPr>
    </w:lvl>
    <w:lvl w:ilvl="3">
      <w:start w:val="1"/>
      <w:numFmt w:val="lowerRoman"/>
      <w:lvlText w:val="%4."/>
      <w:lvlJc w:val="left"/>
      <w:pPr>
        <w:tabs>
          <w:tab w:val="num" w:pos="1728"/>
        </w:tabs>
        <w:ind w:left="1728" w:hanging="648"/>
      </w:pPr>
      <w:rPr>
        <w:rFonts w:ascii="Times New Roman" w:hAnsi="Times New Roman" w:hint="default"/>
        <w:b w:val="0"/>
        <w:i w:val="0"/>
        <w:color w:val="auto"/>
        <w:sz w:val="24"/>
        <w:u w:val="none"/>
      </w:rPr>
    </w:lvl>
    <w:lvl w:ilvl="4">
      <w:start w:val="1"/>
      <w:numFmt w:val="bullet"/>
      <w:lvlText w:val=""/>
      <w:lvlJc w:val="left"/>
      <w:pPr>
        <w:tabs>
          <w:tab w:val="num" w:pos="2232"/>
        </w:tabs>
        <w:ind w:left="2232" w:hanging="792"/>
      </w:pPr>
      <w:rPr>
        <w:rFonts w:ascii="Symbol" w:hAnsi="Symbol" w:hint="default"/>
        <w:color w:val="auto"/>
      </w:rPr>
    </w:lvl>
    <w:lvl w:ilvl="5">
      <w:start w:val="1"/>
      <w:numFmt w:val="bullet"/>
      <w:lvlText w:val=""/>
      <w:lvlJc w:val="left"/>
      <w:pPr>
        <w:tabs>
          <w:tab w:val="num" w:pos="2880"/>
        </w:tabs>
        <w:ind w:left="2736" w:hanging="936"/>
      </w:pPr>
      <w:rPr>
        <w:rFonts w:ascii="Symbol" w:hAnsi="Symbol"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6F961FB4"/>
    <w:multiLevelType w:val="multilevel"/>
    <w:tmpl w:val="9328EBBA"/>
    <w:lvl w:ilvl="0">
      <w:start w:val="14"/>
      <w:numFmt w:val="decimal"/>
      <w:suff w:val="space"/>
      <w:lvlText w:val="%1."/>
      <w:lvlJc w:val="left"/>
      <w:pPr>
        <w:ind w:left="567" w:hanging="567"/>
      </w:pPr>
      <w:rPr>
        <w:rFonts w:ascii="Times New Roman" w:hAnsi="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i w:val="0"/>
        <w:sz w:val="24"/>
      </w:rPr>
    </w:lvl>
    <w:lvl w:ilvl="2">
      <w:start w:val="1"/>
      <w:numFmt w:val="lowerLetter"/>
      <w:lvlText w:val="%3."/>
      <w:lvlJc w:val="left"/>
      <w:pPr>
        <w:tabs>
          <w:tab w:val="num" w:pos="1224"/>
        </w:tabs>
        <w:ind w:left="1224" w:hanging="504"/>
      </w:pPr>
      <w:rPr>
        <w:rFonts w:hint="default"/>
      </w:rPr>
    </w:lvl>
    <w:lvl w:ilvl="3">
      <w:start w:val="1"/>
      <w:numFmt w:val="lowerRoman"/>
      <w:lvlText w:val="%4."/>
      <w:lvlJc w:val="left"/>
      <w:pPr>
        <w:tabs>
          <w:tab w:val="num" w:pos="1728"/>
        </w:tabs>
        <w:ind w:left="1728" w:hanging="648"/>
      </w:pPr>
      <w:rPr>
        <w:rFonts w:ascii="Times New Roman" w:hAnsi="Times New Roman" w:hint="default"/>
        <w:b w:val="0"/>
        <w:i w:val="0"/>
        <w:color w:val="auto"/>
        <w:sz w:val="24"/>
        <w:u w:val="none"/>
      </w:rPr>
    </w:lvl>
    <w:lvl w:ilvl="4">
      <w:start w:val="1"/>
      <w:numFmt w:val="bullet"/>
      <w:lvlText w:val=""/>
      <w:lvlJc w:val="left"/>
      <w:pPr>
        <w:tabs>
          <w:tab w:val="num" w:pos="2232"/>
        </w:tabs>
        <w:ind w:left="2232" w:hanging="792"/>
      </w:pPr>
      <w:rPr>
        <w:rFonts w:ascii="Symbol" w:hAnsi="Symbol" w:hint="default"/>
        <w:color w:val="auto"/>
      </w:rPr>
    </w:lvl>
    <w:lvl w:ilvl="5">
      <w:start w:val="1"/>
      <w:numFmt w:val="bullet"/>
      <w:lvlText w:val=""/>
      <w:lvlJc w:val="left"/>
      <w:pPr>
        <w:tabs>
          <w:tab w:val="num" w:pos="2880"/>
        </w:tabs>
        <w:ind w:left="2736" w:hanging="936"/>
      </w:pPr>
      <w:rPr>
        <w:rFonts w:ascii="Symbol" w:hAnsi="Symbol"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74774E1E"/>
    <w:multiLevelType w:val="hybridMultilevel"/>
    <w:tmpl w:val="01E4F4C4"/>
    <w:lvl w:ilvl="0" w:tplc="5350BE3E">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775B1D6A"/>
    <w:multiLevelType w:val="multilevel"/>
    <w:tmpl w:val="5860AC5E"/>
    <w:lvl w:ilvl="0">
      <w:start w:val="17"/>
      <w:numFmt w:val="decimal"/>
      <w:suff w:val="space"/>
      <w:lvlText w:val="%1."/>
      <w:lvlJc w:val="left"/>
      <w:pPr>
        <w:ind w:left="567" w:hanging="567"/>
      </w:pPr>
      <w:rPr>
        <w:rFonts w:ascii="Times New Roman" w:hAnsi="Times New Roman" w:hint="default"/>
        <w:b/>
        <w:i w:val="0"/>
        <w:sz w:val="24"/>
      </w:rPr>
    </w:lvl>
    <w:lvl w:ilvl="1">
      <w:start w:val="1"/>
      <w:numFmt w:val="decimal"/>
      <w:lvlText w:val="%1.%2."/>
      <w:lvlJc w:val="left"/>
      <w:pPr>
        <w:tabs>
          <w:tab w:val="num" w:pos="792"/>
        </w:tabs>
        <w:ind w:left="792" w:hanging="432"/>
      </w:pPr>
      <w:rPr>
        <w:rFonts w:ascii="Times New Roman" w:hAnsi="Times New Roman" w:hint="default"/>
        <w:b/>
        <w:i w:val="0"/>
        <w:sz w:val="24"/>
      </w:rPr>
    </w:lvl>
    <w:lvl w:ilvl="2">
      <w:start w:val="1"/>
      <w:numFmt w:val="lowerLetter"/>
      <w:lvlText w:val="%3."/>
      <w:lvlJc w:val="left"/>
      <w:pPr>
        <w:tabs>
          <w:tab w:val="num" w:pos="1044"/>
        </w:tabs>
        <w:ind w:left="1044" w:hanging="504"/>
      </w:pPr>
      <w:rPr>
        <w:rFonts w:hint="default"/>
      </w:rPr>
    </w:lvl>
    <w:lvl w:ilvl="3">
      <w:start w:val="1"/>
      <w:numFmt w:val="lowerRoman"/>
      <w:lvlText w:val="%4."/>
      <w:lvlJc w:val="left"/>
      <w:pPr>
        <w:tabs>
          <w:tab w:val="num" w:pos="1728"/>
        </w:tabs>
        <w:ind w:left="1728" w:hanging="648"/>
      </w:pPr>
      <w:rPr>
        <w:rFonts w:ascii="Times New Roman" w:hAnsi="Times New Roman" w:hint="default"/>
        <w:b w:val="0"/>
        <w:i w:val="0"/>
        <w:color w:val="auto"/>
        <w:sz w:val="24"/>
        <w:u w:val="none"/>
      </w:rPr>
    </w:lvl>
    <w:lvl w:ilvl="4">
      <w:start w:val="1"/>
      <w:numFmt w:val="bullet"/>
      <w:lvlText w:val=""/>
      <w:lvlJc w:val="left"/>
      <w:pPr>
        <w:tabs>
          <w:tab w:val="num" w:pos="2232"/>
        </w:tabs>
        <w:ind w:left="2232" w:hanging="792"/>
      </w:pPr>
      <w:rPr>
        <w:rFonts w:ascii="Symbol" w:hAnsi="Symbol" w:hint="default"/>
        <w:color w:val="auto"/>
      </w:rPr>
    </w:lvl>
    <w:lvl w:ilvl="5">
      <w:start w:val="1"/>
      <w:numFmt w:val="bullet"/>
      <w:lvlText w:val=""/>
      <w:lvlJc w:val="left"/>
      <w:pPr>
        <w:tabs>
          <w:tab w:val="num" w:pos="2880"/>
        </w:tabs>
        <w:ind w:left="2736" w:hanging="936"/>
      </w:pPr>
      <w:rPr>
        <w:rFonts w:ascii="Symbol" w:hAnsi="Symbol"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7AC408B7"/>
    <w:multiLevelType w:val="hybridMultilevel"/>
    <w:tmpl w:val="32AA2428"/>
    <w:lvl w:ilvl="0" w:tplc="2342214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lvlOverride w:ilvl="0">
      <w:startOverride w:val="1"/>
      <w:lvl w:ilvl="0">
        <w:start w:val="1"/>
        <w:numFmt w:val="lowerLetter"/>
        <w:lvlText w:val="%1."/>
        <w:lvlJc w:val="left"/>
        <w:pPr>
          <w:ind w:left="0" w:firstLine="0"/>
        </w:pPr>
        <w:rPr>
          <w:rFonts w:cs="Times New Roman"/>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10"/>
  </w:num>
  <w:num w:numId="3">
    <w:abstractNumId w:val="0"/>
  </w:num>
  <w:num w:numId="4">
    <w:abstractNumId w:val="1"/>
  </w:num>
  <w:num w:numId="5">
    <w:abstractNumId w:val="7"/>
  </w:num>
  <w:num w:numId="6">
    <w:abstractNumId w:val="3"/>
  </w:num>
  <w:num w:numId="7">
    <w:abstractNumId w:val="8"/>
  </w:num>
  <w:num w:numId="8">
    <w:abstractNumId w:val="9"/>
  </w:num>
  <w:num w:numId="9">
    <w:abstractNumId w:val="11"/>
  </w:num>
  <w:num w:numId="10">
    <w:abstractNumId w:val="6"/>
  </w:num>
  <w:num w:numId="11">
    <w:abstractNumId w:val="5"/>
  </w:num>
  <w:num w:numId="12">
    <w:abstractNumId w:val="12"/>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stylePaneFormatFilter w:val="3F01"/>
  <w:trackRevisions/>
  <w:defaultTabStop w:val="720"/>
  <w:hyphenationZone w:val="425"/>
  <w:drawingGridHorizontalSpacing w:val="120"/>
  <w:displayHorizontalDrawingGridEvery w:val="0"/>
  <w:displayVerticalDrawingGridEvery w:val="2"/>
  <w:characterSpacingControl w:val="doNotCompress"/>
  <w:hdrShapeDefaults>
    <o:shapedefaults v:ext="edit" spidmax="24578"/>
  </w:hdrShapeDefaults>
  <w:footnotePr>
    <w:footnote w:id="-1"/>
    <w:footnote w:id="0"/>
  </w:footnotePr>
  <w:endnotePr>
    <w:endnote w:id="-1"/>
    <w:endnote w:id="0"/>
  </w:endnotePr>
  <w:compat/>
  <w:rsids>
    <w:rsidRoot w:val="00013DA0"/>
    <w:rsid w:val="00001E31"/>
    <w:rsid w:val="00002E22"/>
    <w:rsid w:val="00004811"/>
    <w:rsid w:val="000063DC"/>
    <w:rsid w:val="00010187"/>
    <w:rsid w:val="0001161B"/>
    <w:rsid w:val="00013DA0"/>
    <w:rsid w:val="00016748"/>
    <w:rsid w:val="00023771"/>
    <w:rsid w:val="0004148B"/>
    <w:rsid w:val="0004725A"/>
    <w:rsid w:val="0005315C"/>
    <w:rsid w:val="0005509A"/>
    <w:rsid w:val="00057620"/>
    <w:rsid w:val="00062F2D"/>
    <w:rsid w:val="0009314C"/>
    <w:rsid w:val="00095B7A"/>
    <w:rsid w:val="000964E3"/>
    <w:rsid w:val="00097806"/>
    <w:rsid w:val="000B082A"/>
    <w:rsid w:val="000B123F"/>
    <w:rsid w:val="000B2FBF"/>
    <w:rsid w:val="000C0C33"/>
    <w:rsid w:val="000C4F53"/>
    <w:rsid w:val="000C7655"/>
    <w:rsid w:val="000F14A9"/>
    <w:rsid w:val="000F3E45"/>
    <w:rsid w:val="00102F66"/>
    <w:rsid w:val="001168B2"/>
    <w:rsid w:val="00117048"/>
    <w:rsid w:val="00120FC5"/>
    <w:rsid w:val="00132677"/>
    <w:rsid w:val="00133A5F"/>
    <w:rsid w:val="00147767"/>
    <w:rsid w:val="001549C2"/>
    <w:rsid w:val="00164CB8"/>
    <w:rsid w:val="00166659"/>
    <w:rsid w:val="00172747"/>
    <w:rsid w:val="001737C1"/>
    <w:rsid w:val="00173E6B"/>
    <w:rsid w:val="0018320E"/>
    <w:rsid w:val="00184549"/>
    <w:rsid w:val="00196208"/>
    <w:rsid w:val="001A5F27"/>
    <w:rsid w:val="001B3BBE"/>
    <w:rsid w:val="001B423B"/>
    <w:rsid w:val="001C7B86"/>
    <w:rsid w:val="001D2689"/>
    <w:rsid w:val="001D2B2A"/>
    <w:rsid w:val="001D58E7"/>
    <w:rsid w:val="001D7545"/>
    <w:rsid w:val="001E018F"/>
    <w:rsid w:val="001E745D"/>
    <w:rsid w:val="001F69EF"/>
    <w:rsid w:val="00214FB8"/>
    <w:rsid w:val="00215BC1"/>
    <w:rsid w:val="00217F14"/>
    <w:rsid w:val="00225C4A"/>
    <w:rsid w:val="002351E0"/>
    <w:rsid w:val="002378C2"/>
    <w:rsid w:val="00240912"/>
    <w:rsid w:val="002432E9"/>
    <w:rsid w:val="00246731"/>
    <w:rsid w:val="00246966"/>
    <w:rsid w:val="0025452B"/>
    <w:rsid w:val="0025587A"/>
    <w:rsid w:val="002562FA"/>
    <w:rsid w:val="002625B4"/>
    <w:rsid w:val="002629DE"/>
    <w:rsid w:val="00264769"/>
    <w:rsid w:val="00267AED"/>
    <w:rsid w:val="00267F9B"/>
    <w:rsid w:val="0027100D"/>
    <w:rsid w:val="00273D2E"/>
    <w:rsid w:val="00274582"/>
    <w:rsid w:val="0027624E"/>
    <w:rsid w:val="002849D1"/>
    <w:rsid w:val="002932F4"/>
    <w:rsid w:val="002A0A6F"/>
    <w:rsid w:val="002A166F"/>
    <w:rsid w:val="002B383B"/>
    <w:rsid w:val="002B5E1E"/>
    <w:rsid w:val="002C0CCE"/>
    <w:rsid w:val="002C2075"/>
    <w:rsid w:val="002C30BE"/>
    <w:rsid w:val="002C3C5A"/>
    <w:rsid w:val="002C6251"/>
    <w:rsid w:val="002D0F6D"/>
    <w:rsid w:val="002D5987"/>
    <w:rsid w:val="002D641F"/>
    <w:rsid w:val="002E258A"/>
    <w:rsid w:val="002E262B"/>
    <w:rsid w:val="002E45E2"/>
    <w:rsid w:val="002E5F74"/>
    <w:rsid w:val="002E61F2"/>
    <w:rsid w:val="002F31B1"/>
    <w:rsid w:val="00304497"/>
    <w:rsid w:val="00312A47"/>
    <w:rsid w:val="00315D74"/>
    <w:rsid w:val="00315DE8"/>
    <w:rsid w:val="00321B4E"/>
    <w:rsid w:val="00322EAC"/>
    <w:rsid w:val="003325D1"/>
    <w:rsid w:val="00334003"/>
    <w:rsid w:val="00334601"/>
    <w:rsid w:val="003555DD"/>
    <w:rsid w:val="003600F1"/>
    <w:rsid w:val="00361DCE"/>
    <w:rsid w:val="00367246"/>
    <w:rsid w:val="003912F8"/>
    <w:rsid w:val="0039352E"/>
    <w:rsid w:val="003A17C5"/>
    <w:rsid w:val="003A47FF"/>
    <w:rsid w:val="003A6B21"/>
    <w:rsid w:val="003B1D06"/>
    <w:rsid w:val="003B2BBB"/>
    <w:rsid w:val="003D1A90"/>
    <w:rsid w:val="003E1D97"/>
    <w:rsid w:val="003E282E"/>
    <w:rsid w:val="003E6098"/>
    <w:rsid w:val="003F5E4A"/>
    <w:rsid w:val="00407218"/>
    <w:rsid w:val="0041243D"/>
    <w:rsid w:val="004163CB"/>
    <w:rsid w:val="004329A9"/>
    <w:rsid w:val="00434D02"/>
    <w:rsid w:val="00437577"/>
    <w:rsid w:val="00451105"/>
    <w:rsid w:val="00472765"/>
    <w:rsid w:val="004753A3"/>
    <w:rsid w:val="00477179"/>
    <w:rsid w:val="004858C3"/>
    <w:rsid w:val="00487F08"/>
    <w:rsid w:val="00491CE3"/>
    <w:rsid w:val="00494DFA"/>
    <w:rsid w:val="004B0BA5"/>
    <w:rsid w:val="004B3F52"/>
    <w:rsid w:val="004B5ED9"/>
    <w:rsid w:val="004B7E20"/>
    <w:rsid w:val="004C4A89"/>
    <w:rsid w:val="004C7504"/>
    <w:rsid w:val="004D222A"/>
    <w:rsid w:val="004D5CCA"/>
    <w:rsid w:val="004D7E11"/>
    <w:rsid w:val="004E2EEB"/>
    <w:rsid w:val="004F67DE"/>
    <w:rsid w:val="00500935"/>
    <w:rsid w:val="0050245B"/>
    <w:rsid w:val="00505B58"/>
    <w:rsid w:val="00506C53"/>
    <w:rsid w:val="00507082"/>
    <w:rsid w:val="00515DDB"/>
    <w:rsid w:val="00521C4C"/>
    <w:rsid w:val="00535DB7"/>
    <w:rsid w:val="00535FAA"/>
    <w:rsid w:val="00542F05"/>
    <w:rsid w:val="005449DA"/>
    <w:rsid w:val="0055272F"/>
    <w:rsid w:val="00552B9F"/>
    <w:rsid w:val="005551CB"/>
    <w:rsid w:val="00562444"/>
    <w:rsid w:val="00563CF4"/>
    <w:rsid w:val="00563F1B"/>
    <w:rsid w:val="005726C5"/>
    <w:rsid w:val="00581611"/>
    <w:rsid w:val="005A4F7F"/>
    <w:rsid w:val="005A5212"/>
    <w:rsid w:val="005B1B90"/>
    <w:rsid w:val="005B7040"/>
    <w:rsid w:val="005C2A03"/>
    <w:rsid w:val="005C3890"/>
    <w:rsid w:val="005D076C"/>
    <w:rsid w:val="005D7331"/>
    <w:rsid w:val="005E44E6"/>
    <w:rsid w:val="005E5054"/>
    <w:rsid w:val="005F05DF"/>
    <w:rsid w:val="005F14EA"/>
    <w:rsid w:val="005F6AFD"/>
    <w:rsid w:val="0060598C"/>
    <w:rsid w:val="00616A3F"/>
    <w:rsid w:val="00620B6E"/>
    <w:rsid w:val="00635F0B"/>
    <w:rsid w:val="00646059"/>
    <w:rsid w:val="00654BF3"/>
    <w:rsid w:val="006570D9"/>
    <w:rsid w:val="00665FC7"/>
    <w:rsid w:val="00674BF5"/>
    <w:rsid w:val="00675ED7"/>
    <w:rsid w:val="00682AC0"/>
    <w:rsid w:val="00682E62"/>
    <w:rsid w:val="0068551F"/>
    <w:rsid w:val="00693E8B"/>
    <w:rsid w:val="006A235F"/>
    <w:rsid w:val="006A72F6"/>
    <w:rsid w:val="006B18E9"/>
    <w:rsid w:val="006B1E52"/>
    <w:rsid w:val="006B799E"/>
    <w:rsid w:val="006C4934"/>
    <w:rsid w:val="006D0950"/>
    <w:rsid w:val="006E78D3"/>
    <w:rsid w:val="006F2C34"/>
    <w:rsid w:val="006F5793"/>
    <w:rsid w:val="006F6212"/>
    <w:rsid w:val="006F7D7A"/>
    <w:rsid w:val="0070142D"/>
    <w:rsid w:val="00722262"/>
    <w:rsid w:val="007316F9"/>
    <w:rsid w:val="007328D5"/>
    <w:rsid w:val="00733612"/>
    <w:rsid w:val="00737F5C"/>
    <w:rsid w:val="007400F2"/>
    <w:rsid w:val="0074042D"/>
    <w:rsid w:val="00743A1F"/>
    <w:rsid w:val="007474EE"/>
    <w:rsid w:val="00747D1D"/>
    <w:rsid w:val="00762722"/>
    <w:rsid w:val="007729F9"/>
    <w:rsid w:val="007749D2"/>
    <w:rsid w:val="00780860"/>
    <w:rsid w:val="0078132E"/>
    <w:rsid w:val="007967B0"/>
    <w:rsid w:val="0079681A"/>
    <w:rsid w:val="007979D3"/>
    <w:rsid w:val="007A4227"/>
    <w:rsid w:val="007A58BB"/>
    <w:rsid w:val="007C7D00"/>
    <w:rsid w:val="007D6B4F"/>
    <w:rsid w:val="007F3882"/>
    <w:rsid w:val="0080334B"/>
    <w:rsid w:val="00805E09"/>
    <w:rsid w:val="00814D6F"/>
    <w:rsid w:val="008242D3"/>
    <w:rsid w:val="00825272"/>
    <w:rsid w:val="00830AD2"/>
    <w:rsid w:val="00834ED2"/>
    <w:rsid w:val="00855274"/>
    <w:rsid w:val="008562A5"/>
    <w:rsid w:val="008565B1"/>
    <w:rsid w:val="00857FB8"/>
    <w:rsid w:val="0086387E"/>
    <w:rsid w:val="00865BB9"/>
    <w:rsid w:val="00871327"/>
    <w:rsid w:val="00873E77"/>
    <w:rsid w:val="008763A8"/>
    <w:rsid w:val="00876F35"/>
    <w:rsid w:val="00877DEF"/>
    <w:rsid w:val="0088107B"/>
    <w:rsid w:val="00884DB8"/>
    <w:rsid w:val="00886803"/>
    <w:rsid w:val="00886992"/>
    <w:rsid w:val="0089686D"/>
    <w:rsid w:val="0089746B"/>
    <w:rsid w:val="008A259E"/>
    <w:rsid w:val="008B34D3"/>
    <w:rsid w:val="008C506B"/>
    <w:rsid w:val="008D0414"/>
    <w:rsid w:val="008D0436"/>
    <w:rsid w:val="008E3D7A"/>
    <w:rsid w:val="008E4E56"/>
    <w:rsid w:val="008E7B5F"/>
    <w:rsid w:val="008F6579"/>
    <w:rsid w:val="0090151E"/>
    <w:rsid w:val="009165E9"/>
    <w:rsid w:val="009266D4"/>
    <w:rsid w:val="00931B21"/>
    <w:rsid w:val="009333D9"/>
    <w:rsid w:val="00936B98"/>
    <w:rsid w:val="00943562"/>
    <w:rsid w:val="00947872"/>
    <w:rsid w:val="00955BAC"/>
    <w:rsid w:val="0096038E"/>
    <w:rsid w:val="00962164"/>
    <w:rsid w:val="009621A2"/>
    <w:rsid w:val="009840F9"/>
    <w:rsid w:val="009A10A9"/>
    <w:rsid w:val="009A3101"/>
    <w:rsid w:val="009A7399"/>
    <w:rsid w:val="009A7885"/>
    <w:rsid w:val="009C1CF9"/>
    <w:rsid w:val="009C4040"/>
    <w:rsid w:val="009D0363"/>
    <w:rsid w:val="009D0612"/>
    <w:rsid w:val="009D16B8"/>
    <w:rsid w:val="009E36B6"/>
    <w:rsid w:val="009F4AC3"/>
    <w:rsid w:val="009F7192"/>
    <w:rsid w:val="00A05F8C"/>
    <w:rsid w:val="00A12BB4"/>
    <w:rsid w:val="00A13128"/>
    <w:rsid w:val="00A1355D"/>
    <w:rsid w:val="00A22137"/>
    <w:rsid w:val="00A22C7C"/>
    <w:rsid w:val="00A32DEA"/>
    <w:rsid w:val="00A33E84"/>
    <w:rsid w:val="00A34A60"/>
    <w:rsid w:val="00A447EB"/>
    <w:rsid w:val="00A44E63"/>
    <w:rsid w:val="00A51B20"/>
    <w:rsid w:val="00A560B8"/>
    <w:rsid w:val="00A6045A"/>
    <w:rsid w:val="00A64D44"/>
    <w:rsid w:val="00A72544"/>
    <w:rsid w:val="00A856FE"/>
    <w:rsid w:val="00A86D17"/>
    <w:rsid w:val="00A926D9"/>
    <w:rsid w:val="00A93B98"/>
    <w:rsid w:val="00A96339"/>
    <w:rsid w:val="00A96364"/>
    <w:rsid w:val="00AA49AB"/>
    <w:rsid w:val="00AB29E0"/>
    <w:rsid w:val="00AB52BE"/>
    <w:rsid w:val="00AB6BA6"/>
    <w:rsid w:val="00AC4405"/>
    <w:rsid w:val="00AD1946"/>
    <w:rsid w:val="00AE11BD"/>
    <w:rsid w:val="00AE6FB2"/>
    <w:rsid w:val="00B11147"/>
    <w:rsid w:val="00B14644"/>
    <w:rsid w:val="00B3199D"/>
    <w:rsid w:val="00B322A9"/>
    <w:rsid w:val="00B43B96"/>
    <w:rsid w:val="00B56DC6"/>
    <w:rsid w:val="00B60AA1"/>
    <w:rsid w:val="00B6258E"/>
    <w:rsid w:val="00B74976"/>
    <w:rsid w:val="00B81F8D"/>
    <w:rsid w:val="00B90164"/>
    <w:rsid w:val="00B90924"/>
    <w:rsid w:val="00B94CAE"/>
    <w:rsid w:val="00BA2E9A"/>
    <w:rsid w:val="00BB1C05"/>
    <w:rsid w:val="00BB2DFF"/>
    <w:rsid w:val="00BB3A1C"/>
    <w:rsid w:val="00BB78B1"/>
    <w:rsid w:val="00BC315E"/>
    <w:rsid w:val="00BC5AB0"/>
    <w:rsid w:val="00BC6EDB"/>
    <w:rsid w:val="00BD61B5"/>
    <w:rsid w:val="00BF2902"/>
    <w:rsid w:val="00C05D0B"/>
    <w:rsid w:val="00C1221C"/>
    <w:rsid w:val="00C17801"/>
    <w:rsid w:val="00C21690"/>
    <w:rsid w:val="00C339CA"/>
    <w:rsid w:val="00C36B9C"/>
    <w:rsid w:val="00C547A4"/>
    <w:rsid w:val="00C73E97"/>
    <w:rsid w:val="00C80512"/>
    <w:rsid w:val="00C84715"/>
    <w:rsid w:val="00CA63A2"/>
    <w:rsid w:val="00CB46E6"/>
    <w:rsid w:val="00CD36FE"/>
    <w:rsid w:val="00CD466E"/>
    <w:rsid w:val="00CD5C6F"/>
    <w:rsid w:val="00CE40D3"/>
    <w:rsid w:val="00CE7597"/>
    <w:rsid w:val="00CF0EF1"/>
    <w:rsid w:val="00CF1B90"/>
    <w:rsid w:val="00CF4277"/>
    <w:rsid w:val="00D0166E"/>
    <w:rsid w:val="00D01ACB"/>
    <w:rsid w:val="00D0703B"/>
    <w:rsid w:val="00D07DFB"/>
    <w:rsid w:val="00D22220"/>
    <w:rsid w:val="00D2697A"/>
    <w:rsid w:val="00D26C2D"/>
    <w:rsid w:val="00D3220D"/>
    <w:rsid w:val="00D32A5D"/>
    <w:rsid w:val="00D32BA9"/>
    <w:rsid w:val="00D33280"/>
    <w:rsid w:val="00D35620"/>
    <w:rsid w:val="00D60DC0"/>
    <w:rsid w:val="00D9553A"/>
    <w:rsid w:val="00DA1BA0"/>
    <w:rsid w:val="00DA6368"/>
    <w:rsid w:val="00DA7042"/>
    <w:rsid w:val="00DC69CA"/>
    <w:rsid w:val="00DE257B"/>
    <w:rsid w:val="00DF552F"/>
    <w:rsid w:val="00DF5DE4"/>
    <w:rsid w:val="00E00B29"/>
    <w:rsid w:val="00E02E89"/>
    <w:rsid w:val="00E0305D"/>
    <w:rsid w:val="00E04014"/>
    <w:rsid w:val="00E13B76"/>
    <w:rsid w:val="00E15DF4"/>
    <w:rsid w:val="00E22885"/>
    <w:rsid w:val="00E368C0"/>
    <w:rsid w:val="00E42C40"/>
    <w:rsid w:val="00E43B78"/>
    <w:rsid w:val="00E45116"/>
    <w:rsid w:val="00E466CF"/>
    <w:rsid w:val="00E50AA9"/>
    <w:rsid w:val="00E6622B"/>
    <w:rsid w:val="00E74471"/>
    <w:rsid w:val="00E75F50"/>
    <w:rsid w:val="00E77805"/>
    <w:rsid w:val="00E83F4D"/>
    <w:rsid w:val="00E86F0B"/>
    <w:rsid w:val="00E90511"/>
    <w:rsid w:val="00E95477"/>
    <w:rsid w:val="00EC4937"/>
    <w:rsid w:val="00EC5CBE"/>
    <w:rsid w:val="00ED048B"/>
    <w:rsid w:val="00ED436F"/>
    <w:rsid w:val="00ED4BCF"/>
    <w:rsid w:val="00EE48B9"/>
    <w:rsid w:val="00EE6F92"/>
    <w:rsid w:val="00EF398B"/>
    <w:rsid w:val="00F123E8"/>
    <w:rsid w:val="00F1306A"/>
    <w:rsid w:val="00F1795B"/>
    <w:rsid w:val="00F240F5"/>
    <w:rsid w:val="00F26DE9"/>
    <w:rsid w:val="00F27DB0"/>
    <w:rsid w:val="00F42DDD"/>
    <w:rsid w:val="00F43773"/>
    <w:rsid w:val="00F47315"/>
    <w:rsid w:val="00F531DE"/>
    <w:rsid w:val="00F539B0"/>
    <w:rsid w:val="00F54A21"/>
    <w:rsid w:val="00F55382"/>
    <w:rsid w:val="00F55C47"/>
    <w:rsid w:val="00F55FB2"/>
    <w:rsid w:val="00F6203A"/>
    <w:rsid w:val="00F671F2"/>
    <w:rsid w:val="00F746CD"/>
    <w:rsid w:val="00F8156F"/>
    <w:rsid w:val="00F83B23"/>
    <w:rsid w:val="00F92524"/>
    <w:rsid w:val="00F95859"/>
    <w:rsid w:val="00F95F4E"/>
    <w:rsid w:val="00FB0E11"/>
    <w:rsid w:val="00FB3EA0"/>
    <w:rsid w:val="00FB6039"/>
    <w:rsid w:val="00FB7E45"/>
    <w:rsid w:val="00FC0417"/>
    <w:rsid w:val="00FD21B9"/>
    <w:rsid w:val="00FD33E3"/>
    <w:rsid w:val="00FD457E"/>
    <w:rsid w:val="00FD60CB"/>
    <w:rsid w:val="00FE45CD"/>
    <w:rsid w:val="00FE70D5"/>
    <w:rsid w:val="00FF09F1"/>
    <w:rsid w:val="00FF1114"/>
    <w:rsid w:val="00FF48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3DA0"/>
    <w:rPr>
      <w:sz w:val="24"/>
      <w:szCs w:val="24"/>
    </w:rPr>
  </w:style>
  <w:style w:type="paragraph" w:styleId="Ttulo1">
    <w:name w:val="heading 1"/>
    <w:basedOn w:val="Normal"/>
    <w:next w:val="Normal"/>
    <w:link w:val="Ttulo1Char"/>
    <w:qFormat/>
    <w:rsid w:val="008565B1"/>
    <w:pPr>
      <w:keepNext/>
      <w:jc w:val="center"/>
      <w:outlineLvl w:val="0"/>
    </w:pPr>
    <w:rPr>
      <w:b/>
      <w:bCs/>
    </w:rPr>
  </w:style>
  <w:style w:type="paragraph" w:styleId="Ttulo2">
    <w:name w:val="heading 2"/>
    <w:basedOn w:val="Normal"/>
    <w:next w:val="Normal"/>
    <w:link w:val="Ttulo2Char"/>
    <w:qFormat/>
    <w:rsid w:val="002351E0"/>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autoRedefine/>
    <w:semiHidden/>
    <w:rsid w:val="00F27DB0"/>
    <w:pPr>
      <w:spacing w:before="240" w:after="120" w:line="480" w:lineRule="auto"/>
      <w:jc w:val="both"/>
    </w:pPr>
    <w:rPr>
      <w:b/>
      <w:bCs/>
      <w:szCs w:val="20"/>
    </w:rPr>
  </w:style>
  <w:style w:type="paragraph" w:customStyle="1" w:styleId="SDM">
    <w:name w:val="SDM"/>
    <w:basedOn w:val="Normal"/>
    <w:rsid w:val="00013DA0"/>
    <w:pPr>
      <w:jc w:val="both"/>
    </w:pPr>
    <w:rPr>
      <w:bCs/>
    </w:rPr>
  </w:style>
  <w:style w:type="paragraph" w:customStyle="1" w:styleId="Default">
    <w:name w:val="Default"/>
    <w:rsid w:val="00013DA0"/>
    <w:pPr>
      <w:autoSpaceDE w:val="0"/>
      <w:autoSpaceDN w:val="0"/>
      <w:adjustRightInd w:val="0"/>
    </w:pPr>
    <w:rPr>
      <w:color w:val="000000"/>
      <w:sz w:val="24"/>
      <w:szCs w:val="24"/>
      <w:lang w:eastAsia="en-US"/>
    </w:rPr>
  </w:style>
  <w:style w:type="paragraph" w:styleId="Corpodetexto3">
    <w:name w:val="Body Text 3"/>
    <w:basedOn w:val="Normal"/>
    <w:rsid w:val="00013DA0"/>
    <w:pPr>
      <w:spacing w:after="120"/>
    </w:pPr>
    <w:rPr>
      <w:sz w:val="16"/>
      <w:szCs w:val="16"/>
    </w:rPr>
  </w:style>
  <w:style w:type="paragraph" w:customStyle="1" w:styleId="BodySingle">
    <w:name w:val="Body Single"/>
    <w:basedOn w:val="Corpodetexto"/>
    <w:rsid w:val="00013DA0"/>
    <w:pPr>
      <w:spacing w:after="0" w:line="260" w:lineRule="atLeast"/>
    </w:pPr>
    <w:rPr>
      <w:sz w:val="20"/>
      <w:szCs w:val="20"/>
      <w:lang w:eastAsia="en-US"/>
    </w:rPr>
  </w:style>
  <w:style w:type="paragraph" w:styleId="Corpodetexto">
    <w:name w:val="Body Text"/>
    <w:basedOn w:val="Normal"/>
    <w:rsid w:val="00013DA0"/>
    <w:pPr>
      <w:spacing w:after="120"/>
    </w:pPr>
  </w:style>
  <w:style w:type="paragraph" w:styleId="NormalWeb">
    <w:name w:val="Normal (Web)"/>
    <w:basedOn w:val="Normal"/>
    <w:uiPriority w:val="99"/>
    <w:rsid w:val="00407218"/>
    <w:pPr>
      <w:spacing w:before="100" w:beforeAutospacing="1" w:after="100" w:afterAutospacing="1"/>
    </w:pPr>
    <w:rPr>
      <w:rFonts w:ascii="Arial Unicode MS" w:eastAsia="Arial Unicode MS" w:hAnsi="Arial Unicode MS" w:cs="Arial Unicode MS"/>
      <w:color w:val="000000"/>
    </w:rPr>
  </w:style>
  <w:style w:type="paragraph" w:styleId="Textodebalo">
    <w:name w:val="Balloon Text"/>
    <w:basedOn w:val="Normal"/>
    <w:link w:val="TextodebaloChar"/>
    <w:rsid w:val="001D7545"/>
    <w:rPr>
      <w:rFonts w:ascii="Tahoma" w:hAnsi="Tahoma" w:cs="Tahoma"/>
      <w:sz w:val="16"/>
      <w:szCs w:val="16"/>
    </w:rPr>
  </w:style>
  <w:style w:type="character" w:customStyle="1" w:styleId="TextodebaloChar">
    <w:name w:val="Texto de balão Char"/>
    <w:basedOn w:val="Fontepargpadro"/>
    <w:link w:val="Textodebalo"/>
    <w:rsid w:val="001D7545"/>
    <w:rPr>
      <w:rFonts w:ascii="Tahoma" w:hAnsi="Tahoma" w:cs="Tahoma"/>
      <w:sz w:val="16"/>
      <w:szCs w:val="16"/>
    </w:rPr>
  </w:style>
  <w:style w:type="character" w:styleId="Hyperlink">
    <w:name w:val="Hyperlink"/>
    <w:basedOn w:val="Fontepargpadro"/>
    <w:uiPriority w:val="99"/>
    <w:unhideWhenUsed/>
    <w:rsid w:val="006B18E9"/>
    <w:rPr>
      <w:rFonts w:ascii="Times New Roman" w:hAnsi="Times New Roman" w:cs="Times New Roman" w:hint="default"/>
      <w:color w:val="0000FF"/>
      <w:u w:val="single"/>
    </w:rPr>
  </w:style>
  <w:style w:type="paragraph" w:styleId="Textodenotaderodap">
    <w:name w:val="footnote text"/>
    <w:basedOn w:val="Normal"/>
    <w:link w:val="TextodenotaderodapChar"/>
    <w:rsid w:val="005E5054"/>
    <w:rPr>
      <w:sz w:val="20"/>
      <w:szCs w:val="20"/>
    </w:rPr>
  </w:style>
  <w:style w:type="character" w:customStyle="1" w:styleId="TextodenotaderodapChar">
    <w:name w:val="Texto de nota de rodapé Char"/>
    <w:basedOn w:val="Fontepargpadro"/>
    <w:link w:val="Textodenotaderodap"/>
    <w:rsid w:val="005E5054"/>
  </w:style>
  <w:style w:type="character" w:styleId="Refdenotaderodap">
    <w:name w:val="footnote reference"/>
    <w:basedOn w:val="Fontepargpadro"/>
    <w:rsid w:val="005E5054"/>
    <w:rPr>
      <w:vertAlign w:val="superscript"/>
    </w:rPr>
  </w:style>
  <w:style w:type="paragraph" w:styleId="PargrafodaLista">
    <w:name w:val="List Paragraph"/>
    <w:basedOn w:val="Normal"/>
    <w:uiPriority w:val="34"/>
    <w:qFormat/>
    <w:rsid w:val="005E5054"/>
    <w:pPr>
      <w:ind w:left="708"/>
    </w:pPr>
  </w:style>
  <w:style w:type="paragraph" w:styleId="Corpodetexto2">
    <w:name w:val="Body Text 2"/>
    <w:basedOn w:val="Normal"/>
    <w:link w:val="Corpodetexto2Char"/>
    <w:rsid w:val="008565B1"/>
    <w:pPr>
      <w:spacing w:after="120" w:line="480" w:lineRule="auto"/>
    </w:pPr>
  </w:style>
  <w:style w:type="character" w:customStyle="1" w:styleId="Corpodetexto2Char">
    <w:name w:val="Corpo de texto 2 Char"/>
    <w:basedOn w:val="Fontepargpadro"/>
    <w:link w:val="Corpodetexto2"/>
    <w:rsid w:val="008565B1"/>
    <w:rPr>
      <w:sz w:val="24"/>
      <w:szCs w:val="24"/>
    </w:rPr>
  </w:style>
  <w:style w:type="character" w:customStyle="1" w:styleId="Ttulo1Char">
    <w:name w:val="Título 1 Char"/>
    <w:basedOn w:val="Fontepargpadro"/>
    <w:link w:val="Ttulo1"/>
    <w:rsid w:val="008565B1"/>
    <w:rPr>
      <w:b/>
      <w:bCs/>
      <w:sz w:val="24"/>
      <w:szCs w:val="24"/>
    </w:rPr>
  </w:style>
  <w:style w:type="paragraph" w:customStyle="1" w:styleId="SDMTtulo2">
    <w:name w:val="SDM Título 2"/>
    <w:basedOn w:val="Normal"/>
    <w:rsid w:val="003A47FF"/>
    <w:pPr>
      <w:keepNext/>
      <w:jc w:val="both"/>
    </w:pPr>
    <w:rPr>
      <w:b/>
      <w:bCs/>
    </w:rPr>
  </w:style>
  <w:style w:type="paragraph" w:styleId="Recuodecorpodetexto">
    <w:name w:val="Body Text Indent"/>
    <w:basedOn w:val="Normal"/>
    <w:link w:val="RecuodecorpodetextoChar"/>
    <w:rsid w:val="009C1CF9"/>
    <w:pPr>
      <w:spacing w:after="120"/>
      <w:ind w:left="283"/>
    </w:pPr>
  </w:style>
  <w:style w:type="character" w:customStyle="1" w:styleId="RecuodecorpodetextoChar">
    <w:name w:val="Recuo de corpo de texto Char"/>
    <w:basedOn w:val="Fontepargpadro"/>
    <w:link w:val="Recuodecorpodetexto"/>
    <w:rsid w:val="009C1CF9"/>
    <w:rPr>
      <w:sz w:val="24"/>
      <w:szCs w:val="24"/>
    </w:rPr>
  </w:style>
  <w:style w:type="character" w:customStyle="1" w:styleId="Ttulo2Char">
    <w:name w:val="Título 2 Char"/>
    <w:basedOn w:val="Fontepargpadro"/>
    <w:link w:val="Ttulo2"/>
    <w:rsid w:val="002351E0"/>
    <w:rPr>
      <w:rFonts w:ascii="Arial" w:hAnsi="Arial" w:cs="Arial"/>
      <w:b/>
      <w:bCs/>
      <w:i/>
      <w:iCs/>
      <w:sz w:val="28"/>
      <w:szCs w:val="28"/>
    </w:rPr>
  </w:style>
  <w:style w:type="paragraph" w:styleId="Recuodecorpodetexto2">
    <w:name w:val="Body Text Indent 2"/>
    <w:basedOn w:val="Normal"/>
    <w:link w:val="Recuodecorpodetexto2Char"/>
    <w:rsid w:val="002351E0"/>
    <w:pPr>
      <w:spacing w:after="120" w:line="480" w:lineRule="auto"/>
      <w:ind w:left="283"/>
    </w:pPr>
  </w:style>
  <w:style w:type="character" w:customStyle="1" w:styleId="Recuodecorpodetexto2Char">
    <w:name w:val="Recuo de corpo de texto 2 Char"/>
    <w:basedOn w:val="Fontepargpadro"/>
    <w:link w:val="Recuodecorpodetexto2"/>
    <w:rsid w:val="002351E0"/>
    <w:rPr>
      <w:sz w:val="24"/>
      <w:szCs w:val="24"/>
    </w:rPr>
  </w:style>
  <w:style w:type="character" w:styleId="Forte">
    <w:name w:val="Strong"/>
    <w:basedOn w:val="Fontepargpadro"/>
    <w:qFormat/>
    <w:rsid w:val="002351E0"/>
    <w:rPr>
      <w:b/>
      <w:bCs/>
    </w:rPr>
  </w:style>
  <w:style w:type="paragraph" w:styleId="Cabealho">
    <w:name w:val="header"/>
    <w:basedOn w:val="Normal"/>
    <w:link w:val="CabealhoChar"/>
    <w:rsid w:val="00C73E97"/>
    <w:pPr>
      <w:tabs>
        <w:tab w:val="center" w:pos="4252"/>
        <w:tab w:val="right" w:pos="8504"/>
      </w:tabs>
    </w:pPr>
  </w:style>
  <w:style w:type="character" w:customStyle="1" w:styleId="CabealhoChar">
    <w:name w:val="Cabeçalho Char"/>
    <w:basedOn w:val="Fontepargpadro"/>
    <w:link w:val="Cabealho"/>
    <w:rsid w:val="00C73E97"/>
    <w:rPr>
      <w:sz w:val="24"/>
      <w:szCs w:val="24"/>
    </w:rPr>
  </w:style>
  <w:style w:type="paragraph" w:styleId="Rodap">
    <w:name w:val="footer"/>
    <w:basedOn w:val="Normal"/>
    <w:link w:val="RodapChar"/>
    <w:uiPriority w:val="99"/>
    <w:rsid w:val="00C73E97"/>
    <w:pPr>
      <w:tabs>
        <w:tab w:val="center" w:pos="4252"/>
        <w:tab w:val="right" w:pos="8504"/>
      </w:tabs>
    </w:pPr>
  </w:style>
  <w:style w:type="character" w:customStyle="1" w:styleId="RodapChar">
    <w:name w:val="Rodapé Char"/>
    <w:basedOn w:val="Fontepargpadro"/>
    <w:link w:val="Rodap"/>
    <w:uiPriority w:val="99"/>
    <w:rsid w:val="00C73E97"/>
    <w:rPr>
      <w:sz w:val="24"/>
      <w:szCs w:val="24"/>
    </w:rPr>
  </w:style>
  <w:style w:type="paragraph" w:styleId="Textodenotadefim">
    <w:name w:val="endnote text"/>
    <w:basedOn w:val="Normal"/>
    <w:link w:val="TextodenotadefimChar"/>
    <w:rsid w:val="005B7040"/>
    <w:rPr>
      <w:sz w:val="20"/>
      <w:szCs w:val="20"/>
    </w:rPr>
  </w:style>
  <w:style w:type="character" w:customStyle="1" w:styleId="TextodenotadefimChar">
    <w:name w:val="Texto de nota de fim Char"/>
    <w:basedOn w:val="Fontepargpadro"/>
    <w:link w:val="Textodenotadefim"/>
    <w:rsid w:val="005B7040"/>
  </w:style>
  <w:style w:type="character" w:styleId="Refdenotadefim">
    <w:name w:val="endnote reference"/>
    <w:basedOn w:val="Fontepargpadro"/>
    <w:rsid w:val="005B7040"/>
    <w:rPr>
      <w:vertAlign w:val="superscript"/>
    </w:rPr>
  </w:style>
  <w:style w:type="character" w:customStyle="1" w:styleId="DeltaViewInsertion">
    <w:name w:val="DeltaView Insertion"/>
    <w:uiPriority w:val="99"/>
    <w:rsid w:val="005449DA"/>
    <w:rPr>
      <w:color w:val="0000FF"/>
      <w:spacing w:val="0"/>
      <w:u w:val="double"/>
    </w:rPr>
  </w:style>
  <w:style w:type="table" w:styleId="Tabelacomgrade">
    <w:name w:val="Table Grid"/>
    <w:basedOn w:val="Tabelanormal"/>
    <w:rsid w:val="004C4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har"/>
    <w:qFormat/>
    <w:rsid w:val="00004811"/>
    <w:pPr>
      <w:spacing w:after="60"/>
      <w:jc w:val="center"/>
      <w:outlineLvl w:val="1"/>
    </w:pPr>
    <w:rPr>
      <w:rFonts w:ascii="Cambria" w:hAnsi="Cambria"/>
    </w:rPr>
  </w:style>
  <w:style w:type="character" w:customStyle="1" w:styleId="SubttuloChar">
    <w:name w:val="Subtítulo Char"/>
    <w:basedOn w:val="Fontepargpadro"/>
    <w:link w:val="Subttulo"/>
    <w:rsid w:val="00004811"/>
    <w:rPr>
      <w:rFonts w:ascii="Cambria" w:eastAsia="Times New Roman" w:hAnsi="Cambria" w:cs="Times New Roman"/>
      <w:sz w:val="24"/>
      <w:szCs w:val="24"/>
    </w:rPr>
  </w:style>
  <w:style w:type="paragraph" w:styleId="Ttulo">
    <w:name w:val="Title"/>
    <w:basedOn w:val="Normal"/>
    <w:link w:val="TtuloChar"/>
    <w:qFormat/>
    <w:rsid w:val="00F55382"/>
    <w:pPr>
      <w:jc w:val="center"/>
    </w:pPr>
    <w:rPr>
      <w:b/>
      <w:bCs/>
    </w:rPr>
  </w:style>
  <w:style w:type="character" w:customStyle="1" w:styleId="TtuloChar">
    <w:name w:val="Título Char"/>
    <w:basedOn w:val="Fontepargpadro"/>
    <w:link w:val="Ttulo"/>
    <w:rsid w:val="00F55382"/>
    <w:rPr>
      <w:b/>
      <w:bCs/>
      <w:sz w:val="24"/>
      <w:szCs w:val="24"/>
    </w:rPr>
  </w:style>
</w:styles>
</file>

<file path=word/webSettings.xml><?xml version="1.0" encoding="utf-8"?>
<w:webSettings xmlns:r="http://schemas.openxmlformats.org/officeDocument/2006/relationships" xmlns:w="http://schemas.openxmlformats.org/wordprocessingml/2006/main">
  <w:divs>
    <w:div w:id="139002090">
      <w:bodyDiv w:val="1"/>
      <w:marLeft w:val="0"/>
      <w:marRight w:val="0"/>
      <w:marTop w:val="0"/>
      <w:marBottom w:val="0"/>
      <w:divBdr>
        <w:top w:val="none" w:sz="0" w:space="0" w:color="auto"/>
        <w:left w:val="none" w:sz="0" w:space="0" w:color="auto"/>
        <w:bottom w:val="none" w:sz="0" w:space="0" w:color="auto"/>
        <w:right w:val="none" w:sz="0" w:space="0" w:color="auto"/>
      </w:divBdr>
    </w:div>
    <w:div w:id="3189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21FE3-CCDD-45A0-A896-C85E8F71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1833</Words>
  <Characters>9901</Characters>
  <Application>Microsoft Office Word</Application>
  <DocSecurity>0</DocSecurity>
  <Lines>82</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 </Company>
  <LinksUpToDate>false</LinksUpToDate>
  <CharactersWithSpaces>11711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Luciana Dias</dc:creator>
  <cp:keywords/>
  <dc:description/>
  <cp:lastModifiedBy>CVM</cp:lastModifiedBy>
  <cp:revision>2</cp:revision>
  <cp:lastPrinted>2010-11-12T13:20:00Z</cp:lastPrinted>
  <dcterms:created xsi:type="dcterms:W3CDTF">2014-12-08T12:38:00Z</dcterms:created>
  <dcterms:modified xsi:type="dcterms:W3CDTF">2014-12-08T12:38:00Z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gFAAbtDMpgn6UhrP8droLVQJpafFWYR+RSqYY3neY2Jk953vX7fJiEMfz4Jmo5l6Onn64xq1Lm/0xBqX
o9IE3SDvRtTXtxkSFUHyX97oiexqE7CQPXljhxFpbRdt8yqS8QBvpxCyZ3TClPG2Z6GYvieKRtIf
HMV/IV5Z1S1uzfvk52MvKzJuTq7Ij+tQ/j5/WIJFk8vwmDciDxnQJia9QR0MKlCV3C0wiMfF4y2O
wovB1FnHkWrAkc5gO</vt:lpwstr>
  </property>
  <property fmtid="{D5CDD505-2E9C-101B-9397-08002B2CF9AE}" pid="3" name="MAIL_MSG_ID2">
    <vt:lpwstr>FOxIqKsWdP59qNhxCJV6RaT6Ra/lFMkEDFUHu4Coch2i4HMH3Jag25CbAUX
x1ghdktEl4P2v5nGP7LZfz548TGCzUwFduMXfA==</vt:lpwstr>
  </property>
  <property fmtid="{D5CDD505-2E9C-101B-9397-08002B2CF9AE}" pid="4" name="RESPONSE_SENDER_NAME">
    <vt:lpwstr>4AAAUmLmXdMZevTRrtz6amdsIrDc+EXl+JHGFNA4rdBxaO3RsXnDIPbh7g==</vt:lpwstr>
  </property>
  <property fmtid="{D5CDD505-2E9C-101B-9397-08002B2CF9AE}" pid="5" name="EMAIL_OWNER_ADDRESS">
    <vt:lpwstr>sAAAGYoQX4c3X/LPu7usA20nler4isUYfASWahb1REaGDCc=</vt:lpwstr>
  </property>
</Properties>
</file>