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u w:val="single"/>
          <w:rtl w:val="0"/>
        </w:rPr>
        <w:t xml:space="preserve">(NÚMERO)/2024 </w:t>
      </w:r>
      <w:r w:rsidDel="00000000" w:rsidR="00000000" w:rsidRPr="00000000">
        <w:rPr>
          <w:rFonts w:ascii="Calibri" w:cs="Calibri" w:eastAsia="Calibri" w:hAnsi="Calibri"/>
          <w:color w:val="ff0000"/>
          <w:sz w:val="24"/>
          <w:szCs w:val="24"/>
          <w:u w:val="single"/>
          <w:rtl w:val="0"/>
        </w:rPr>
        <w:t xml:space="preserve">(INCLUIR NUMERAÇÃO PRÓPRIA)</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FOMENTO A PROJETOS CONTINUADOS DE PONTÕES DE CULTURA</w:t>
      </w:r>
    </w:p>
    <w:p w:rsidR="00000000" w:rsidDel="00000000" w:rsidP="00000000" w:rsidRDefault="00000000" w:rsidRPr="00000000" w14:paraId="00000008">
      <w:pPr>
        <w:shd w:fill="ffffff" w:val="clea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tabs>
          <w:tab w:val="center" w:leader="none" w:pos="0"/>
        </w:tabs>
        <w:spacing w:after="120" w:before="120"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ANEXO </w:t>
      </w:r>
      <w:r w:rsidDel="00000000" w:rsidR="00000000" w:rsidRPr="00000000">
        <w:rPr>
          <w:rFonts w:ascii="Calibri" w:cs="Calibri" w:eastAsia="Calibri" w:hAnsi="Calibri"/>
          <w:b w:val="1"/>
          <w:sz w:val="24"/>
          <w:szCs w:val="24"/>
          <w:u w:val="single"/>
          <w:rtl w:val="0"/>
        </w:rPr>
        <w:t xml:space="preserve">01</w:t>
      </w:r>
      <w:r w:rsidDel="00000000" w:rsidR="00000000" w:rsidRPr="00000000">
        <w:rPr>
          <w:rFonts w:ascii="Calibri" w:cs="Calibri" w:eastAsia="Calibri" w:hAnsi="Calibri"/>
          <w:b w:val="1"/>
          <w:sz w:val="24"/>
          <w:szCs w:val="24"/>
          <w:u w:val="single"/>
          <w:rtl w:val="0"/>
        </w:rPr>
        <w:t xml:space="preserve"> - CATEGORIAS E COTAS</w:t>
      </w:r>
    </w:p>
    <w:p w:rsidR="00000000" w:rsidDel="00000000" w:rsidP="00000000" w:rsidRDefault="00000000" w:rsidRPr="00000000" w14:paraId="0000000A">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0B">
      <w:pPr>
        <w:tabs>
          <w:tab w:val="center" w:leader="none" w:pos="0"/>
        </w:tabs>
        <w:spacing w:after="120" w:line="240" w:lineRule="auto"/>
        <w:jc w:val="both"/>
        <w:rPr>
          <w:rFonts w:ascii="Calibri" w:cs="Calibri" w:eastAsia="Calibri" w:hAnsi="Calibri"/>
          <w:b w:val="1"/>
          <w:color w:val="ff0000"/>
          <w:sz w:val="24"/>
          <w:szCs w:val="24"/>
          <w:u w:val="single"/>
        </w:rPr>
      </w:pPr>
      <w:r w:rsidDel="00000000" w:rsidR="00000000" w:rsidRPr="00000000">
        <w:rPr>
          <w:rFonts w:ascii="Calibri" w:cs="Calibri" w:eastAsia="Calibri" w:hAnsi="Calibri"/>
          <w:b w:val="1"/>
          <w:color w:val="ff0000"/>
          <w:sz w:val="24"/>
          <w:szCs w:val="24"/>
          <w:u w:val="single"/>
          <w:rtl w:val="0"/>
        </w:rPr>
        <w:t xml:space="preserve">CATEGORIAS</w:t>
      </w:r>
    </w:p>
    <w:p w:rsidR="00000000" w:rsidDel="00000000" w:rsidP="00000000" w:rsidRDefault="00000000" w:rsidRPr="00000000" w14:paraId="0000000C">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Orientação: o Ente Federativo poderá definir categorias e valores específicos (sendo o mínimo de R$300mil e o </w:t>
      </w:r>
      <w:r w:rsidDel="00000000" w:rsidR="00000000" w:rsidRPr="00000000">
        <w:rPr>
          <w:rFonts w:ascii="Calibri" w:cs="Calibri" w:eastAsia="Calibri" w:hAnsi="Calibri"/>
          <w:color w:val="ff0000"/>
          <w:sz w:val="24"/>
          <w:szCs w:val="24"/>
          <w:rtl w:val="0"/>
        </w:rPr>
        <w:t xml:space="preserve">máximo de R$800mil</w:t>
      </w:r>
      <w:r w:rsidDel="00000000" w:rsidR="00000000" w:rsidRPr="00000000">
        <w:rPr>
          <w:rFonts w:ascii="Calibri" w:cs="Calibri" w:eastAsia="Calibri" w:hAnsi="Calibri"/>
          <w:color w:val="ff0000"/>
          <w:sz w:val="24"/>
          <w:szCs w:val="24"/>
          <w:rtl w:val="0"/>
        </w:rPr>
        <w:t xml:space="preserve"> - segundo a IN nº 08/2016, que regulamenta a PNCV), no quantitativo que julgar pertinente (inclusive, não definir categorias), desde que mantidos os princípios, diretrizes e objetivos da PNCV e da PNAB. A adoção de quaisquer categorias deverá ser justificada nos relatórios de monitoramento da implementação da PNAB.</w:t>
      </w:r>
    </w:p>
    <w:p w:rsidR="00000000" w:rsidDel="00000000" w:rsidP="00000000" w:rsidRDefault="00000000" w:rsidRPr="00000000" w14:paraId="0000000D">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Como consta na minuta padronizada de edital, deverão ser selecionados, no mínimo, 30% (trinta por cento) [é possível aumentar este percentual, mas não diminuir] de </w:t>
      </w:r>
      <w:r w:rsidDel="00000000" w:rsidR="00000000" w:rsidRPr="00000000">
        <w:rPr>
          <w:rFonts w:ascii="Calibri" w:cs="Calibri" w:eastAsia="Calibri" w:hAnsi="Calibri"/>
          <w:color w:val="ff0000"/>
          <w:sz w:val="24"/>
          <w:szCs w:val="24"/>
          <w:rtl w:val="0"/>
        </w:rPr>
        <w:t xml:space="preserve">projetos </w:t>
      </w:r>
      <w:r w:rsidDel="00000000" w:rsidR="00000000" w:rsidRPr="00000000">
        <w:rPr>
          <w:rFonts w:ascii="Calibri" w:cs="Calibri" w:eastAsia="Calibri" w:hAnsi="Calibri"/>
          <w:color w:val="ff0000"/>
          <w:sz w:val="24"/>
          <w:szCs w:val="24"/>
          <w:rtl w:val="0"/>
        </w:rPr>
        <w:t xml:space="preserve">apresentados por </w:t>
      </w:r>
      <w:r w:rsidDel="00000000" w:rsidR="00000000" w:rsidRPr="00000000">
        <w:rPr>
          <w:rFonts w:ascii="Calibri" w:cs="Calibri" w:eastAsia="Calibri" w:hAnsi="Calibri"/>
          <w:color w:val="ff0000"/>
          <w:sz w:val="24"/>
          <w:szCs w:val="24"/>
          <w:rtl w:val="0"/>
        </w:rPr>
        <w:t xml:space="preserve">entidades </w:t>
      </w:r>
      <w:r w:rsidDel="00000000" w:rsidR="00000000" w:rsidRPr="00000000">
        <w:rPr>
          <w:rFonts w:ascii="Calibri" w:cs="Calibri" w:eastAsia="Calibri" w:hAnsi="Calibri"/>
          <w:color w:val="ff0000"/>
          <w:sz w:val="24"/>
          <w:szCs w:val="24"/>
          <w:rtl w:val="0"/>
        </w:rPr>
        <w:t xml:space="preserve">com trajetória declarada e comprovadamente ligadas às culturas populares e tradicionais</w:t>
      </w:r>
      <w:r w:rsidDel="00000000" w:rsidR="00000000" w:rsidRPr="00000000">
        <w:rPr>
          <w:rFonts w:ascii="Calibri" w:cs="Calibri" w:eastAsia="Calibri" w:hAnsi="Calibri"/>
          <w:color w:val="ff0000"/>
          <w:sz w:val="24"/>
          <w:szCs w:val="24"/>
          <w:rtl w:val="0"/>
        </w:rPr>
        <w:t xml:space="preserve">, e que tenham seus planos de trabalho também com ações voltadas ao segmento</w:t>
      </w:r>
      <w:r w:rsidDel="00000000" w:rsidR="00000000" w:rsidRPr="00000000">
        <w:rPr>
          <w:rFonts w:ascii="Calibri" w:cs="Calibri" w:eastAsia="Calibri" w:hAnsi="Calibri"/>
          <w:color w:val="ff0000"/>
          <w:sz w:val="24"/>
          <w:szCs w:val="24"/>
          <w:rtl w:val="0"/>
        </w:rPr>
        <w:t xml:space="preserve">. Este percentual pode ser composto junto às vagas destinadas às cotas. [o Ente Federativo poderá criar, neste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uma categoria específica para culturas populares e tradicionais, ou incluir este percentual em outras categorias que defina, a seu critério]</w:t>
      </w:r>
    </w:p>
    <w:p w:rsidR="00000000" w:rsidDel="00000000" w:rsidP="00000000" w:rsidRDefault="00000000" w:rsidRPr="00000000" w14:paraId="0000000F">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0">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mínimo, 30% das vagas deverão ser destinadas à ampla concorrência, sem incidência de categorias. A exceção é para o caso de definição de cotas territoriais/regionais, que abranjam toda a área de abrangência do estado/DF/municípios e permitam a livre concorrência.</w:t>
      </w:r>
    </w:p>
    <w:p w:rsidR="00000000" w:rsidDel="00000000" w:rsidP="00000000" w:rsidRDefault="00000000" w:rsidRPr="00000000" w14:paraId="00000011">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12">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Visando à desconcentração territorial e à regionalização, os Entes Federativos devem estar atentos ao previsto no Capítulo VI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13">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Em especial, destaca-se:</w:t>
      </w:r>
    </w:p>
    <w:p w:rsidR="00000000" w:rsidDel="00000000" w:rsidP="00000000" w:rsidRDefault="00000000" w:rsidRPr="00000000" w14:paraId="00000014">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“CAPÍTULO VI</w:t>
      </w:r>
    </w:p>
    <w:p w:rsidR="00000000" w:rsidDel="00000000" w:rsidP="00000000" w:rsidRDefault="00000000" w:rsidRPr="00000000" w14:paraId="00000015">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DAS MEDIDAS DE DESCONCENTRAÇÃO TERRITORIAL E REGIONALIZAÇÃO</w:t>
      </w:r>
    </w:p>
    <w:p w:rsidR="00000000" w:rsidDel="00000000" w:rsidP="00000000" w:rsidRDefault="00000000" w:rsidRPr="00000000" w14:paraId="00000016">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15. Os entes deverão instituir mecanismos de desconcentração territorial e regionalização dos recursos, inclusive com vistas à implementação do percentual de 20% (vinte por cento) de que trata o art. 6º, II, da PNAB, em ações de incentivo direto a programas, a projetos e a ações de democratização do acesso à fruição e à produção artística e cultural em áreas periféricas, urbanas e rurais, e em territórios e regiões de maior vulnerabilidade econômica ou social, bem como em áreas de povos e comunidades tradicionais, quais sejam:</w:t>
      </w:r>
    </w:p>
    <w:p w:rsidR="00000000" w:rsidDel="00000000" w:rsidP="00000000" w:rsidRDefault="00000000" w:rsidRPr="00000000" w14:paraId="00000017">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regiões periféricas;</w:t>
      </w:r>
    </w:p>
    <w:p w:rsidR="00000000" w:rsidDel="00000000" w:rsidP="00000000" w:rsidRDefault="00000000" w:rsidRPr="00000000" w14:paraId="00000018">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regiões com menor Índice de Desenvolvimento Humano - IDH;</w:t>
      </w:r>
    </w:p>
    <w:p w:rsidR="00000000" w:rsidDel="00000000" w:rsidP="00000000" w:rsidRDefault="00000000" w:rsidRPr="00000000" w14:paraId="00000019">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III - regiões onde são localizados conjuntos e empreendimentos habitacionais, e programas habitacionais de interesse social, promovidos por programas do governo federal ou local;</w:t>
      </w:r>
    </w:p>
    <w:p w:rsidR="00000000" w:rsidDel="00000000" w:rsidP="00000000" w:rsidRDefault="00000000" w:rsidRPr="00000000" w14:paraId="0000001A">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IV - assentamentos e acampamentos;</w:t>
      </w:r>
    </w:p>
    <w:p w:rsidR="00000000" w:rsidDel="00000000" w:rsidP="00000000" w:rsidRDefault="00000000" w:rsidRPr="00000000" w14:paraId="0000001B">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 - regiões com menor presença de espaços e equipamentos culturais públicos;</w:t>
      </w:r>
    </w:p>
    <w:p w:rsidR="00000000" w:rsidDel="00000000" w:rsidP="00000000" w:rsidRDefault="00000000" w:rsidRPr="00000000" w14:paraId="0000001C">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 - regiões com menor histórico de acesso aos recursos da política pública de cultura;</w:t>
      </w:r>
    </w:p>
    <w:p w:rsidR="00000000" w:rsidDel="00000000" w:rsidP="00000000" w:rsidRDefault="00000000" w:rsidRPr="00000000" w14:paraId="0000001D">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VII - zonas especiais de interesse social; VIII - áreas atingidas por desastres naturais;</w:t>
      </w:r>
    </w:p>
    <w:p w:rsidR="00000000" w:rsidDel="00000000" w:rsidP="00000000" w:rsidRDefault="00000000" w:rsidRPr="00000000" w14:paraId="0000001E">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IX - territórios quilombolas;</w:t>
      </w:r>
    </w:p>
    <w:p w:rsidR="00000000" w:rsidDel="00000000" w:rsidP="00000000" w:rsidRDefault="00000000" w:rsidRPr="00000000" w14:paraId="0000001F">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 - territórios indígenas;</w:t>
      </w:r>
    </w:p>
    <w:p w:rsidR="00000000" w:rsidDel="00000000" w:rsidP="00000000" w:rsidRDefault="00000000" w:rsidRPr="00000000" w14:paraId="00000020">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XI - territórios rurais;</w:t>
      </w:r>
    </w:p>
    <w:p w:rsidR="00000000" w:rsidDel="00000000" w:rsidP="00000000" w:rsidRDefault="00000000" w:rsidRPr="00000000" w14:paraId="00000021">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XII - espaços comunitários de convivência, acolhimento e alimentação; e</w:t>
      </w:r>
    </w:p>
    <w:p w:rsidR="00000000" w:rsidDel="00000000" w:rsidP="00000000" w:rsidRDefault="00000000" w:rsidRPr="00000000" w14:paraId="00000022">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XIII - demais regiões que sejam habitadas por pessoas em situação de vulnerabilidade econômica ou social.</w:t>
      </w:r>
    </w:p>
    <w:p w:rsidR="00000000" w:rsidDel="00000000" w:rsidP="00000000" w:rsidRDefault="00000000" w:rsidRPr="00000000" w14:paraId="00000023">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1º As ações afirmativas de que tratam o caput podem ser empregadas quando os projetos são realizados nos territórios e regiões ou quando são propostos por agentes culturais nelas residentes.</w:t>
      </w:r>
    </w:p>
    <w:p w:rsidR="00000000" w:rsidDel="00000000" w:rsidP="00000000" w:rsidRDefault="00000000" w:rsidRPr="00000000" w14:paraId="00000024">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Para fins de aferição do percentual estabelecido no art. 6º, II, da PNAB, serão consideradas apenas as ações e projetos realizados nos territórios e regiões de que tratam este artigo.”</w:t>
      </w:r>
    </w:p>
    <w:p w:rsidR="00000000" w:rsidDel="00000000" w:rsidP="00000000" w:rsidRDefault="00000000" w:rsidRPr="00000000" w14:paraId="00000025">
      <w:pPr>
        <w:tabs>
          <w:tab w:val="center" w:leader="none" w:pos="0"/>
        </w:tabs>
        <w:spacing w:after="0" w:before="0" w:line="240" w:lineRule="auto"/>
        <w:jc w:val="both"/>
        <w:rPr>
          <w:rFonts w:ascii="Calibri" w:cs="Calibri" w:eastAsia="Calibri" w:hAnsi="Calibri"/>
          <w:color w:val="ff0000"/>
          <w:sz w:val="24"/>
          <w:szCs w:val="24"/>
        </w:rPr>
      </w:pPr>
      <w:r w:rsidDel="00000000" w:rsidR="00000000" w:rsidRPr="00000000">
        <w:rPr>
          <w:rtl w:val="0"/>
        </w:rPr>
      </w:r>
    </w:p>
    <w:tbl>
      <w:tblPr>
        <w:tblStyle w:val="Table1"/>
        <w:tblW w:w="13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4095"/>
        <w:gridCol w:w="4245"/>
        <w:gridCol w:w="5070"/>
        <w:tblGridChange w:id="0">
          <w:tblGrid>
            <w:gridCol w:w="555"/>
            <w:gridCol w:w="4095"/>
            <w:gridCol w:w="4245"/>
            <w:gridCol w:w="5070"/>
          </w:tblGrid>
        </w:tblGridChange>
      </w:tblGrid>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NOME  E DESCRIÇÃO DA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NÚMERO DE VAGAS PARA CATEGORIA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jc w:val="center"/>
              <w:rPr>
                <w:rFonts w:ascii="Calibri" w:cs="Calibri" w:eastAsia="Calibri" w:hAnsi="Calibri"/>
                <w:b w:val="1"/>
                <w:color w:val="ff0000"/>
                <w:sz w:val="24"/>
                <w:szCs w:val="24"/>
                <w:highlight w:val="yellow"/>
              </w:rPr>
            </w:pPr>
            <w:r w:rsidDel="00000000" w:rsidR="00000000" w:rsidRPr="00000000">
              <w:rPr>
                <w:rFonts w:ascii="Calibri" w:cs="Calibri" w:eastAsia="Calibri" w:hAnsi="Calibri"/>
                <w:b w:val="1"/>
                <w:color w:val="ff0000"/>
                <w:sz w:val="24"/>
                <w:szCs w:val="24"/>
                <w:rtl w:val="0"/>
              </w:rPr>
              <w:t xml:space="preserve">VALOR TOTAL DISPONÍVEL POR PROJETO SELECIONADO (R$)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A">
            <w:pPr>
              <w:tabs>
                <w:tab w:val="center" w:leader="none" w:pos="0"/>
              </w:tabs>
              <w:spacing w:after="12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tabs>
                <w:tab w:val="center" w:leader="none" w:pos="0"/>
              </w:tabs>
              <w:spacing w:after="120" w:line="240" w:lineRule="auto"/>
              <w:jc w:val="both"/>
              <w:rPr>
                <w:rFonts w:ascii="Calibri" w:cs="Calibri" w:eastAsia="Calibri" w:hAnsi="Calibri"/>
                <w:b w:val="1"/>
                <w:sz w:val="24"/>
                <w:szCs w:val="24"/>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rPr>
                <w:rFonts w:ascii="Calibri" w:cs="Calibri" w:eastAsia="Calibri" w:hAnsi="Calibri"/>
                <w:color w:val="ff0000"/>
                <w:sz w:val="24"/>
                <w:szCs w:val="24"/>
                <w:shd w:fill="f4cccc" w:val="clear"/>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03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highlight w:val="yellow"/>
              </w:rPr>
            </w:pPr>
            <w:r w:rsidDel="00000000" w:rsidR="00000000" w:rsidRPr="00000000">
              <w:rPr>
                <w:rtl w:val="0"/>
              </w:rPr>
            </w:r>
          </w:p>
        </w:tc>
      </w:tr>
    </w:tbl>
    <w:p w:rsidR="00000000" w:rsidDel="00000000" w:rsidP="00000000" w:rsidRDefault="00000000" w:rsidRPr="00000000" w14:paraId="00000036">
      <w:pPr>
        <w:tabs>
          <w:tab w:val="center" w:leader="none" w:pos="0"/>
        </w:tabs>
        <w:spacing w:after="120" w:line="240" w:lineRule="auto"/>
        <w:jc w:val="both"/>
        <w:rPr>
          <w:rFonts w:ascii="Calibri" w:cs="Calibri" w:eastAsia="Calibri" w:hAnsi="Calibri"/>
          <w:b w:val="1"/>
          <w:sz w:val="24"/>
          <w:szCs w:val="24"/>
          <w:highlight w:val="yellow"/>
        </w:rPr>
      </w:pPr>
      <w:r w:rsidDel="00000000" w:rsidR="00000000" w:rsidRPr="00000000">
        <w:rPr>
          <w:rtl w:val="0"/>
        </w:rPr>
      </w:r>
    </w:p>
    <w:p w:rsidR="00000000" w:rsidDel="00000000" w:rsidP="00000000" w:rsidRDefault="00000000" w:rsidRPr="00000000" w14:paraId="00000037">
      <w:pPr>
        <w:tabs>
          <w:tab w:val="center" w:leader="none" w:pos="0"/>
        </w:tabs>
        <w:spacing w:after="120" w:line="240" w:lineRule="auto"/>
        <w:jc w:val="both"/>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COTAS</w:t>
      </w:r>
    </w:p>
    <w:p w:rsidR="00000000" w:rsidDel="00000000" w:rsidP="00000000" w:rsidRDefault="00000000" w:rsidRPr="00000000" w14:paraId="00000038">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Orientação: além das cotas obrigatórias, o Ente Federativo poderá definir cotas específicas, no quantitativo que julgar pertinente, desde que mantidos os princípios, diretrizes e objetivos da PNCV e da PNAB. A adoção de quaisquer cotas deverá ser justificada nos relatórios de monitoramento da implementação da PNAB.</w:t>
      </w:r>
    </w:p>
    <w:p w:rsidR="00000000" w:rsidDel="00000000" w:rsidP="00000000" w:rsidRDefault="00000000" w:rsidRPr="00000000" w14:paraId="00000039">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3A">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deverá considerar o conjunto de regramentos previstos na referida IN. Em especial, destaca-se:</w:t>
      </w:r>
    </w:p>
    <w:p w:rsidR="00000000" w:rsidDel="00000000" w:rsidP="00000000" w:rsidRDefault="00000000" w:rsidRPr="00000000" w14:paraId="0000003B">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CAPÍTULO II</w:t>
      </w:r>
    </w:p>
    <w:p w:rsidR="00000000" w:rsidDel="00000000" w:rsidP="00000000" w:rsidRDefault="00000000" w:rsidRPr="00000000" w14:paraId="0000003C">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DAS POLÍTICAS DE COTAS OU RESERVA DE VAGAS</w:t>
      </w:r>
    </w:p>
    <w:p w:rsidR="00000000" w:rsidDel="00000000" w:rsidP="00000000" w:rsidRDefault="00000000" w:rsidRPr="00000000" w14:paraId="0000003D">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5º A política de cotas tem como objeto garantir a reserva de um percentual mínimo de vagas a grupos específicos, sendo aplicáveis aos procedimentos públicos de seleção de que trata a Lei nº 14.399, de 2022.</w:t>
      </w:r>
    </w:p>
    <w:p w:rsidR="00000000" w:rsidDel="00000000" w:rsidP="00000000" w:rsidRDefault="00000000" w:rsidRPr="00000000" w14:paraId="0000003E">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6º Ficam garantidas cotas em todos os editais de fomento realizados com recursos da Lei nº 14.399, de 2022, de no mínimo:</w:t>
      </w:r>
    </w:p>
    <w:p w:rsidR="00000000" w:rsidDel="00000000" w:rsidP="00000000" w:rsidRDefault="00000000" w:rsidRPr="00000000" w14:paraId="0000003F">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vinte e cinco por cento das vagas para pessoas negras (pretas ou pardas);</w:t>
      </w:r>
    </w:p>
    <w:p w:rsidR="00000000" w:rsidDel="00000000" w:rsidP="00000000" w:rsidRDefault="00000000" w:rsidRPr="00000000" w14:paraId="00000040">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dez por cento das vagas para pessoas indígenas; e</w:t>
      </w:r>
    </w:p>
    <w:p w:rsidR="00000000" w:rsidDel="00000000" w:rsidP="00000000" w:rsidRDefault="00000000" w:rsidRPr="00000000" w14:paraId="00000041">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III - cinco por cento para pessoas com deficiência.</w:t>
      </w:r>
    </w:p>
    <w:p w:rsidR="00000000" w:rsidDel="00000000" w:rsidP="00000000" w:rsidRDefault="00000000" w:rsidRPr="00000000" w14:paraId="00000042">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1º O percentual de que trata este artigo pode ser ampliado considerando legislações locais mais benéficas ao público-alvo da ação afirmativa e o quantitativo de pessoas negras, indígenas, e pessoas com deficiência na região.</w:t>
      </w:r>
    </w:p>
    <w:p w:rsidR="00000000" w:rsidDel="00000000" w:rsidP="00000000" w:rsidRDefault="00000000" w:rsidRPr="00000000" w14:paraId="00000043">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Na hipótese de quantitativo fracionado para o número de vagas reservadas, esse será aumentado para o primeiro número inteiro subsequente, em caso de fração igual ou maior que 0,5 (cinco décimos), ou diminuído para número inteiro imediatamente inferior, em caso de fração menor que 0,5 (cinco décimos).</w:t>
      </w:r>
    </w:p>
    <w:p w:rsidR="00000000" w:rsidDel="00000000" w:rsidP="00000000" w:rsidRDefault="00000000" w:rsidRPr="00000000" w14:paraId="00000044">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3º Em caso de editais divididos em categorias, devem ser estabelecidas cotas em todas elas, ressalvados os casos de impossibilidade fática, no qual o percentual mínimo de reserva será aplicado ao total das vagas do edital.</w:t>
      </w:r>
    </w:p>
    <w:p w:rsidR="00000000" w:rsidDel="00000000" w:rsidP="00000000" w:rsidRDefault="00000000" w:rsidRPr="00000000" w14:paraId="00000045">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4º Nos casos excepcionais em que for estabelecido somente uma vaga total por categoria, o ente pode optar por destiná-la à ampla concorrência ou às cotas, garantindo que ao menos vinte e cinco por cento do total das vagas do Edital sejam destinadas a pessoas negras, dez por cento a pessoas indígenas e cinco por cento a pessoas com deficiência. (retificação publicada no DOU de 10/01/2024)</w:t>
      </w:r>
    </w:p>
    <w:p w:rsidR="00000000" w:rsidDel="00000000" w:rsidP="00000000" w:rsidRDefault="00000000" w:rsidRPr="00000000" w14:paraId="00000046">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5º Nos casos de editais específicos de que trata o art. 14, o estabelecimento de cotas para pessoas negras e indígenas pode ser dispensado, caso o edital seja integralmente direcionado a proponentes de grupos étnico-raciais público-alvo de ações afirmativas.</w:t>
      </w:r>
    </w:p>
    <w:p w:rsidR="00000000" w:rsidDel="00000000" w:rsidP="00000000" w:rsidRDefault="00000000" w:rsidRPr="00000000" w14:paraId="00000047">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6º As cotas previstas neste artigo podem ser implementadas juntamente com:</w:t>
      </w:r>
    </w:p>
    <w:p w:rsidR="00000000" w:rsidDel="00000000" w:rsidP="00000000" w:rsidRDefault="00000000" w:rsidRPr="00000000" w14:paraId="00000048">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cotas para outros grupos sociais e;</w:t>
      </w:r>
    </w:p>
    <w:p w:rsidR="00000000" w:rsidDel="00000000" w:rsidP="00000000" w:rsidRDefault="00000000" w:rsidRPr="00000000" w14:paraId="00000049">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outras ações afirmativas, tais como editais específicos e critérios diferenciados de pontuação.</w:t>
      </w:r>
    </w:p>
    <w:p w:rsidR="00000000" w:rsidDel="00000000" w:rsidP="00000000" w:rsidRDefault="00000000" w:rsidRPr="00000000" w14:paraId="0000004A">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7º Os agentes culturais que optarem por concorrer às cotas concorrerão concomitantemente às vagas destinadas à ampla concorrência, de acordo com a sua classificação no processo.</w:t>
      </w:r>
    </w:p>
    <w:p w:rsidR="00000000" w:rsidDel="00000000" w:rsidP="00000000" w:rsidRDefault="00000000" w:rsidRPr="00000000" w14:paraId="0000004B">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1º As pessoas que optarem pelas cotas e atingirem nota suficiente para se classificar no número de vagas oferecidas para ampla concorrência não ocuparão as vagas destinadas para o preenchimento das cotas.</w:t>
      </w:r>
    </w:p>
    <w:p w:rsidR="00000000" w:rsidDel="00000000" w:rsidP="00000000" w:rsidRDefault="00000000" w:rsidRPr="00000000" w14:paraId="0000004C">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2º Em caso de desistência de optantes aprovados nas cotas, a vaga não preenchida deverá ser ocupada por pessoa que concorreu às cotas de acordo com a ordem de classificação.</w:t>
      </w:r>
    </w:p>
    <w:p w:rsidR="00000000" w:rsidDel="00000000" w:rsidP="00000000" w:rsidRDefault="00000000" w:rsidRPr="00000000" w14:paraId="0000004D">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3º No caso de não existirem propostas aptas em número suficiente para o cumprimento de uma das categorias de cotas previstas na seleção, o número de vagas restantes deverá ser destinado inicialmente para a outra categoria de cotas.</w:t>
      </w:r>
    </w:p>
    <w:p w:rsidR="00000000" w:rsidDel="00000000" w:rsidP="00000000" w:rsidRDefault="00000000" w:rsidRPr="00000000" w14:paraId="0000004E">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4º Caso não haja outra categoria de cotas de que trata o §3º, as vagas não preenchidas deverão ser direcionadas para a ampla concorrência, sendo os demais candidatos selecionados de acordo com a ordem de classificação.</w:t>
      </w:r>
    </w:p>
    <w:p w:rsidR="00000000" w:rsidDel="00000000" w:rsidP="00000000" w:rsidRDefault="00000000" w:rsidRPr="00000000" w14:paraId="0000004F">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8º Para concorrer às cotas, os agentes culturais deverão autodeclarar-se no ato de inscrição, conforme modelos constantes nos Anexo I e II, ou outro modelo disponibilizado pelo ente federativo.</w:t>
      </w:r>
    </w:p>
    <w:p w:rsidR="00000000" w:rsidDel="00000000" w:rsidP="00000000" w:rsidRDefault="00000000" w:rsidRPr="00000000" w14:paraId="00000050">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Parágrafo único. A autodeclaração poderá ser apresentada por escrito, em vídeo, áudio, em Libras, ou em outros formatos acessíveis.</w:t>
      </w:r>
    </w:p>
    <w:p w:rsidR="00000000" w:rsidDel="00000000" w:rsidP="00000000" w:rsidRDefault="00000000" w:rsidRPr="00000000" w14:paraId="00000051">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Art. 9º A autodeclaração do agente cultural goza de presunção de veracidade, podendo os Entes Federativos estabelecer em editais procedimentos complementares, tais como:</w:t>
      </w:r>
    </w:p>
    <w:p w:rsidR="00000000" w:rsidDel="00000000" w:rsidP="00000000" w:rsidRDefault="00000000" w:rsidRPr="00000000" w14:paraId="00000052">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 - heteroidentificação: procedimento complementar à autodeclaração de pertencimento racial, para confirmação, por terceiros, da identificação como pessoa negra (preta ou parda) de acordo com seu fenótipo, isto é, conforme suas características físicas;</w:t>
      </w:r>
    </w:p>
    <w:p w:rsidR="00000000" w:rsidDel="00000000" w:rsidP="00000000" w:rsidRDefault="00000000" w:rsidRPr="00000000" w14:paraId="00000053">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 - solicitação de carta consubstanciada: documento apresentado em formato escrito, oral ou audiovisual que promove a reflexão sobre o pertencimento étnico-racial, contendo os motivos pelos quais o agente cultural se autodeclara negro (preto ou pardo) ou indígena, conforme modelo constante no Anexo III;</w:t>
      </w:r>
    </w:p>
    <w:p w:rsidR="00000000" w:rsidDel="00000000" w:rsidP="00000000" w:rsidRDefault="00000000" w:rsidRPr="00000000" w14:paraId="00000054">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III - solicitação de um documento em formato escrito, oral ou audiovisual que demonstre o pertencimento étnico do agente cultural indígena elaborado por liderança ou entidade constituída em forma de associação, fundação ou qualquer configuração de entidade formalizada ou não, desde que gerida por povos indígenas;</w:t>
      </w:r>
    </w:p>
    <w:p w:rsidR="00000000" w:rsidDel="00000000" w:rsidP="00000000" w:rsidRDefault="00000000" w:rsidRPr="00000000" w14:paraId="00000055">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IV - procedimento de avaliação biopsicossocial realizada nos termos do § 1º do art. 2º da Lei nº 13.146, de 2015, solicitação de documentos como laudo médico, Certificado da Pessoa com Deficiência ou comprovante de recebimento de Benefício de Prestação Continuada à Pessoa com Deficiência; ou</w:t>
      </w:r>
    </w:p>
    <w:p w:rsidR="00000000" w:rsidDel="00000000" w:rsidP="00000000" w:rsidRDefault="00000000" w:rsidRPr="00000000" w14:paraId="00000056">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V - outras estratégias com vistas a garantir que as cotas sejam destinadas a pessoas negras, indígenas ou com deficiência.</w:t>
      </w:r>
    </w:p>
    <w:p w:rsidR="00000000" w:rsidDel="00000000" w:rsidP="00000000" w:rsidRDefault="00000000" w:rsidRPr="00000000" w14:paraId="00000057">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tl w:val="0"/>
        </w:rPr>
      </w:r>
    </w:p>
    <w:tbl>
      <w:tblPr>
        <w:tblStyle w:val="Table2"/>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7"/>
        <w:gridCol w:w="6977"/>
        <w:tblGridChange w:id="0">
          <w:tblGrid>
            <w:gridCol w:w="6977"/>
            <w:gridCol w:w="6977"/>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rPr>
                <w:rFonts w:ascii="Calibri" w:cs="Calibri" w:eastAsia="Calibri" w:hAnsi="Calibri"/>
                <w:b w:val="1"/>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NÚMERO DE VAGAS MÍNIMAS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negras (pretas ou pardas)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25% (vinte e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indígenas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10% (dez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pessoas com deficiência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definir o número absoluto de vagas mínimas - mínimo de 5% (cinco por cento) das vagas - cota obrigatória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rPr>
                <w:rFonts w:ascii="Calibri" w:cs="Calibri" w:eastAsia="Calibri" w:hAnsi="Calibri"/>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2">
            <w:pPr>
              <w:tabs>
                <w:tab w:val="center" w:leader="none" w:pos="0"/>
              </w:tabs>
              <w:spacing w:after="120" w:line="240" w:lineRule="auto"/>
              <w:jc w:val="both"/>
              <w:rPr>
                <w:rFonts w:ascii="Calibri" w:cs="Calibri" w:eastAsia="Calibri" w:hAnsi="Calibri"/>
                <w:b w:val="1"/>
                <w:color w:val="ff0000"/>
                <w:sz w:val="24"/>
                <w:szCs w:val="24"/>
                <w:highlight w:val="yellow"/>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64">
      <w:pPr>
        <w:tabs>
          <w:tab w:val="center" w:leader="none" w:pos="0"/>
        </w:tabs>
        <w:spacing w:after="12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tabs>
          <w:tab w:val="center" w:leader="none" w:pos="0"/>
        </w:tabs>
        <w:spacing w:after="0"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As cotas mínimas para pessoas negras (pretas ou pardas), pessoas indígenas e pessoas com deficiência seguem o previsto no Capítulo II da Instrução Normativa MinC nº 10, de 28 de dezembro de 2023, que dispõe sobre as regras e os procedimentos para implementação das ações afirmativas e medidas de acessibilidade de que trata o Decreto nº 11.740, de 18 de outubro de 2023, que regulamenta a Lei nº 14.399, de 08 de julho de 2022, a qual institui a Política Nacional Aldir Blanc de Fomento à Cultura.</w:t>
      </w:r>
    </w:p>
    <w:p w:rsidR="00000000" w:rsidDel="00000000" w:rsidP="00000000" w:rsidRDefault="00000000" w:rsidRPr="00000000" w14:paraId="00000066">
      <w:pPr>
        <w:tabs>
          <w:tab w:val="center" w:leader="none" w:pos="0"/>
        </w:tabs>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responsável pelo Edital poderá definir cotas (no percentual máximo de 50% das vagas reservadas) para Pontos e Pontões de Cultura já certificados pelo Ministério da Cultura, </w:t>
      </w:r>
      <w:r w:rsidDel="00000000" w:rsidR="00000000" w:rsidRPr="00000000">
        <w:rPr>
          <w:rFonts w:ascii="Calibri" w:cs="Calibri" w:eastAsia="Calibri" w:hAnsi="Calibri"/>
          <w:color w:val="ff0000"/>
          <w:sz w:val="24"/>
          <w:szCs w:val="24"/>
          <w:u w:val="single"/>
          <w:rtl w:val="0"/>
        </w:rPr>
        <w:t xml:space="preserve">apenas no caso de não definir bonificações em pontuação extra (Anexo 02)</w:t>
      </w:r>
      <w:r w:rsidDel="00000000" w:rsidR="00000000" w:rsidRPr="00000000">
        <w:rPr>
          <w:rFonts w:ascii="Calibri" w:cs="Calibri" w:eastAsia="Calibri" w:hAnsi="Calibri"/>
          <w:color w:val="ff0000"/>
          <w:sz w:val="24"/>
          <w:szCs w:val="24"/>
          <w:rtl w:val="0"/>
        </w:rPr>
        <w:t xml:space="preserve">. Inclusive, pode não adotar cotas para Pontos e Pontões de Cultura já certificados pelo Ministério da Cultura, a seu critério.</w:t>
      </w:r>
    </w:p>
    <w:p w:rsidR="00000000" w:rsidDel="00000000" w:rsidP="00000000" w:rsidRDefault="00000000" w:rsidRPr="00000000" w14:paraId="00000068">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9">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Caso opte por algum percentual de cotas para Pontos e Pontões de Cultura já certificados pelo Ministério da Cultura, a certificação não poderá ser em data posterior a 30 de junho de 2024 (considerando as inscrições efetuadas até 30 de março de 2024, pois o prazo de certificação, pela Comissão de Certificação do Cadastro Nacional de Pontos e Pontões de Cultura, é de até 90 dias). E não poderá ser definida cota por tempo de certificação, pois não há como se garantir a precisão deste tipo de informação.</w:t>
      </w:r>
    </w:p>
    <w:p w:rsidR="00000000" w:rsidDel="00000000" w:rsidP="00000000" w:rsidRDefault="00000000" w:rsidRPr="00000000" w14:paraId="0000006A">
      <w:pPr>
        <w:tabs>
          <w:tab w:val="center" w:leader="none" w:pos="0"/>
        </w:tabs>
        <w:spacing w:line="240"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B">
      <w:pPr>
        <w:tabs>
          <w:tab w:val="center" w:leader="none" w:pos="0"/>
        </w:tabs>
        <w:spacing w:line="24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Conforme consta na Portaria Nº 80/2023 do Ministério da Cultura (que regulamenta a PNAB), não poderá ser adotado qualquer outro cadastro (como Cadastro Estadual e/ou Municipal de Pontos de Cultura, ou qualquer outro cadastro) para cotas. Apenas o Cadastro Nacional de Pontos e Pontões de Cultura poderá ser objeto de cotas.</w:t>
      </w:r>
      <w:r w:rsidDel="00000000" w:rsidR="00000000" w:rsidRPr="00000000">
        <w:rPr>
          <w:rtl w:val="0"/>
        </w:rPr>
      </w:r>
    </w:p>
    <w:sectPr>
      <w:headerReference r:id="rId6" w:type="default"/>
      <w:foot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2305123</wp:posOffset>
          </wp:positionH>
          <wp:positionV relativeFrom="paragraph">
            <wp:posOffset>-10228</wp:posOffset>
          </wp:positionV>
          <wp:extent cx="3286052" cy="438854"/>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86052" cy="438854"/>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-190499</wp:posOffset>
          </wp:positionH>
          <wp:positionV relativeFrom="paragraph">
            <wp:posOffset>-49537</wp:posOffset>
          </wp:positionV>
          <wp:extent cx="1204336" cy="521025"/>
          <wp:effectExtent b="0" l="0" r="0" t="0"/>
          <wp:wrapNone/>
          <wp:docPr id="2" name="image2.png"/>
          <a:graphic>
            <a:graphicData uri="http://schemas.openxmlformats.org/drawingml/2006/picture">
              <pic:pic>
                <pic:nvPicPr>
                  <pic:cNvPr id="0" name="image2.png"/>
                  <pic:cNvPicPr preferRelativeResize="0"/>
                </pic:nvPicPr>
                <pic:blipFill>
                  <a:blip r:embed="rId2"/>
                  <a:srcRect b="1416" l="0" r="81893" t="93105"/>
                  <a:stretch>
                    <a:fillRect/>
                  </a:stretch>
                </pic:blipFill>
                <pic:spPr>
                  <a:xfrm>
                    <a:off x="0" y="0"/>
                    <a:ext cx="1204336" cy="52102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6829425</wp:posOffset>
          </wp:positionH>
          <wp:positionV relativeFrom="paragraph">
            <wp:posOffset>-158161</wp:posOffset>
          </wp:positionV>
          <wp:extent cx="2147226" cy="739375"/>
          <wp:effectExtent b="0" l="0" r="0" t="0"/>
          <wp:wrapNone/>
          <wp:docPr id="4" name="image2.png"/>
          <a:graphic>
            <a:graphicData uri="http://schemas.openxmlformats.org/drawingml/2006/picture">
              <pic:pic>
                <pic:nvPicPr>
                  <pic:cNvPr id="0" name="image2.png"/>
                  <pic:cNvPicPr preferRelativeResize="0"/>
                </pic:nvPicPr>
                <pic:blipFill>
                  <a:blip r:embed="rId2"/>
                  <a:srcRect b="0" l="64784" r="0" t="91487"/>
                  <a:stretch>
                    <a:fillRect/>
                  </a:stretch>
                </pic:blipFill>
                <pic:spPr>
                  <a:xfrm>
                    <a:off x="0" y="0"/>
                    <a:ext cx="2147226" cy="7393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-876299</wp:posOffset>
          </wp:positionH>
          <wp:positionV relativeFrom="paragraph">
            <wp:posOffset>-342899</wp:posOffset>
          </wp:positionV>
          <wp:extent cx="1569130" cy="890588"/>
          <wp:effectExtent b="0" l="0" r="0" t="0"/>
          <wp:wrapNone/>
          <wp:docPr id="1" name="image3.png"/>
          <a:graphic>
            <a:graphicData uri="http://schemas.openxmlformats.org/drawingml/2006/picture">
              <pic:pic>
                <pic:nvPicPr>
                  <pic:cNvPr id="0" name="image3.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06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