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09 - DECLARAÇÃO CONJUNTA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pessoa responsável pela candidatura)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residente e domiciliado(a) em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(endereço residencial do dirigente)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responsável pela apresentação da inscrição da entidade cultural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entidade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CNPJ nº ___________________________, incrito no referido Edital de Seleção para ampliação e fortalecimento da Política Nacional de Cultura Viva,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de que as informações e documentos apresentados neste processo seletivo são de minha inteira responsabilidade, sendo a expressão da verdade;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Autorizar 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 (unidade)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enquadrar em quaisquer das vedações dispostas no Edital de Seleção, principalmente quanto ao disposto em seu item 5 (“quem não pode participar do edital”);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Receber visita técnica e/ou participar de reunião, com a missão de acompanhar e monitorar a execução e os resultados Termo de Compromisso Cultural, caso 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 (unidade)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o Ministério da Cultura considerem apropriado;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existir plágio no projeto selecionado, assumindo integralmente a autoria e respondendo exclusivamente por eventuais acusações ou pleitos nesse sentido;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3209925</wp:posOffset>
            </wp:positionH>
            <wp:positionV relativeFrom="paragraph">
              <wp:posOffset>788721</wp:posOffset>
            </wp:positionV>
            <wp:extent cx="1965072" cy="681225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64784" r="0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1965072" cy="681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ter projetos vigentes ou em análise com o mesmo objeto e/ou despesas semelhantes às pleiteadas nesta proposta em qualquer esfera do governo;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4760913</wp:posOffset>
            </wp:positionH>
            <wp:positionV relativeFrom="paragraph">
              <wp:posOffset>552450</wp:posOffset>
            </wp:positionV>
            <wp:extent cx="1830387" cy="634534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64784" r="0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1830387" cy="6345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espaço físico durante e após o período de realização das ações previstas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Realizar todas as intervenções e serviços que se fizerem necessários para promover a acessibilidade cultural e a inclusão de pessoas com mobilidade reduzida e pessoas com deficiência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durante as ações propostas, garantindo ainda exibições audiovisuais, se houver, que disponham de recursos de legendagem descritiva, audiodescrição e LIBRAS – Língua Brasileira de Sinais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Disponibilizar livre acesso à população beneficiada para todas as ações propostas 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Sobre os bens remanescentes,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Os bens patrimoniais adquiridos deverão ser gravados com cláusula de inalienabilidade enquanto viger a parceria, sendo que, na hipótese de extinção da entidade cultural durante a vigência do presente instrumento, a propriedade de tais ben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 será transferida à Administração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Na hipótese de extinção da entidade cultural após a vigência do instrumento celebrado, será aplicada Cláusula do Estatuto Social.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134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20" w:before="240" w:line="240" w:lineRule="auto"/>
        <w:ind w:left="0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01F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240" w:line="240" w:lineRule="auto"/>
        <w:ind w:left="0" w:hanging="2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1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2">
      <w:pPr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23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851" w:top="851" w:left="850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1381125</wp:posOffset>
          </wp:positionH>
          <wp:positionV relativeFrom="paragraph">
            <wp:posOffset>114300</wp:posOffset>
          </wp:positionV>
          <wp:extent cx="2889918" cy="3859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9918" cy="385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-95249</wp:posOffset>
          </wp:positionH>
          <wp:positionV relativeFrom="paragraph">
            <wp:posOffset>114300</wp:posOffset>
          </wp:positionV>
          <wp:extent cx="1038225" cy="446488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-590549</wp:posOffset>
          </wp:positionH>
          <wp:positionV relativeFrom="paragraph">
            <wp:posOffset>-333374</wp:posOffset>
          </wp:positionV>
          <wp:extent cx="1390650" cy="79224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390650" cy="79224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Normal1" w:customStyle="1">
    <w:name w:val="Normal1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243D3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43D3A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243D3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43D3A"/>
    <w:rPr>
      <w:kern w:val="1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JG6qUvMiZcA3djTGUdGPVhvdPw==">CgMxLjA4AHIhMXpyQTdqY0dqRjRDbUhndmthYWhmZzh2YzF1NUR2c2hE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2023-08-28T01:24:00Z</dcterms:created>
  <dc:creator>Iara da Costa Zannon</dc:creator>
</cp:coreProperties>
</file>