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DE CULTURA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10 - MINUTA DE TERMO DE COMPROMISSO CULTURAL - PONTO DE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COMPROMISSO CULTURAL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XX/202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MUNICÍPIO/ESTADO],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representado por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[NOME DO ÓRGÃO]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</w:t>
            </w:r>
            <w:hyperlink r:id="rId7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Lei nº 14.399/2022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(Política Nacional Aldir Blanc), no</w:t>
            </w:r>
            <w:hyperlink r:id="rId8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Decreto nº 11.740/2023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0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Portaria MinC nº 200/2025</w:t>
              </w:r>
            </w:hyperlink>
            <w:hyperlink r:id="rId11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, </w:t>
              </w:r>
            </w:hyperlink>
            <w:hyperlink r:id="rId12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Portaria MinC nº 206/2025</w:t>
              </w:r>
            </w:hyperlink>
            <w:hyperlink r:id="rId13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(Regulamentam a PNAB), na</w:t>
            </w:r>
            <w:hyperlink r:id="rId14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Lei nº 13.018/2014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(Política Nacional de Cultura Viva), na</w:t>
            </w:r>
            <w:hyperlink r:id="rId16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Instrução Normativa MinC nº 1/2015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e na</w:t>
            </w:r>
            <w:hyperlink r:id="rId18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Instrução Normativa MINC nº 12/2024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ou em ato normativo correspondente em vigor (Regulamentam a PNCV),  aplicando-se também, no que couber, como complementação em situações não previstas na  Política Nacional de Cultura Viva, o</w:t>
            </w:r>
            <w:hyperlink r:id="rId20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 </w:t>
              </w:r>
            </w:hyperlink>
            <w:hyperlink r:id="rId21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Decreto nº 11.453/2023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(Decreto de Fomento) e o </w:t>
            </w:r>
            <w:hyperlink r:id="rId22">
              <w:r w:rsidDel="00000000" w:rsidR="00000000" w:rsidRPr="00000000">
                <w:rPr>
                  <w:sz w:val="24"/>
                  <w:szCs w:val="24"/>
                  <w:u w:val="single"/>
                  <w:rtl w:val="0"/>
                </w:rPr>
                <w:t xml:space="preserve">Marco Regulatório do Fomento à Cultura nº 14.903/2024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2070"/>
        <w:gridCol w:w="1500"/>
        <w:gridCol w:w="3480"/>
        <w:tblGridChange w:id="0">
          <w:tblGrid>
            <w:gridCol w:w="2910"/>
            <w:gridCol w:w="2070"/>
            <w:gridCol w:w="1500"/>
            <w:gridCol w:w="348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 ENTE PÚBLICO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Ato de nomeação: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2.2. ENTIDADE CULTURAL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Razão Social: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responsável legal: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Geral (RG):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 completo do responsável legal: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</w:r>
    </w:p>
    <w:tbl>
      <w:tblPr>
        <w:tblStyle w:val="Table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OBJETO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presente Termo de Compromisso Cultural-TCC tem como objeto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execução de projeto selecionado no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Edital XXX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 visa a promoção do acesso da população aos bens e aos serviços culturais nos territórios e comunidades onde atuam, nos termos da Política Nacional de Cultura Viva - PNCV, conforme Plano de Trabalho anexo.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</w:t>
        <w:tab/>
        <w:t xml:space="preserve">                                                 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OBRIGAÇÕES DAS PARTES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.1.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[NOME DO ESTADO/MUNICÍPIO]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observar as obrigações descritas na Instrução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seguintes responsabilidades:</w:t>
            </w:r>
          </w:p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coordenar a gestão da PNCV, no âmbito de sua esfera de atuação;</w:t>
            </w:r>
          </w:p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atuar em parceria federativa junto ao governo federal, governos estaduais, do Distrito Federal e municipais, e outras instituições, para efetivação dos objetivos da PNCV previstos em lei;</w:t>
            </w:r>
          </w:p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realizar planejamento de desenvolvimento da PNCV, observando o P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lano Nacional de Cultura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planos de cultura locais;</w:t>
            </w:r>
          </w:p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garantir recursos humanos, orçamentários, financeiros, logísticos e tecnológicos para implementação da PNCV e efetividade de seus resultados;</w:t>
            </w:r>
          </w:p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desenvolver as ações estruturantes da PNCV por meio de políticas públicas integradas visando a promoção em uma cultura de direitos humanos e de valorização da cidadania e da diversidade artística e cultural;</w:t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disponibilizar e manter em funcionamento o Cadastro Nacional dos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Cultura, no âmbito de sua esfera de atuação;</w:t>
            </w:r>
          </w:p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fomentar ações para qualificação e formação de gestores, dirigentes de entidades culturais e outros agentes envolvidos no âmbito da PNCV;</w:t>
            </w:r>
          </w:p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ciência da celebração de parcerias federativas, no que couber, aos conselhos de cultura, assembleias legislativas e câmaras municipais de vereadores para efeitos de acompanhamento e fiscalização;</w:t>
            </w:r>
          </w:p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promover ações de publicidade da PNCV que proporcionem controle social, transparência pública e visibilidade das ações junto à sociedade;</w:t>
            </w:r>
          </w:p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contribuir para o fortalecimento da atuação em redes territoriais, identitárias e temáticas no âmbito da PNCV;</w:t>
            </w:r>
          </w:p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realizar os atos e os procedimentos relativos à formalização, execução, acompanhamento e análise da prestação de contas do presente TCC;</w:t>
            </w:r>
          </w:p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realizar os procedimentos relativos à Tomada de Contas Especial, quando for o caso;</w:t>
            </w:r>
          </w:p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cumprir com os procedimentos de transparência e publicidade atribuídos ao poder público conforme o disposto na Seção III da IN MinC nº 08 de 11 de maio de 2016;</w:t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 - repassar os recursos financeiros ao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CULTURA, de acordo com a programação orçamentária e financeira do ente público, obedecendo ao cronograma financeiro constante deste instrumento e do plano de trabalho;</w:t>
            </w:r>
          </w:p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 - prorrogar “de ofício” o prazo de vigência do TCC antes do seu término, quando der causa ao atraso na liberação dos recursos, limitada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prorrogação ao exato período do atraso verificado;</w:t>
            </w:r>
          </w:p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 - aplicar as penalidades previstas e proceder às ações administrativas necessárias à exigência da restituição dos recursos transferidos;</w:t>
            </w:r>
          </w:p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XVIII - comunicar aos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Pontos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:rsidR="00000000" w:rsidDel="00000000" w:rsidP="00000000" w:rsidRDefault="00000000" w:rsidRPr="00000000" w14:paraId="0000006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XIX - analisar a prestação de contas dos recursos aplicados na consecução do objeto deste TCC, na forma e prazo fixados no Dec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reto nº 11.453/2023 e no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art. 47 da IN MinC nº 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/2016;</w:t>
            </w:r>
          </w:p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 - nos casos em que 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.2.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 Entidade Cultural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Incumbe à Entidade Cultural observar as obrigações descritas 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legislação de regência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e, ainda, as seguintes responsabilidades:</w:t>
            </w:r>
          </w:p>
          <w:p w:rsidR="00000000" w:rsidDel="00000000" w:rsidP="00000000" w:rsidRDefault="00000000" w:rsidRPr="00000000" w14:paraId="0000007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executar o projeto conforme Plano de Trabalho aprovado e produzir provas documentais sobre o andamento da execução do projeto, inclusive das alterações no Plano de Trabalho;</w:t>
            </w:r>
          </w:p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cumprir com os procedimentos de transparência e publicidade atribuídos à entidade cultural conforme o disposto no Capítulo IV,  Seção III da IN MinC nº 08 de 11 de maio de 2016;</w:t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desenvolver uma gestão compartilhada e participativa, por meio de instâncias, fóruns e espaços de diálogos junto aos beneficiários em sua área de abrangência;</w:t>
            </w:r>
          </w:p>
          <w:p w:rsidR="00000000" w:rsidDel="00000000" w:rsidP="00000000" w:rsidRDefault="00000000" w:rsidRPr="00000000" w14:paraId="0000007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 w:rsidR="00000000" w:rsidDel="00000000" w:rsidP="00000000" w:rsidRDefault="00000000" w:rsidRPr="00000000" w14:paraId="0000007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 - estimular a participação ativa dos beneficiários da PNCV nos processos participativos instituídos no SNC e na PNCV em âmbito local, regional e nacional;</w:t>
            </w:r>
          </w:p>
          <w:p w:rsidR="00000000" w:rsidDel="00000000" w:rsidP="00000000" w:rsidRDefault="00000000" w:rsidRPr="00000000" w14:paraId="0000007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 - contribuir com a organização e funcionamento da Rede Cultura Viva e de suas instâncias, mecanismos e processos de gestão compartilhada, participação e controle social;</w:t>
            </w:r>
          </w:p>
          <w:p w:rsidR="00000000" w:rsidDel="00000000" w:rsidP="00000000" w:rsidRDefault="00000000" w:rsidRPr="00000000" w14:paraId="0000007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VIII - manter seus dados cadastrais atualizados no Cadastro Nacional de Pontos e Pontões de Cultura, atendendo à chamada anual de atualização de dados;</w:t>
            </w:r>
          </w:p>
          <w:p w:rsidR="00000000" w:rsidDel="00000000" w:rsidP="00000000" w:rsidRDefault="00000000" w:rsidRPr="00000000" w14:paraId="0000007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 w:rsidR="00000000" w:rsidDel="00000000" w:rsidP="00000000" w:rsidRDefault="00000000" w:rsidRPr="00000000" w14:paraId="0000007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 - permitir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 - a responsabilidade exclusiva pelo gerenciamento administrativo e financeiro dos recursos recebidos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 w:rsidR="00000000" w:rsidDel="00000000" w:rsidP="00000000" w:rsidRDefault="00000000" w:rsidRPr="00000000" w14:paraId="0000008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XIII - prestar contas dos recursos recebidos, conforme acordado neste Termo e  na forma dos atos normativos que se relacionam com o tema;</w:t>
            </w:r>
          </w:p>
          <w:p w:rsidR="00000000" w:rsidDel="00000000" w:rsidP="00000000" w:rsidRDefault="00000000" w:rsidRPr="00000000" w14:paraId="0000008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XIV - guardar os documentos originais de comprovação do cumprimento do objeto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e</w:t>
            </w:r>
          </w:p>
          <w:p w:rsidR="00000000" w:rsidDel="00000000" w:rsidP="00000000" w:rsidRDefault="00000000" w:rsidRPr="00000000" w14:paraId="0000008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XV -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VALORES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execução das atividades previstas no Plano de Trabalho deste TCC, serão disponibilizados pelo Ente Público recursos no valor total em desembolso único de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R$XXXX ou em parcelas de XXX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- no caso de projetos de 24 ou 36 meses, o valor total deverá considerar os parâmetros anuais definidos na Portaria MinC nº206/2025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de acordo com o Cronograma de Desembolso constante do Plano de Trabalho, correspondente à Nota de Empenho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XXXX, de XX/XX/2023.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movimentação dos recursos financeiros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Agência XXXX – Banco XXXX, na cidade XXXX, UF XX,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em conformidade com os prazos estabelecidos no Cronograma Financeiro constante do Plano de Trabalho.</w:t>
            </w:r>
          </w:p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recursos depositados nesta conta bancária específica, enquanto não empregados na sua finalidade, serão obrigatoriamente aplicados:</w:t>
            </w:r>
          </w:p>
          <w:p w:rsidR="00000000" w:rsidDel="00000000" w:rsidP="00000000" w:rsidRDefault="00000000" w:rsidRPr="00000000" w14:paraId="0000008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em caderneta de poupança, ou</w:t>
            </w:r>
          </w:p>
          <w:p w:rsidR="00000000" w:rsidDel="00000000" w:rsidP="00000000" w:rsidRDefault="00000000" w:rsidRPr="00000000" w14:paraId="0000008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em fundo de aplicação financeira de curto prazo ou operação de mercado aberto lastreada em título da dívida pública.</w:t>
            </w:r>
          </w:p>
          <w:p w:rsidR="00000000" w:rsidDel="00000000" w:rsidP="00000000" w:rsidRDefault="00000000" w:rsidRPr="00000000" w14:paraId="0000008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recursos dest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Termo de Compromisso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serão utilizados exclusivamente para o pagamento das despesas previstas no objeto do TCC, vedada a sua aplicação em finalidade diversa, ainda que decorrentes de necessidade emergencial do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CULTURA.</w:t>
            </w:r>
          </w:p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uso de rendimentos para as finalidades descritas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item 5.1.3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remanejamento de recurso no plano de trabalho poderá ocorrer desde que:</w:t>
            </w:r>
          </w:p>
          <w:p w:rsidR="00000000" w:rsidDel="00000000" w:rsidP="00000000" w:rsidRDefault="00000000" w:rsidRPr="00000000" w14:paraId="0000009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seja realizado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tenha como finalidade o cumprimento do objeto pactuado;</w:t>
            </w:r>
          </w:p>
          <w:p w:rsidR="00000000" w:rsidDel="00000000" w:rsidP="00000000" w:rsidRDefault="00000000" w:rsidRPr="00000000" w14:paraId="0000009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não altere o valor global do orçamento aprovado no TCC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5.1.6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Após a conclusão, rescisão ou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este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saldos financeiros remanescentes, inclusive os provenientes das receitas obtidas das aplicações financeiras realizadas, deverão ser devolvidos pelo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ao Ente Público, no prazo de trinta dias.</w:t>
            </w:r>
          </w:p>
        </w:tc>
      </w:tr>
    </w:tbl>
    <w:p w:rsidR="00000000" w:rsidDel="00000000" w:rsidP="00000000" w:rsidRDefault="00000000" w:rsidRPr="00000000" w14:paraId="0000009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ACOMPANHAMENTO E AVALIAÇÃO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realizará o acompanhamento e a avaliação da execução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deste TCC, periodicamente, durante a vigência da parceria, com vistas a promover o levantamento de dados para subsidiar a avaliação da prestação de contas podendo, para tanto:</w:t>
            </w:r>
          </w:p>
          <w:p w:rsidR="00000000" w:rsidDel="00000000" w:rsidP="00000000" w:rsidRDefault="00000000" w:rsidRPr="00000000" w14:paraId="0000009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exigir informações técnicas (incluindo relatório fotográfico), prestações de contas parciais e/ou final a qualquer momento;</w:t>
            </w:r>
          </w:p>
          <w:p w:rsidR="00000000" w:rsidDel="00000000" w:rsidP="00000000" w:rsidRDefault="00000000" w:rsidRPr="00000000" w14:paraId="0000009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exigir o registro, nos sistemas institucionais indicados pelo Ministério da Cultura, das atividades provenientes da execução do TCC;</w:t>
            </w:r>
          </w:p>
          <w:p w:rsidR="00000000" w:rsidDel="00000000" w:rsidP="00000000" w:rsidRDefault="00000000" w:rsidRPr="00000000" w14:paraId="0000009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usar os diversos canais eletrônicos de comunicação e divulgação absorvendo informações sobre a execução do TCC e adotando providências necessárias, quando for o caso;</w:t>
            </w:r>
          </w:p>
          <w:p w:rsidR="00000000" w:rsidDel="00000000" w:rsidP="00000000" w:rsidRDefault="00000000" w:rsidRPr="00000000" w14:paraId="0000009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IV - fazer vistoria in loco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vistoria no local)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 - utilizar apoio técnico de terceiros, delegar competência ou firmar parcerias com órgãos ou entidades.</w:t>
            </w:r>
          </w:p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[NOME DO ENTE PÚBLICO]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 w:rsidR="00000000" w:rsidDel="00000000" w:rsidP="00000000" w:rsidRDefault="00000000" w:rsidRPr="00000000" w14:paraId="0000009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6.3 Os TCCs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estarão também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sujeitos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 w:rsidR="00000000" w:rsidDel="00000000" w:rsidP="00000000" w:rsidRDefault="00000000" w:rsidRPr="00000000" w14:paraId="0000009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PRESTAÇÃO DE CONTAS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prestação de contas será apresentada por meio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Relatório de Execução do Objeto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no prazo de 90 (noventa) dias após o fim da vigência do TCC, contendo:</w:t>
            </w:r>
          </w:p>
          <w:p w:rsidR="00000000" w:rsidDel="00000000" w:rsidP="00000000" w:rsidRDefault="00000000" w:rsidRPr="00000000" w14:paraId="000000A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:rsidR="00000000" w:rsidDel="00000000" w:rsidP="00000000" w:rsidRDefault="00000000" w:rsidRPr="00000000" w14:paraId="000000A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comparativo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 w:rsidR="00000000" w:rsidDel="00000000" w:rsidP="00000000" w:rsidRDefault="00000000" w:rsidRPr="00000000" w14:paraId="000000A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material que comprove a execução de cada item de despesa e a consecução de cada uma das metas (fotos, listas de presença, vídeos, entre outros) descrito no Plano de Trabalho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documentos originais de comprovação do cumprimento do objeto deverão ser guardados pelo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pelo prazo de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cinco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anos após a entrega da prestação de contas.</w:t>
            </w:r>
          </w:p>
          <w:p w:rsidR="00000000" w:rsidDel="00000000" w:rsidP="00000000" w:rsidRDefault="00000000" w:rsidRPr="00000000" w14:paraId="000000A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apresentação do Relatório de Execução do Objeto poderá ser prorrogado por até trinta dias, mediante solicitação fundamentada do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CULTURA.</w:t>
            </w:r>
          </w:p>
          <w:p w:rsidR="00000000" w:rsidDel="00000000" w:rsidP="00000000" w:rsidRDefault="00000000" w:rsidRPr="00000000" w14:paraId="000000A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o Ente Público verifique que houve inadequação na execução do objeto, o PONT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 CULTURA será notificado para apresentar Relatório de Execução Financeiro, no prazo de trinta dias, contendo:</w:t>
            </w:r>
          </w:p>
          <w:p w:rsidR="00000000" w:rsidDel="00000000" w:rsidP="00000000" w:rsidRDefault="00000000" w:rsidRPr="00000000" w14:paraId="000000A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I- - relação de pagamentos, com indicação dos beneficiários desses pagamentos e identificação do item de despesa e meta relacionados a cada pagamento;</w:t>
            </w:r>
          </w:p>
          <w:p w:rsidR="00000000" w:rsidDel="00000000" w:rsidP="00000000" w:rsidRDefault="00000000" w:rsidRPr="00000000" w14:paraId="000000A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extrato bancário da conta do TCC, incluindo toda a movimentação desde a abertura até a última movimentação, e conciliação bancária; e</w:t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III - comprovante de recolhimento do saldo remanescente de recursos, quando houver.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considerará que houve inadequação na execução do objeto quando configurada uma das seguintes hipóteses:</w:t>
            </w:r>
          </w:p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quando for identificado o descumprimento injustificado do alcance das metas; ou</w:t>
            </w:r>
          </w:p>
          <w:p w:rsidR="00000000" w:rsidDel="00000000" w:rsidP="00000000" w:rsidRDefault="00000000" w:rsidRPr="00000000" w14:paraId="000000A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quando for aceita denúncia de irregularidade, mediante juízo de admissibilidade realizado pelo Ente Público.</w:t>
            </w:r>
          </w:p>
        </w:tc>
      </w:tr>
    </w:tbl>
    <w:p w:rsidR="00000000" w:rsidDel="00000000" w:rsidP="00000000" w:rsidRDefault="00000000" w:rsidRPr="00000000" w14:paraId="000000AD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BENS REMANESCENTES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 prestação de contas final seja rejeitada, a titularidade dos bens remanescentes permanecerá com a Entidade Cultural, observados os seguintes procedimentos:</w:t>
            </w:r>
          </w:p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-  não será exigido ressarcimento do valor relativo ao bem adquirido quando a motivação da rejeição não estiver relacionada ao seu uso ou aquisição; ou</w:t>
            </w:r>
          </w:p>
          <w:p w:rsidR="00000000" w:rsidDel="00000000" w:rsidP="00000000" w:rsidRDefault="00000000" w:rsidRPr="00000000" w14:paraId="000000B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II - o valor pelo qual o bem remanescente foi adquirido deverá ser computado no cálculo do dano ao erário a ser ressarcido, quando a motivação da rejeição estiver relacionada ao seu uso ou aquisição. </w:t>
            </w:r>
          </w:p>
          <w:p w:rsidR="00000000" w:rsidDel="00000000" w:rsidP="00000000" w:rsidRDefault="00000000" w:rsidRPr="00000000" w14:paraId="000000B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8.4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 hipótese de dissolução da Entidade Cultural durante a vigência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 valor pelo qual os bens remanescentes foram adquiridos deverá ser computado no cálculo do valor a ser ressarcido.</w:t>
            </w:r>
          </w:p>
          <w:p w:rsidR="00000000" w:rsidDel="00000000" w:rsidP="00000000" w:rsidRDefault="00000000" w:rsidRPr="00000000" w14:paraId="000000B5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8.5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 w:rsidR="00000000" w:rsidDel="00000000" w:rsidP="00000000" w:rsidRDefault="00000000" w:rsidRPr="00000000" w14:paraId="000000B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8.6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8.7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destinação dos bens remanescentes poderá ser alterada por meio da celebração de Termo Aditivo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após solicitação fundamentada de uma das partes.</w:t>
            </w:r>
          </w:p>
          <w:p w:rsidR="00000000" w:rsidDel="00000000" w:rsidP="00000000" w:rsidRDefault="00000000" w:rsidRPr="00000000" w14:paraId="000000B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8.8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:rsidR="00000000" w:rsidDel="00000000" w:rsidP="00000000" w:rsidRDefault="00000000" w:rsidRPr="00000000" w14:paraId="000000B9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 PROPRIEDADE INTELECTUAL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120" w:before="12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as atividades realizadas pela ENTIDADE CULTURAL com recursos públicos provenientes do Termo de 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ompromisso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Termo de Compromisso Cultural.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9.2.2 - Quanto aos direitos de que trata a Lei Nacional nº 9.610/1998, pelas seguintes modalidades: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- a reprodução parcial ou integral, para fins de divulgação;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- a tradução para qualquer idioma;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 - a inclusão em fonograma ou produção audiovisual;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 - a inclusão em base de dados, o armazenamento em computador, a microfilmagem e as demais formas de arquivamento do gênero.</w:t>
            </w:r>
          </w:p>
          <w:p w:rsidR="00000000" w:rsidDel="00000000" w:rsidP="00000000" w:rsidRDefault="00000000" w:rsidRPr="00000000" w14:paraId="000000C3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Quando da extinção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Pública.</w:t>
            </w:r>
          </w:p>
        </w:tc>
      </w:tr>
    </w:tbl>
    <w:p w:rsidR="00000000" w:rsidDel="00000000" w:rsidP="00000000" w:rsidRDefault="00000000" w:rsidRPr="00000000" w14:paraId="000000C4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PRAZO DE VIGÊNCIA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prazo de vigência deste TCC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12 meses, 24 meses ou 36 meses, a depender da definição do órgão gestor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contados a partir da data de sua assinatura, podendo ser prorrogado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pelo dobro do tempo pactuado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mediante acordo entre as partes, excetuadas as prorrogações de ofício por atraso na liberação dos recursos.</w:t>
            </w:r>
          </w:p>
          <w:p w:rsidR="00000000" w:rsidDel="00000000" w:rsidP="00000000" w:rsidRDefault="00000000" w:rsidRPr="00000000" w14:paraId="000000C7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10.2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vigência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 TCC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 w:rsidR="00000000" w:rsidDel="00000000" w:rsidP="00000000" w:rsidRDefault="00000000" w:rsidRPr="00000000" w14:paraId="000000C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 w:rsidR="00000000" w:rsidDel="00000000" w:rsidP="00000000" w:rsidRDefault="00000000" w:rsidRPr="00000000" w14:paraId="000000C9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RESCISÃO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É facultado ao Ente Público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à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 w:rsidR="00000000" w:rsidDel="00000000" w:rsidP="00000000" w:rsidRDefault="00000000" w:rsidRPr="00000000" w14:paraId="000000CC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 Ente Público deverá rescindir este TCC caso seja cancelada a certificação simplificada 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6fa8dc" w:val="clear"/>
                <w:rtl w:val="0"/>
              </w:rPr>
              <w:t xml:space="preserve">Pont</w:t>
            </w:r>
            <w:r w:rsidDel="00000000" w:rsidR="00000000" w:rsidRPr="00000000">
              <w:rPr>
                <w:sz w:val="24"/>
                <w:szCs w:val="24"/>
                <w:shd w:fill="6fa8dc" w:val="clear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respeitados os atos jurídicos perfeitos, na forma do art. 11 da Instrução Normativa/MinC nº 8/2016.</w:t>
            </w:r>
          </w:p>
          <w:p w:rsidR="00000000" w:rsidDel="00000000" w:rsidP="00000000" w:rsidRDefault="00000000" w:rsidRPr="00000000" w14:paraId="000000CD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11.3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 w:rsidR="00000000" w:rsidDel="00000000" w:rsidP="00000000" w:rsidRDefault="00000000" w:rsidRPr="00000000" w14:paraId="000000CE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Havendo rescisão,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entidade cultural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obrigada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 prestar contas de tudo que fora executado até a data da rescisão, observado o prazo e regras da Seção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CF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PUBLICAÇÃO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Ente Público publicará extrato deste TCC no meio oficial de publicidade da administração pública, após a assinatura, para que se inicie a produção de seus efeitos.</w:t>
            </w:r>
          </w:p>
        </w:tc>
      </w:tr>
    </w:tbl>
    <w:p w:rsidR="00000000" w:rsidDel="00000000" w:rsidP="00000000" w:rsidRDefault="00000000" w:rsidRPr="00000000" w14:paraId="000000D2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FORO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[aqui inserir o foro]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12"/>
        <w:gridCol w:w="5160"/>
        <w:tblGridChange w:id="0">
          <w:tblGrid>
            <w:gridCol w:w="4812"/>
            <w:gridCol w:w="516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ASSINATURAS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120" w:before="12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E, por assim estarem plenamente de acordo,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partes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obrigam-se ao total cumprimento dos termos do presente instrumento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B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DC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DD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da entidade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assinado eletronicamente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F">
            <w:pPr>
              <w:spacing w:after="120" w:before="120"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Representante legal do órgão ou entidade pública</w:t>
            </w:r>
          </w:p>
        </w:tc>
      </w:tr>
    </w:tbl>
    <w:p w:rsidR="00000000" w:rsidDel="00000000" w:rsidP="00000000" w:rsidRDefault="00000000" w:rsidRPr="00000000" w14:paraId="000000E0">
      <w:pPr>
        <w:spacing w:after="120" w:before="12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headerReference r:id="rId25" w:type="even"/>
      <w:footerReference r:id="rId26" w:type="default"/>
      <w:footerReference r:id="rId27" w:type="first"/>
      <w:footerReference r:id="rId28" w:type="even"/>
      <w:pgSz w:h="15840" w:w="12240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tabs>
        <w:tab w:val="center" w:leader="none" w:pos="0"/>
      </w:tabs>
      <w:spacing w:after="0" w:line="240" w:lineRule="auto"/>
      <w:ind w:left="1440" w:firstLine="0"/>
      <w:jc w:val="both"/>
      <w:rPr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6" name="image3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80775</wp:posOffset>
          </wp:positionV>
          <wp:extent cx="1201567" cy="624078"/>
          <wp:effectExtent b="0" l="0" r="0" t="0"/>
          <wp:wrapNone/>
          <wp:docPr descr="Logotipo&#10;&#10;O conteúdo gerado por IA pode estar incorreto." id="5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8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b="0" l="0" r="0" t="0"/>
          <wp:wrapNone/>
          <wp:docPr descr="Logotipo&#10;&#10;O conteúdo gerado por IA pode estar incorreto." id="7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7">
    <w:pPr>
      <w:spacing w:after="0" w:line="276" w:lineRule="auto"/>
      <w:ind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44808</wp:posOffset>
          </wp:positionV>
          <wp:extent cx="2925675" cy="390090"/>
          <wp:effectExtent b="0" l="0" r="0" t="0"/>
          <wp:wrapNone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spacing w:after="0" w:line="276" w:lineRule="auto"/>
      <w:ind w:hanging="450"/>
      <w:jc w:val="both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86751" cy="853881"/>
          <wp:effectExtent b="0" l="0" r="0" t="0"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western" w:customStyle="1">
    <w:name w:val="western"/>
    <w:basedOn w:val="Normal"/>
    <w:pPr>
      <w:spacing w:after="119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4" w:customStyle="1">
    <w:name w:val="4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2167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 w:val="1"/>
    <w:rsid w:val="0034216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2167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planalto.gov.br/ccivil_03/_ato2023-2026/2023/decreto/D11453.htm" TargetMode="External"/><Relationship Id="rId22" Type="http://schemas.openxmlformats.org/officeDocument/2006/relationships/hyperlink" Target="https://www.planalto.gov.br/ccivil_03/_ato2023-2026/2024/lei/L14903.htm" TargetMode="External"/><Relationship Id="rId21" Type="http://schemas.openxmlformats.org/officeDocument/2006/relationships/hyperlink" Target="https://www.planalto.gov.br/ccivil_03/_ato2023-2026/2023/decreto/D11453.htm" TargetMode="External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_ato2023-2026/2023/decreto/D11740.htm" TargetMode="External"/><Relationship Id="rId26" Type="http://schemas.openxmlformats.org/officeDocument/2006/relationships/footer" Target="footer1.xml"/><Relationship Id="rId25" Type="http://schemas.openxmlformats.org/officeDocument/2006/relationships/header" Target="header3.xml"/><Relationship Id="rId28" Type="http://schemas.openxmlformats.org/officeDocument/2006/relationships/footer" Target="footer3.xm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lanalto.gov.br/ccivil_03/_ato2019-2022/2022/lei/l14399.htm" TargetMode="External"/><Relationship Id="rId8" Type="http://schemas.openxmlformats.org/officeDocument/2006/relationships/hyperlink" Target="https://www.planalto.gov.br/ccivil_03/_ato2023-2026/2023/decreto/D11740.htm" TargetMode="External"/><Relationship Id="rId11" Type="http://schemas.openxmlformats.org/officeDocument/2006/relationships/hyperlink" Target="https://www.in.gov.br/web/dou/-/portaria-minc-n-80-de-27-de-outubro-de-2023-519652245" TargetMode="External"/><Relationship Id="rId10" Type="http://schemas.openxmlformats.org/officeDocument/2006/relationships/hyperlink" Target="https://www.in.gov.br/web/dou/-/portaria-minc-n-200-de-11-de-abril-de-2025-623760804" TargetMode="External"/><Relationship Id="rId13" Type="http://schemas.openxmlformats.org/officeDocument/2006/relationships/hyperlink" Target="https://www.in.gov.br/web/dou/-/portaria-minc-n-80-de-27-de-outubro-de-2023-519652245" TargetMode="External"/><Relationship Id="rId12" Type="http://schemas.openxmlformats.org/officeDocument/2006/relationships/hyperlink" Target="https://www.in.gov.br/en/web/dou/-/portaria-minc-n-206-de-13-de-maio-de-2025-629208189" TargetMode="External"/><Relationship Id="rId15" Type="http://schemas.openxmlformats.org/officeDocument/2006/relationships/hyperlink" Target="https://www.planalto.gov.br/ccivil_03/_ato2011-2014/2014/lei/l13018.htm" TargetMode="External"/><Relationship Id="rId14" Type="http://schemas.openxmlformats.org/officeDocument/2006/relationships/hyperlink" Target="https://www.planalto.gov.br/ccivil_03/_ato2011-2014/2014/lei/l13018.htm" TargetMode="External"/><Relationship Id="rId17" Type="http://schemas.openxmlformats.org/officeDocument/2006/relationships/hyperlink" Target="https://www.gov.br/cultura/pt-br/acesso-a-informacao/legislacao-e-normativas/instrucao-normativa-minc-no-1-de-7-de-abril-de-2015-1" TargetMode="External"/><Relationship Id="rId16" Type="http://schemas.openxmlformats.org/officeDocument/2006/relationships/hyperlink" Target="https://www.gov.br/cultura/pt-br/acesso-a-informacao/legislacao-e-normativas/instrucao-normativa-minc-no-1-de-7-de-abril-de-2015-1" TargetMode="External"/><Relationship Id="rId19" Type="http://schemas.openxmlformats.org/officeDocument/2006/relationships/hyperlink" Target="https://www.in.gov.br/en/web/dou/-/instrucao-normativa-minc-n-12-de-28-de-maio-de-2024-562732255" TargetMode="External"/><Relationship Id="rId18" Type="http://schemas.openxmlformats.org/officeDocument/2006/relationships/hyperlink" Target="https://www.in.gov.br/en/web/dou/-/instrucao-normativa-minc-n-12-de-28-de-maio-de-2024-562732255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pT4fQy/4BmMoBXGzE3aIdwrmw==">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2022-08-11T14:23:00Z</dcterms:created>
  <dc:creator>Daniela Guimaraes Goulart</dc:creator>
</cp:coreProperties>
</file>