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___________, CPF n° ___________, responsável pela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(órgão responsável)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4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Concordar 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(órgão responsável)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Estar ciente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das regras de democratização dos recursos: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color w:val="555555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Instrução Normativa MinC nº  1/2015, art. 21,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salvo quando: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; ou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;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salvo quando: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7">
      <w:pPr>
        <w:widowControl w:val="0"/>
        <w:spacing w:after="120" w:befor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28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B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80775</wp:posOffset>
          </wp:positionV>
          <wp:extent cx="1201567" cy="624078"/>
          <wp:effectExtent b="0" l="0" r="0" t="0"/>
          <wp:wrapNone/>
          <wp:docPr descr="Logotipo&#10;&#10;O conteúdo gerado por IA pode estar incorreto." id="1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9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44808</wp:posOffset>
          </wp:positionV>
          <wp:extent cx="2925675" cy="39009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hanging="45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3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jr1Pg4uE4qZbT0JQPGPnXqTQA==">CgMxLjA4AGomChRzdWdnZXN0LmV1cnViZGkwb2JmeBIOQWRpbHNvbiBKdW5pb3JqJgoUc3VnZ2VzdC5jbmZiMmo4ZDFoMTESDkFkaWxzb24gSnVuaW9yaiYKFHN1Z2dlc3QucXNsbTVtNHUyZGs0Eg5BZGlsc29uIEp1bmlvcmomChRzdWdnZXN0LmNodDM2ZXBtenhweRIOQWRpbHNvbiBKdW5pb3JqJgoUc3VnZ2VzdC5zYXBwbzVhczl4MGwSDkFkaWxzb24gSnVuaW9yaiYKFHN1Z2dlc3QueGxranppcW15M3gxEg5BZGlsc29uIEp1bmlvcmomChRzdWdnZXN0LnBrbWxkMjNqNHJndxIOQWRpbHNvbiBKdW5pb3JyITEyZjBqWHZXRV9QYW9nRDdOWGF2RWo2Sk9GREZ2dkRv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