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(NÚMERO)/2025 (INCLUIR NUMERAÇÃO PRÓPRIA)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ESTADUAL/DISTRITAL/MUNICIPAL/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DE CULTURA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(INSERIR UNIDADE DA FEDERAÇÃO - UF)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02 - CRITÉRIOS DE AVALIAÇÃO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15.3937007874017" w:tblpY="0"/>
        <w:tblW w:w="11745.0" w:type="dxa"/>
        <w:jc w:val="left"/>
        <w:tblInd w:w="1755.0" w:type="dxa"/>
        <w:tblLayout w:type="fixed"/>
        <w:tblLook w:val="0600"/>
      </w:tblPr>
      <w:tblGrid>
        <w:gridCol w:w="735"/>
        <w:gridCol w:w="5805"/>
        <w:gridCol w:w="1095"/>
        <w:gridCol w:w="1425"/>
        <w:gridCol w:w="1380"/>
        <w:gridCol w:w="1305"/>
        <w:tblGridChange w:id="0">
          <w:tblGrid>
            <w:gridCol w:w="735"/>
            <w:gridCol w:w="5805"/>
            <w:gridCol w:w="1095"/>
            <w:gridCol w:w="1425"/>
            <w:gridCol w:w="1380"/>
            <w:gridCol w:w="1305"/>
          </w:tblGrid>
        </w:tblGridChange>
      </w:tblGrid>
      <w:tr>
        <w:trPr>
          <w:cantSplit w:val="0"/>
          <w:trHeight w:val="770.74218750000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CRITÉRIOS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o Ponto ou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Cultura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 pontos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tabs>
                <w:tab w:val="center" w:leader="none" w:pos="0"/>
              </w:tabs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Promove, amplia e garante a criação e a produção artística e cultural.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tabs>
                <w:tab w:val="center" w:leader="none" w:pos="0"/>
              </w:tabs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Garante acesso aos meios de fruição, produção e difusão cultural.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tabs>
                <w:tab w:val="center" w:leader="none" w:pos="0"/>
              </w:tabs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 atividades culturais gratuitas e abertas ao público com regularidade na comunidade.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82812500000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Efeitos artístico-culturais, sociais e econômicos esperados com 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contribui com a prática da cidadania cultural, com a ampliação das condições de acesso da comunidade aos bens e serviços culturais.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oficinas/ações formativas impactam de forma efetiva com a ampliação de repertórios artísticos e culturais.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estratégias de acessibilidade promovem o acesso e o protagonismo das pessoas com deficiência.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estimula a diversidade cultural e a alteridade, promovendo o protagonismo e a interação entre grupos vulneráveis e excluídos.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expressividade e a criação estética.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.0961914062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f)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  <w:t xml:space="preserve">As ações previstas contribuem com a geração de trabalho e renda na comunidade.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efetivas de participação da comunidade na gestão do Ponto de Cultura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Execução e detalhamento do Plano de Trabalho: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22 pontos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Capacidade técnica, gerencial e operacional da entidade para execução do projeto (vinculação do portfólio com o projeto apresentado)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apresenta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coerência e razoabilidade entre as ações, os itens de despesas e seus custos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Define metas razoáveis e exequíveis com informações sobre ações a serem executadas e prazos.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pertinentes em relação aos resultados pretendidos.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 detalha estratégias de divulgação específicas, com capacidade de democratização da informação acerca de suas ações.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equipe técnica prevista é adequada para a realização do projeto.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Abrangência do projeto considerando o público beneficiário a partir das informações dispostas no Planejamento do Projeto, a candidatura atenderá diretamente os seguintes públicos: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 pontos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Estudantes da Rede Pública de ensino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Primeira Infância (crianças de 0 a 6 anos)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baixa renda, habitando áreas com precária oferta de serviços públicos e de cultura, incluindo a área rural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com deficiência e(ou) mobilidade reduzida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Povos Indígenas e Comunidades Tradicionais de Matriz Africana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LGBTQIA+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6"/>
          <w:szCs w:val="26"/>
          <w:rtl w:val="0"/>
        </w:rPr>
        <w:t xml:space="preserve">Bonificações </w:t>
      </w:r>
    </w:p>
    <w:p w:rsidR="00000000" w:rsidDel="00000000" w:rsidP="00000000" w:rsidRDefault="00000000" w:rsidRPr="00000000" w14:paraId="000000AD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Poderão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ser atribuídas bonificações em formato de pontuação extra, seguindo diferentes critérios, de acordo com a deliberação do Ente Federado,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até o limite total de 5 (cinco) pontos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Inclusive, é possível a não adoção de nenhum tipo de bonificação.</w:t>
      </w:r>
    </w:p>
    <w:p w:rsidR="00000000" w:rsidDel="00000000" w:rsidP="00000000" w:rsidRDefault="00000000" w:rsidRPr="00000000" w14:paraId="000000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[somente para editais estaduais]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Será atribuído 20 pontos para candidaturas localizadas em municípios do seu Estado que destinaram valor inferior a R$200.000,00 (duzentos mil reais) para a PNCV.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O Ministério da Cultura fornecerá aos Estados a lista dos municípios que destinaram valor igual ou superior a R$200.000,00 (duzentos mil reais) para a PNCV no Plano de Aplicação dos Recursos.</w:t>
      </w:r>
    </w:p>
    <w:p w:rsidR="00000000" w:rsidDel="00000000" w:rsidP="00000000" w:rsidRDefault="00000000" w:rsidRPr="00000000" w14:paraId="000000AF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Ente Federativo deverá considerar a Instrução Normativa MinC nº 10, de 28 de dezembro de 2023, que dispõe a implementação das ações afirmativas e medidas de acessibilidade de que trata o Decreto nº 11.740, de 18 de outubro de 2023, que regulamenta a Política Nacional Aldir Blanc de Fomento à Cultura. Em especial, o Capítulo III:</w:t>
      </w:r>
    </w:p>
    <w:p w:rsidR="00000000" w:rsidDel="00000000" w:rsidP="00000000" w:rsidRDefault="00000000" w:rsidRPr="00000000" w14:paraId="000000B0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DAS BONIFICAÇÕES OU DOS CRITÉRIOS DIFERENCIADOS DE PONTUAÇÃO</w:t>
      </w:r>
    </w:p>
    <w:p w:rsidR="00000000" w:rsidDel="00000000" w:rsidP="00000000" w:rsidRDefault="00000000" w:rsidRPr="00000000" w14:paraId="000000B1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:rsidR="00000000" w:rsidDel="00000000" w:rsidP="00000000" w:rsidRDefault="00000000" w:rsidRPr="00000000" w14:paraId="000000B2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Art. 12. Os procedimentos públicos de seleção podem conter critérios diferenciados de pontuação, inclusive critérios de desempate, considerando:</w:t>
      </w:r>
    </w:p>
    <w:p w:rsidR="00000000" w:rsidDel="00000000" w:rsidP="00000000" w:rsidRDefault="00000000" w:rsidRPr="00000000" w14:paraId="000000B3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 - o perfil do público-alvo a que a ação, projeto ou produto cultural é direcionado;</w:t>
      </w:r>
    </w:p>
    <w:p w:rsidR="00000000" w:rsidDel="00000000" w:rsidP="00000000" w:rsidRDefault="00000000" w:rsidRPr="00000000" w14:paraId="000000B4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II - o perfil do agente cultural que propõe a ação, projeto ou produto cultural;</w:t>
      </w:r>
    </w:p>
    <w:p w:rsidR="00000000" w:rsidDel="00000000" w:rsidP="00000000" w:rsidRDefault="00000000" w:rsidRPr="00000000" w14:paraId="000000B5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III - a linguagem, expressão cultural e/ou temática da ação, projeto ou produto cultural;</w:t>
      </w:r>
    </w:p>
    <w:p w:rsidR="00000000" w:rsidDel="00000000" w:rsidP="00000000" w:rsidRDefault="00000000" w:rsidRPr="00000000" w14:paraId="000000B6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IV - a facilitação do acesso pela população aos bens e serviços gerados pela ação, projeto ou produto cultural, por meio de:</w:t>
      </w:r>
    </w:p>
    <w:p w:rsidR="00000000" w:rsidDel="00000000" w:rsidP="00000000" w:rsidRDefault="00000000" w:rsidRPr="00000000" w14:paraId="000000B7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a) gratuidade de ingressos ou ingressos a preços populares;</w:t>
      </w:r>
    </w:p>
    <w:p w:rsidR="00000000" w:rsidDel="00000000" w:rsidP="00000000" w:rsidRDefault="00000000" w:rsidRPr="00000000" w14:paraId="000000B8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b) distribuição gratuita de produtos culturais para escolas públicas, Unidades Básicas de Saúde - UBS, Centro de Atenção Psicossocial - CAPS, Centros de Referência da Assistência Social - CRAS, e demais equipamentos públicos; e</w:t>
      </w:r>
    </w:p>
    <w:p w:rsidR="00000000" w:rsidDel="00000000" w:rsidP="00000000" w:rsidRDefault="00000000" w:rsidRPr="00000000" w14:paraId="000000B9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c) outras estratégias de democratização do acesso.</w:t>
      </w:r>
    </w:p>
    <w:p w:rsidR="00000000" w:rsidDel="00000000" w:rsidP="00000000" w:rsidRDefault="00000000" w:rsidRPr="00000000" w14:paraId="000000B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610.3937007874017" w:tblpY="0"/>
        <w:tblW w:w="11550.0" w:type="dxa"/>
        <w:jc w:val="left"/>
        <w:tblInd w:w="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25"/>
        <w:gridCol w:w="5025"/>
        <w:tblGridChange w:id="0">
          <w:tblGrid>
            <w:gridCol w:w="6525"/>
            <w:gridCol w:w="50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CRITÉRIO DE BONIFICAÇÃO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PONTUAÇÃO ATRIBUÍDA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Nota final de cada Avaliador(a):</w:t>
      </w:r>
    </w:p>
    <w:p w:rsidR="00000000" w:rsidDel="00000000" w:rsidP="00000000" w:rsidRDefault="00000000" w:rsidRPr="00000000" w14:paraId="000000C6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nota final de cada avaliador(a) será obtida a partir da soma do primeiro bloco de avaliação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e, depois, a soma das possíveis bonificações provenientes do segundo bloco.</w:t>
      </w:r>
    </w:p>
    <w:p w:rsidR="00000000" w:rsidDel="00000000" w:rsidP="00000000" w:rsidRDefault="00000000" w:rsidRPr="00000000" w14:paraId="000000C7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Pontuação Final por Avaliador = (Pontuação no Bloco 1)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+ Pontuação Bloco 2 (caso haja)</w:t>
      </w:r>
    </w:p>
    <w:sectPr>
      <w:headerReference r:id="rId7" w:type="default"/>
      <w:footerReference r:id="rId8" w:type="default"/>
      <w:pgSz w:h="16834" w:w="11909" w:orient="portrait"/>
      <w:pgMar w:bottom="1133.8582677165355" w:top="1133.8582677165355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7086600</wp:posOffset>
          </wp:positionH>
          <wp:positionV relativeFrom="paragraph">
            <wp:posOffset>-28573</wp:posOffset>
          </wp:positionV>
          <wp:extent cx="2147226" cy="739375"/>
          <wp:effectExtent b="0" l="0" r="0" t="0"/>
          <wp:wrapNone/>
          <wp:docPr id="9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150079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1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5619750</wp:posOffset>
          </wp:positionH>
          <wp:positionV relativeFrom="paragraph">
            <wp:posOffset>23625</wp:posOffset>
          </wp:positionV>
          <wp:extent cx="1153265" cy="681903"/>
          <wp:effectExtent b="0" l="0" r="0" t="0"/>
          <wp:wrapNone/>
          <wp:docPr descr="Logotipo&#10;&#10;O conteúdo gerado por IA pode estar incorreto." id="7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838200</wp:posOffset>
          </wp:positionH>
          <wp:positionV relativeFrom="paragraph">
            <wp:posOffset>171262</wp:posOffset>
          </wp:positionV>
          <wp:extent cx="2925675" cy="390090"/>
          <wp:effectExtent b="0" l="0" r="0" t="0"/>
          <wp:wrapNone/>
          <wp:docPr id="1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-409574</wp:posOffset>
          </wp:positionH>
          <wp:positionV relativeFrom="paragraph">
            <wp:posOffset>52200</wp:posOffset>
          </wp:positionV>
          <wp:extent cx="1201567" cy="624078"/>
          <wp:effectExtent b="0" l="0" r="0" t="0"/>
          <wp:wrapNone/>
          <wp:docPr descr="Logotipo&#10;&#10;O conteúdo gerado por IA pode estar incorreto." id="13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114112</wp:posOffset>
          </wp:positionV>
          <wp:extent cx="723066" cy="509001"/>
          <wp:effectExtent b="0" l="0" r="0" t="0"/>
          <wp:wrapNone/>
          <wp:docPr descr="Logotipo&#10;&#10;O conteúdo gerado por IA pode estar incorreto." id="10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ind w:hanging="45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-38099</wp:posOffset>
              </wp:positionV>
              <wp:extent cx="1317914" cy="569768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-38099</wp:posOffset>
              </wp:positionV>
              <wp:extent cx="1317914" cy="569768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7914" cy="569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BOb4tCaormGxBNokZtwrOdvl8w==">CgMxLjAi+QIKC0FBQUJrekN4VVhrEsMCCgtBQUFCa3pDeFVYaxILQUFBQmt6Q3hVWGsaDQoJdGV4dC9odG1sEgAiDgoKdGV4dC9wbGFpbhIAKhsiFTExNzcwNDQzNDE4OTAxOTE2ODA3NCgAOAAwxqWSiPgyOPOpkoj4MkqiAQokYXBwbGljYXRpb24vdm5kLmdvb2dsZS1hcHBzLmRvY3MubWRzGnrC19rkAXQScgpuCmhPIE1pbmlzdMOpcmlvIGRhIEN1bHR1cmEgZm9ybmVjZXLDoSwgYW9zIGdvdmVybm9zIGVzdGFkdWFpcywgYSBsaXN0YWdlbSBkZSBtdW5pY8OtcGlvcyBxdWUgbsOjbyBwcmV2aXJhbRABGAEQAVoMMjkzYnB1bmZlbng2cgIgAHgAggEUc3VnZ2VzdC40dzVnb3V1a3dycXCaAQYIABAAGACwAQC4AQAYxqWSiPgyIPOpkoj4MjAAQhRzdWdnZXN0LjR3NWdvdXVrd3JxcDgAaigKFHN1Z2dlc3QuY3gyNnByM3AxcDFjEhBDYXJvbGluYSBGcmVpdGFzaiYKFHN1Z2dlc3QucXA0cDRxeDAyMTRoEg5BZGlsc29uIEp1bmlvcmokChRzdWdnZXN0LnA0a2E3Y3lyczJnYhIMSm/Do28gUG9udGVzaiQKFHN1Z2dlc3QuZ2t3N3FtNGV5cjJ4EgxKb8OjbyBQb250ZXNqJgoUc3VnZ2VzdC5vOXk1OGQyemVkYjQSDkFkaWxzb24gSnVuaW9yaiUKE3N1Z2dlc3QubXZuazZhYXU2aWkSDkFkaWxzb24gSnVuaW9yaiQKFHN1Z2dlc3QuOTMxYTNkbmJpcDBsEgxKb8OjbyBQb250ZXNqKAoUc3VnZ2VzdC5oM205NmQyemY5M3kSEENhcm9saW5hIEZyZWl0YXNqKAoUc3VnZ2VzdC5sbm5xaGUyOHZiMnESEENhcm9saW5hIEZyZWl0YXNqJAoUc3VnZ2VzdC50ajRoOXJjY2xjM20SDEpvw6NvIFBvbnRlc2ooChRzdWdnZXN0Lnl0eDdmZzZlanluORIQQ2Fyb2xpbmEgRnJlaXRhc2ooChRzdWdnZXN0LmlocjV5OXJhdWFheRIQQ2Fyb2xpbmEgRnJlaXRhc2okChRzdWdnZXN0LmRxaXNjZWpmc3QyORIMSm/Do28gUG9udGVzaiQKFHN1Z2dlc3QubnAyMjdkdXpjN253EgxKb8OjbyBQb250ZXNqJAoUc3VnZ2VzdC5jd2pyamJwcndlOTcSDEpvw6NvIFBvbnRlc2okChRzdWdnZXN0LnJpcTQ2Z2l0c3ZrcBIMSm/Do28gUG9udGVzaiQKFHN1Z2dlc3QuNTBtdHE3aXY2MnY4EgxKb8OjbyBQb250ZXNqJgoUc3VnZ2VzdC5kdnBqcmhjdGtodDYSDkFkaWxzb24gSnVuaW9yaiQKFHN1Z2dlc3QuY255M3pqNHZzNXoxEgxKb8OjbyBQb250ZXNqKAoUc3VnZ2VzdC43OG5lemNscmNzYmoSEENhcm9saW5hIEZyZWl0YXNqJAoUc3VnZ2VzdC40dzVnb3V1a3dycXASDEpvw6NvIFBvbnRlc2ooChRzdWdnZXN0LndtcWxmemh6YTU0cBIQQ2Fyb2xpbmEgRnJlaXRhc2ooChRzdWdnZXN0LjZocG5iNHR5ZWZsMRIQQ2Fyb2xpbmEgRnJlaXRhc2ooChRzdWdnZXN0Lmo1MHIybWpjcmdkaRIQQ2Fyb2xpbmEgRnJlaXRhc3IhMWhKN2I2QV9jMndveGlqWGVibzRyajZlU3pGV1dfU3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