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EDITAL PADRONIZADO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color w:val="ff0000"/>
          <w:sz w:val="24"/>
          <w:szCs w:val="24"/>
        </w:rPr>
      </w:pPr>
      <w:r w:rsidDel="00000000" w:rsidR="00000000" w:rsidRPr="00000000">
        <w:rPr>
          <w:rFonts w:ascii="Calibri" w:cs="Calibri" w:eastAsia="Calibri" w:hAnsi="Calibri"/>
          <w:b w:val="1"/>
          <w:sz w:val="24"/>
          <w:szCs w:val="24"/>
          <w:rtl w:val="0"/>
        </w:rPr>
        <w:t xml:space="preserve"> CHAMAMENTO PÚBLI</w:t>
      </w:r>
      <w:r w:rsidDel="00000000" w:rsidR="00000000" w:rsidRPr="00000000">
        <w:rPr>
          <w:rFonts w:ascii="Calibri" w:cs="Calibri" w:eastAsia="Calibri" w:hAnsi="Calibri"/>
          <w:b w:val="1"/>
          <w:sz w:val="24"/>
          <w:szCs w:val="24"/>
          <w:rtl w:val="0"/>
        </w:rPr>
        <w:t xml:space="preserve">CO </w:t>
      </w:r>
      <w:r w:rsidDel="00000000" w:rsidR="00000000" w:rsidRPr="00000000">
        <w:rPr>
          <w:rFonts w:ascii="Calibri" w:cs="Calibri" w:eastAsia="Calibri" w:hAnsi="Calibri"/>
          <w:b w:val="1"/>
          <w:color w:val="ff0000"/>
          <w:sz w:val="24"/>
          <w:szCs w:val="24"/>
          <w:rtl w:val="0"/>
        </w:rPr>
        <w:t xml:space="preserve">(NÚMERO)/2025 (INCLUIR NUMERAÇÃO PRÓPRIA) </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color w:val="ff0000"/>
          <w:sz w:val="24"/>
          <w:szCs w:val="24"/>
        </w:rPr>
      </w:pPr>
      <w:r w:rsidDel="00000000" w:rsidR="00000000" w:rsidRPr="00000000">
        <w:rPr>
          <w:rFonts w:ascii="Calibri" w:cs="Calibri" w:eastAsia="Calibri" w:hAnsi="Calibri"/>
          <w:b w:val="1"/>
          <w:sz w:val="24"/>
          <w:szCs w:val="24"/>
          <w:rtl w:val="0"/>
        </w:rPr>
        <w:t xml:space="preserve">REDE </w:t>
      </w:r>
      <w:r w:rsidDel="00000000" w:rsidR="00000000" w:rsidRPr="00000000">
        <w:rPr>
          <w:rFonts w:ascii="Calibri" w:cs="Calibri" w:eastAsia="Calibri" w:hAnsi="Calibri"/>
          <w:b w:val="1"/>
          <w:color w:val="ff0000"/>
          <w:sz w:val="24"/>
          <w:szCs w:val="24"/>
          <w:rtl w:val="0"/>
        </w:rPr>
        <w:t xml:space="preserve">ESTADUAL/DISTRITAL/MUNICIPAL/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color w:val="ff0000"/>
          <w:sz w:val="24"/>
          <w:szCs w:val="24"/>
        </w:rPr>
      </w:pPr>
      <w:r w:rsidDel="00000000" w:rsidR="00000000" w:rsidRPr="00000000">
        <w:rPr>
          <w:rFonts w:ascii="Calibri" w:cs="Calibri" w:eastAsia="Calibri" w:hAnsi="Calibri"/>
          <w:b w:val="1"/>
          <w:sz w:val="24"/>
          <w:szCs w:val="24"/>
          <w:rtl w:val="0"/>
        </w:rPr>
        <w:t xml:space="preserve">DE PONTOS DE CULTURA DE </w:t>
      </w:r>
      <w:r w:rsidDel="00000000" w:rsidR="00000000" w:rsidRPr="00000000">
        <w:rPr>
          <w:rFonts w:ascii="Calibri" w:cs="Calibri" w:eastAsia="Calibri" w:hAnsi="Calibri"/>
          <w:b w:val="1"/>
          <w:color w:val="ff0000"/>
          <w:sz w:val="24"/>
          <w:szCs w:val="24"/>
          <w:rtl w:val="0"/>
        </w:rPr>
        <w:t xml:space="preserve">(INSERIR UNIDADE DA FEDERAÇÃO - UF) </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CULTURA VIVA DO TAMANHO DO BRASIL!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FOMENTO A PROJETOS CONTINUADOS DE PONTOS DE CULTURA</w:t>
      </w:r>
    </w:p>
    <w:p w:rsidR="00000000" w:rsidDel="00000000" w:rsidP="00000000" w:rsidRDefault="00000000" w:rsidRPr="00000000" w14:paraId="00000008">
      <w:pPr>
        <w:shd w:fill="ffffff" w:val="clea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tabs>
          <w:tab w:val="center" w:leader="none" w:pos="0"/>
        </w:tabs>
        <w:spacing w:after="120" w:before="120" w:line="24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ANEXO 01 - CATEGORIAS E COTAS</w:t>
      </w:r>
    </w:p>
    <w:p w:rsidR="00000000" w:rsidDel="00000000" w:rsidP="00000000" w:rsidRDefault="00000000" w:rsidRPr="00000000" w14:paraId="0000000A">
      <w:pPr>
        <w:tabs>
          <w:tab w:val="center" w:leader="none" w:pos="0"/>
        </w:tabs>
        <w:spacing w:after="12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tabs>
          <w:tab w:val="center" w:leader="none" w:pos="0"/>
        </w:tabs>
        <w:spacing w:after="120"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1. CATEGORIAS</w:t>
      </w:r>
    </w:p>
    <w:p w:rsidR="00000000" w:rsidDel="00000000" w:rsidP="00000000" w:rsidRDefault="00000000" w:rsidRPr="00000000" w14:paraId="0000000C">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tl w:val="0"/>
        </w:rPr>
      </w:r>
    </w:p>
    <w:tbl>
      <w:tblPr>
        <w:tblStyle w:val="Table1"/>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4095"/>
        <w:gridCol w:w="4245"/>
        <w:gridCol w:w="1785"/>
        <w:tblGridChange w:id="0">
          <w:tblGrid>
            <w:gridCol w:w="555"/>
            <w:gridCol w:w="4095"/>
            <w:gridCol w:w="4245"/>
            <w:gridCol w:w="1785"/>
          </w:tblGrid>
        </w:tblGridChange>
      </w:tblGrid>
      <w:tr>
        <w:trPr>
          <w:cantSplit w:val="1"/>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NOME  E DESCRIÇÃO DA CATEGORIA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NÚMERO DE VAGAS PARA CATEGORIA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0">
            <w:pPr>
              <w:widowControl w:val="0"/>
              <w:spacing w:line="240" w:lineRule="auto"/>
              <w:jc w:val="center"/>
              <w:rPr>
                <w:rFonts w:ascii="Calibri" w:cs="Calibri" w:eastAsia="Calibri" w:hAnsi="Calibri"/>
                <w:b w:val="1"/>
                <w:color w:val="ff0000"/>
                <w:sz w:val="24"/>
                <w:szCs w:val="24"/>
                <w:highlight w:val="yellow"/>
              </w:rPr>
            </w:pPr>
            <w:r w:rsidDel="00000000" w:rsidR="00000000" w:rsidRPr="00000000">
              <w:rPr>
                <w:rFonts w:ascii="Calibri" w:cs="Calibri" w:eastAsia="Calibri" w:hAnsi="Calibri"/>
                <w:b w:val="1"/>
                <w:color w:val="ff0000"/>
                <w:sz w:val="24"/>
                <w:szCs w:val="24"/>
                <w:rtl w:val="0"/>
              </w:rPr>
              <w:t xml:space="preserve">VALOR TOTAL DISPONÍVEL POR PROJETO SELECIONADO (R$)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1">
            <w:pPr>
              <w:tabs>
                <w:tab w:val="center" w:leader="none" w:pos="0"/>
              </w:tabs>
              <w:spacing w:after="12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01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2">
            <w:pPr>
              <w:tabs>
                <w:tab w:val="center" w:leader="none" w:pos="0"/>
              </w:tabs>
              <w:spacing w:after="120" w:line="240" w:lineRule="auto"/>
              <w:jc w:val="both"/>
              <w:rPr>
                <w:rFonts w:ascii="Calibri" w:cs="Calibri" w:eastAsia="Calibri" w:hAnsi="Calibri"/>
                <w:b w:val="1"/>
                <w:sz w:val="24"/>
                <w:szCs w:val="24"/>
                <w:shd w:fill="f4cccc" w:val="clea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rPr>
                <w:rFonts w:ascii="Calibri" w:cs="Calibri" w:eastAsia="Calibri" w:hAnsi="Calibri"/>
                <w:color w:val="ff0000"/>
                <w:sz w:val="24"/>
                <w:szCs w:val="24"/>
                <w:shd w:fill="f4cccc" w:val="clea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02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03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r>
    </w:tbl>
    <w:p w:rsidR="00000000" w:rsidDel="00000000" w:rsidP="00000000" w:rsidRDefault="00000000" w:rsidRPr="00000000" w14:paraId="0000001D">
      <w:pPr>
        <w:tabs>
          <w:tab w:val="center" w:leader="none" w:pos="0"/>
        </w:tabs>
        <w:spacing w:after="12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E">
      <w:pPr>
        <w:tabs>
          <w:tab w:val="center" w:leader="none" w:pos="0"/>
        </w:tabs>
        <w:spacing w:after="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COTAS</w:t>
      </w:r>
    </w:p>
    <w:p w:rsidR="00000000" w:rsidDel="00000000" w:rsidP="00000000" w:rsidRDefault="00000000" w:rsidRPr="00000000" w14:paraId="0000001F">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tl w:val="0"/>
        </w:rPr>
      </w:r>
    </w:p>
    <w:tbl>
      <w:tblPr>
        <w:tblStyle w:val="Table2"/>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70"/>
        <w:gridCol w:w="5655"/>
        <w:tblGridChange w:id="0">
          <w:tblGrid>
            <w:gridCol w:w="5070"/>
            <w:gridCol w:w="565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COTA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NÚMERO DE VAGAS MÍNIMAS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pessoas negras (pretas ou pardas)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3">
            <w:pPr>
              <w:widowControl w:val="0"/>
              <w:spacing w:line="24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definir o número absoluto de vagas mínimas - mínimo de 25% (vinte e cinco por cento) das vagas - cota obrigatória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pessoas indígenas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5">
            <w:pPr>
              <w:widowControl w:val="0"/>
              <w:spacing w:line="24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definir o número absoluto de vagas mínimas - mínimo de 10% (dez por cento) das vagas - cota obrigatória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pessoas com deficiência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definir o número absoluto de vagas mínimas - mínimo de 5% (cinco por cento) das vagas - cota obrigatória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9">
            <w:pPr>
              <w:pBdr>
                <w:top w:color="000000" w:space="0" w:sz="0" w:val="none"/>
                <w:bottom w:color="000000" w:space="0" w:sz="0" w:val="none"/>
                <w:right w:color="000000" w:space="0" w:sz="0" w:val="none"/>
                <w:between w:color="000000" w:space="0" w:sz="0" w:val="none"/>
              </w:pBdr>
              <w:spacing w:after="120" w:before="120" w:lineRule="auto"/>
              <w:ind w:left="0" w:firstLine="0"/>
              <w:rPr>
                <w:rFonts w:ascii="Calibri" w:cs="Calibri" w:eastAsia="Calibri" w:hAnsi="Calibri"/>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A">
            <w:pPr>
              <w:tabs>
                <w:tab w:val="center" w:leader="none" w:pos="0"/>
              </w:tabs>
              <w:spacing w:after="120" w:line="240" w:lineRule="auto"/>
              <w:jc w:val="both"/>
              <w:rPr>
                <w:rFonts w:ascii="Calibri" w:cs="Calibri" w:eastAsia="Calibri" w:hAnsi="Calibri"/>
                <w:b w:val="1"/>
                <w:color w:val="ff0000"/>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B">
            <w:pPr>
              <w:widowControl w:val="0"/>
              <w:spacing w:line="240" w:lineRule="auto"/>
              <w:rPr>
                <w:rFonts w:ascii="Calibri" w:cs="Calibri" w:eastAsia="Calibri" w:hAnsi="Calibri"/>
                <w:color w:val="ff0000"/>
                <w:sz w:val="24"/>
                <w:szCs w:val="24"/>
              </w:rPr>
            </w:pPr>
            <w:r w:rsidDel="00000000" w:rsidR="00000000" w:rsidRPr="00000000">
              <w:rPr>
                <w:rtl w:val="0"/>
              </w:rPr>
            </w:r>
          </w:p>
        </w:tc>
      </w:tr>
    </w:tbl>
    <w:p w:rsidR="00000000" w:rsidDel="00000000" w:rsidP="00000000" w:rsidRDefault="00000000" w:rsidRPr="00000000" w14:paraId="0000002C">
      <w:pPr>
        <w:tabs>
          <w:tab w:val="center" w:leader="none" w:pos="0"/>
        </w:tabs>
        <w:spacing w:line="240" w:lineRule="auto"/>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br w:type="textWrapping"/>
        <w:br w:type="textWrapping"/>
        <w:br w:type="textWrapping"/>
        <w:br w:type="textWrapping"/>
        <w:t xml:space="preserve">* As cotas mínimas para pessoas negras (pretas ou pardas), pessoas indígenas e pessoas com deficiência seguem o previsto no Capítulo II da Instrução Normativa MinC nº 10, de 28 de dezembro de 2023, que dispõe sobre as regras e os procedimentos para implementação das ações afirmativas e medidas de acessibilidade de que trata o Decreto nº 11.740, de 18 de outubro de 2023, que regulamenta a Lei nº 14.399, de 08 de julho de 2022, a qual institui a Política Nacional Aldir Blanc de Fomento à Cultura.</w:t>
      </w:r>
    </w:p>
    <w:p w:rsidR="00000000" w:rsidDel="00000000" w:rsidP="00000000" w:rsidRDefault="00000000" w:rsidRPr="00000000" w14:paraId="0000002D">
      <w:pPr>
        <w:tabs>
          <w:tab w:val="center" w:leader="none" w:pos="0"/>
        </w:tabs>
        <w:spacing w:line="240" w:lineRule="auto"/>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2E">
      <w:pPr>
        <w:tabs>
          <w:tab w:val="center" w:leader="none" w:pos="0"/>
        </w:tabs>
        <w:spacing w:line="240" w:lineRule="auto"/>
        <w:ind w:left="0" w:firstLine="0"/>
        <w:jc w:val="center"/>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2F">
      <w:pPr>
        <w:tabs>
          <w:tab w:val="center" w:leader="none" w:pos="0"/>
        </w:tabs>
        <w:spacing w:line="240" w:lineRule="auto"/>
        <w:ind w:left="0" w:firstLine="0"/>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ORIENTAÇÕES PARA DEFINIR CATEGORIAS E COTAS</w:t>
      </w:r>
    </w:p>
    <w:p w:rsidR="00000000" w:rsidDel="00000000" w:rsidP="00000000" w:rsidRDefault="00000000" w:rsidRPr="00000000" w14:paraId="00000030">
      <w:pPr>
        <w:tabs>
          <w:tab w:val="center" w:leader="none" w:pos="0"/>
        </w:tabs>
        <w:spacing w:line="240" w:lineRule="auto"/>
        <w:ind w:left="0" w:firstLine="0"/>
        <w:jc w:val="both"/>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31">
      <w:pPr>
        <w:tabs>
          <w:tab w:val="center" w:leader="none" w:pos="0"/>
        </w:tabs>
        <w:spacing w:line="240" w:lineRule="auto"/>
        <w:ind w:left="0" w:firstLine="0"/>
        <w:jc w:val="both"/>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CATEGORIAS:</w:t>
      </w:r>
    </w:p>
    <w:p w:rsidR="00000000" w:rsidDel="00000000" w:rsidP="00000000" w:rsidRDefault="00000000" w:rsidRPr="00000000" w14:paraId="00000032">
      <w:pPr>
        <w:tabs>
          <w:tab w:val="center" w:leader="none" w:pos="0"/>
        </w:tabs>
        <w:spacing w:line="240" w:lineRule="auto"/>
        <w:ind w:left="720" w:firstLine="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33">
      <w:pPr>
        <w:numPr>
          <w:ilvl w:val="0"/>
          <w:numId w:val="1"/>
        </w:numPr>
        <w:tabs>
          <w:tab w:val="center" w:leader="none" w:pos="0"/>
        </w:tabs>
        <w:spacing w:line="240" w:lineRule="auto"/>
        <w:ind w:left="720" w:hanging="360"/>
        <w:jc w:val="both"/>
        <w:rPr>
          <w:color w:val="ff0000"/>
          <w:sz w:val="20"/>
          <w:szCs w:val="20"/>
        </w:rPr>
      </w:pPr>
      <w:r w:rsidDel="00000000" w:rsidR="00000000" w:rsidRPr="00000000">
        <w:rPr>
          <w:rFonts w:ascii="Calibri" w:cs="Calibri" w:eastAsia="Calibri" w:hAnsi="Calibri"/>
          <w:color w:val="ff0000"/>
          <w:rtl w:val="0"/>
        </w:rPr>
        <w:t xml:space="preserve">O Ente Federativo poderá definir categorias e valores específicos, com valores anuais mínimos de R$90.000,00 (noventa mil reais) e máximos de R$300.000,00 (trezentos mil reais), no quantitativo que julgar pertinente (inclusive, não definir categorias), desde que mantidos os princípios, diretrizes e objetivos da PNCV e da  PNAB. A adoção de quaisquer categorias deverá ser justificada nos relatórios de monitoramento da implementação da PNAB;</w:t>
      </w:r>
    </w:p>
    <w:p w:rsidR="00000000" w:rsidDel="00000000" w:rsidP="00000000" w:rsidRDefault="00000000" w:rsidRPr="00000000" w14:paraId="00000034">
      <w:pPr>
        <w:numPr>
          <w:ilvl w:val="0"/>
          <w:numId w:val="1"/>
        </w:numPr>
        <w:tabs>
          <w:tab w:val="center" w:leader="none" w:pos="0"/>
        </w:tabs>
        <w:spacing w:line="240" w:lineRule="auto"/>
        <w:ind w:left="720" w:hanging="360"/>
        <w:jc w:val="both"/>
        <w:rPr>
          <w:color w:val="ff0000"/>
          <w:sz w:val="20"/>
          <w:szCs w:val="20"/>
        </w:rPr>
      </w:pPr>
      <w:r w:rsidDel="00000000" w:rsidR="00000000" w:rsidRPr="00000000">
        <w:rPr>
          <w:rFonts w:ascii="Calibri" w:cs="Calibri" w:eastAsia="Calibri" w:hAnsi="Calibri"/>
          <w:color w:val="ff0000"/>
          <w:rtl w:val="0"/>
        </w:rPr>
        <w:t xml:space="preserve">Deverão ser selecionados, no mínimo, 30% (trinta por cento) de projetos apresentados por entidades com trajetória declarada e comprovadamente ligadas às culturas populares e tradicionais, e que tenham seus planos de trabalho também com ações voltadas ao segmento. Este percentual pode ser composto junto às vagas destinadas às cotas </w:t>
      </w:r>
      <w:r w:rsidDel="00000000" w:rsidR="00000000" w:rsidRPr="00000000">
        <w:rPr>
          <w:rFonts w:ascii="Calibri" w:cs="Calibri" w:eastAsia="Calibri" w:hAnsi="Calibri"/>
          <w:color w:val="ff0000"/>
          <w:rtl w:val="0"/>
        </w:rPr>
        <w:t xml:space="preserve">(ou seja, não precisam ser somadas às vagas destinadas às cotas para pessoas negras, indígenas e com deficiência, podendo haver interseção entre estas e as destinadas às culturas populares e tradicionais)</w:t>
      </w:r>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35">
      <w:pPr>
        <w:numPr>
          <w:ilvl w:val="0"/>
          <w:numId w:val="1"/>
        </w:numPr>
        <w:tabs>
          <w:tab w:val="center" w:leader="none" w:pos="0"/>
        </w:tabs>
        <w:spacing w:line="240" w:lineRule="auto"/>
        <w:ind w:left="720" w:hanging="360"/>
        <w:jc w:val="both"/>
        <w:rPr>
          <w:color w:val="ff0000"/>
          <w:sz w:val="20"/>
          <w:szCs w:val="20"/>
        </w:rPr>
      </w:pPr>
      <w:r w:rsidDel="00000000" w:rsidR="00000000" w:rsidRPr="00000000">
        <w:rPr>
          <w:rFonts w:ascii="Calibri" w:cs="Calibri" w:eastAsia="Calibri" w:hAnsi="Calibri"/>
          <w:color w:val="ff0000"/>
          <w:rtl w:val="0"/>
        </w:rPr>
        <w:t xml:space="preserve">No mínimo, 30% das vagas deverão ser destinadas à ampla concorrência, sem incidência de categorias. A exceção é para o caso de definição de cotas territoriais/regionais, que abranjam toda a área de abrangência do estado/DF/municípios e permitam a livre concorrência;</w:t>
      </w:r>
    </w:p>
    <w:p w:rsidR="00000000" w:rsidDel="00000000" w:rsidP="00000000" w:rsidRDefault="00000000" w:rsidRPr="00000000" w14:paraId="00000036">
      <w:pPr>
        <w:numPr>
          <w:ilvl w:val="0"/>
          <w:numId w:val="1"/>
        </w:numPr>
        <w:tabs>
          <w:tab w:val="center" w:leader="none" w:pos="0"/>
        </w:tabs>
        <w:spacing w:line="240" w:lineRule="auto"/>
        <w:ind w:left="720" w:hanging="36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Visando à desconcentração territorial e à regionalização, os Entes Federativos devem estar atentos ao previsto no Capítulo VI da Instrução Normativa MinC nº 10, de 28 de dezembro de 2023, que dispõe sobre as regras e os procedimentos para implementação das ações afirmativas e medidas de acessibilidade de que trata o Decreto nº 11.740, de 18 de outubro de 2023, que regulamenta a Lei nº 14.399, de 08 de julho de 2022, a qual institui a Política Nacional Aldir Blanc de Fomento à Cultura. Em especial, destaca-se:</w:t>
      </w:r>
    </w:p>
    <w:p w:rsidR="00000000" w:rsidDel="00000000" w:rsidP="00000000" w:rsidRDefault="00000000" w:rsidRPr="00000000" w14:paraId="00000037">
      <w:pPr>
        <w:tabs>
          <w:tab w:val="center" w:leader="none" w:pos="0"/>
        </w:tabs>
        <w:spacing w:line="240" w:lineRule="auto"/>
        <w:ind w:left="1440" w:firstLine="0"/>
        <w:jc w:val="both"/>
        <w:rPr>
          <w:rFonts w:ascii="Calibri" w:cs="Calibri" w:eastAsia="Calibri" w:hAnsi="Calibri"/>
          <w:i w:val="1"/>
          <w:color w:val="ff0000"/>
          <w:sz w:val="24"/>
          <w:szCs w:val="24"/>
        </w:rPr>
      </w:pPr>
      <w:r w:rsidDel="00000000" w:rsidR="00000000" w:rsidRPr="00000000">
        <w:rPr>
          <w:rtl w:val="0"/>
        </w:rPr>
      </w:r>
    </w:p>
    <w:p w:rsidR="00000000" w:rsidDel="00000000" w:rsidP="00000000" w:rsidRDefault="00000000" w:rsidRPr="00000000" w14:paraId="00000038">
      <w:pPr>
        <w:tabs>
          <w:tab w:val="center" w:leader="none" w:pos="0"/>
        </w:tabs>
        <w:spacing w:line="240" w:lineRule="auto"/>
        <w:ind w:left="144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CAPÍTULO VI - DAS MEDIDAS DE DESCONCENTRAÇÃO TERRITORIAL E REGIONALIZAÇÃO</w:t>
      </w:r>
    </w:p>
    <w:p w:rsidR="00000000" w:rsidDel="00000000" w:rsidP="00000000" w:rsidRDefault="00000000" w:rsidRPr="00000000" w14:paraId="00000039">
      <w:pPr>
        <w:tabs>
          <w:tab w:val="center" w:leader="none" w:pos="0"/>
        </w:tabs>
        <w:spacing w:line="240" w:lineRule="auto"/>
        <w:ind w:left="144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Art. 15. Os entes deverão instituir mecanismos de desconcentração territorial e regionalização dos recursos, inclusive com vistas à implementação do percentual de 20% (vinte por cento) de que trata o art. 6º, II, da PNAB, em ações de incentivo direto a programas, a projetos e a ações de democratização do acesso à fruição e à produção artística e cultural em áreas periféricas, urbanas e rurais, e em territórios e regiões de maior vulnerabilidade econômica ou social, bem como em áreas de povos e comunidades tradicionais, quais sejam:</w:t>
      </w:r>
    </w:p>
    <w:p w:rsidR="00000000" w:rsidDel="00000000" w:rsidP="00000000" w:rsidRDefault="00000000" w:rsidRPr="00000000" w14:paraId="0000003A">
      <w:pPr>
        <w:tabs>
          <w:tab w:val="center" w:leader="none" w:pos="0"/>
        </w:tabs>
        <w:spacing w:line="240" w:lineRule="auto"/>
        <w:ind w:left="144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I - regiões periféricas;</w:t>
      </w:r>
    </w:p>
    <w:p w:rsidR="00000000" w:rsidDel="00000000" w:rsidP="00000000" w:rsidRDefault="00000000" w:rsidRPr="00000000" w14:paraId="0000003B">
      <w:pPr>
        <w:tabs>
          <w:tab w:val="center" w:leader="none" w:pos="0"/>
        </w:tabs>
        <w:spacing w:line="240" w:lineRule="auto"/>
        <w:ind w:left="144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II - regiões com menor Índice de Desenvolvimento Humano - IDH;</w:t>
      </w:r>
    </w:p>
    <w:p w:rsidR="00000000" w:rsidDel="00000000" w:rsidP="00000000" w:rsidRDefault="00000000" w:rsidRPr="00000000" w14:paraId="0000003C">
      <w:pPr>
        <w:tabs>
          <w:tab w:val="center" w:leader="none" w:pos="0"/>
        </w:tabs>
        <w:spacing w:line="240" w:lineRule="auto"/>
        <w:ind w:left="144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III - regiões onde são localizados conjuntos e empreendimentos habitacionais, e programas habitacionais de interesse social, promovidos por programas do governo federal ou local;</w:t>
      </w:r>
    </w:p>
    <w:p w:rsidR="00000000" w:rsidDel="00000000" w:rsidP="00000000" w:rsidRDefault="00000000" w:rsidRPr="00000000" w14:paraId="0000003D">
      <w:pPr>
        <w:tabs>
          <w:tab w:val="center" w:leader="none" w:pos="0"/>
        </w:tabs>
        <w:spacing w:line="240" w:lineRule="auto"/>
        <w:ind w:left="144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IV - assentamentos e acampamentos;</w:t>
      </w:r>
    </w:p>
    <w:p w:rsidR="00000000" w:rsidDel="00000000" w:rsidP="00000000" w:rsidRDefault="00000000" w:rsidRPr="00000000" w14:paraId="0000003E">
      <w:pPr>
        <w:tabs>
          <w:tab w:val="center" w:leader="none" w:pos="0"/>
        </w:tabs>
        <w:spacing w:line="240" w:lineRule="auto"/>
        <w:ind w:left="144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V - regiões com menor presença de espaços e equipamentos culturais públicos;</w:t>
      </w:r>
    </w:p>
    <w:p w:rsidR="00000000" w:rsidDel="00000000" w:rsidP="00000000" w:rsidRDefault="00000000" w:rsidRPr="00000000" w14:paraId="0000003F">
      <w:pPr>
        <w:tabs>
          <w:tab w:val="center" w:leader="none" w:pos="0"/>
        </w:tabs>
        <w:spacing w:line="240" w:lineRule="auto"/>
        <w:ind w:left="144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VI - regiões com menor histórico de acesso aos recursos da política pública de cultura;</w:t>
      </w:r>
    </w:p>
    <w:p w:rsidR="00000000" w:rsidDel="00000000" w:rsidP="00000000" w:rsidRDefault="00000000" w:rsidRPr="00000000" w14:paraId="00000040">
      <w:pPr>
        <w:tabs>
          <w:tab w:val="center" w:leader="none" w:pos="0"/>
        </w:tabs>
        <w:spacing w:line="240" w:lineRule="auto"/>
        <w:ind w:left="144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VII - zonas especiais de interesse social; VIII - áreas atingidas por desastres naturais;</w:t>
      </w:r>
    </w:p>
    <w:p w:rsidR="00000000" w:rsidDel="00000000" w:rsidP="00000000" w:rsidRDefault="00000000" w:rsidRPr="00000000" w14:paraId="00000041">
      <w:pPr>
        <w:tabs>
          <w:tab w:val="center" w:leader="none" w:pos="0"/>
        </w:tabs>
        <w:spacing w:line="240" w:lineRule="auto"/>
        <w:ind w:left="144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IX - territórios quilombolas;</w:t>
      </w:r>
    </w:p>
    <w:p w:rsidR="00000000" w:rsidDel="00000000" w:rsidP="00000000" w:rsidRDefault="00000000" w:rsidRPr="00000000" w14:paraId="00000042">
      <w:pPr>
        <w:tabs>
          <w:tab w:val="center" w:leader="none" w:pos="0"/>
        </w:tabs>
        <w:spacing w:line="240" w:lineRule="auto"/>
        <w:ind w:left="144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X - territórios indígenas;</w:t>
      </w:r>
    </w:p>
    <w:p w:rsidR="00000000" w:rsidDel="00000000" w:rsidP="00000000" w:rsidRDefault="00000000" w:rsidRPr="00000000" w14:paraId="00000043">
      <w:pPr>
        <w:tabs>
          <w:tab w:val="center" w:leader="none" w:pos="0"/>
        </w:tabs>
        <w:spacing w:line="240" w:lineRule="auto"/>
        <w:ind w:left="144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XI - territórios rurais;</w:t>
      </w:r>
    </w:p>
    <w:p w:rsidR="00000000" w:rsidDel="00000000" w:rsidP="00000000" w:rsidRDefault="00000000" w:rsidRPr="00000000" w14:paraId="00000044">
      <w:pPr>
        <w:tabs>
          <w:tab w:val="center" w:leader="none" w:pos="0"/>
        </w:tabs>
        <w:spacing w:line="240" w:lineRule="auto"/>
        <w:ind w:left="144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XII - espaços comunitários de convivência, acolhimento e alimentação; e</w:t>
      </w:r>
    </w:p>
    <w:p w:rsidR="00000000" w:rsidDel="00000000" w:rsidP="00000000" w:rsidRDefault="00000000" w:rsidRPr="00000000" w14:paraId="00000045">
      <w:pPr>
        <w:tabs>
          <w:tab w:val="center" w:leader="none" w:pos="0"/>
        </w:tabs>
        <w:spacing w:line="240" w:lineRule="auto"/>
        <w:ind w:left="144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XIII - demais regiões que sejam habitadas por pessoas em situação de vulnerabilidade econômica ou social.</w:t>
        <w:br w:type="textWrapping"/>
      </w:r>
    </w:p>
    <w:p w:rsidR="00000000" w:rsidDel="00000000" w:rsidP="00000000" w:rsidRDefault="00000000" w:rsidRPr="00000000" w14:paraId="00000046">
      <w:pPr>
        <w:tabs>
          <w:tab w:val="center" w:leader="none" w:pos="0"/>
        </w:tabs>
        <w:spacing w:line="240" w:lineRule="auto"/>
        <w:ind w:left="144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 1º As ações afirmativas de que tratam o caput podem ser empregadas quando os projetos são realizados nos territórios e regiões ou quando são propostos por agentes culturais nelas residentes.</w:t>
      </w:r>
    </w:p>
    <w:p w:rsidR="00000000" w:rsidDel="00000000" w:rsidP="00000000" w:rsidRDefault="00000000" w:rsidRPr="00000000" w14:paraId="00000047">
      <w:pPr>
        <w:tabs>
          <w:tab w:val="center" w:leader="none" w:pos="0"/>
        </w:tabs>
        <w:spacing w:line="240" w:lineRule="auto"/>
        <w:ind w:left="1440" w:firstLine="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 2º Para fins de aferição do percentual estabelecido no art. 6º, II, da PNAB, serão consideradas apenas as ações e projetos realizados nos territórios e regiões de que tratam este artigo.”</w:t>
      </w:r>
    </w:p>
    <w:p w:rsidR="00000000" w:rsidDel="00000000" w:rsidP="00000000" w:rsidRDefault="00000000" w:rsidRPr="00000000" w14:paraId="00000048">
      <w:pPr>
        <w:tabs>
          <w:tab w:val="center" w:leader="none" w:pos="0"/>
        </w:tabs>
        <w:spacing w:after="120" w:line="240" w:lineRule="auto"/>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49">
      <w:pPr>
        <w:tabs>
          <w:tab w:val="center" w:leader="none" w:pos="0"/>
        </w:tabs>
        <w:spacing w:after="120" w:line="240" w:lineRule="auto"/>
        <w:jc w:val="both"/>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COTAS:</w:t>
      </w:r>
    </w:p>
    <w:p w:rsidR="00000000" w:rsidDel="00000000" w:rsidP="00000000" w:rsidRDefault="00000000" w:rsidRPr="00000000" w14:paraId="0000004A">
      <w:pPr>
        <w:numPr>
          <w:ilvl w:val="0"/>
          <w:numId w:val="2"/>
        </w:numPr>
        <w:tabs>
          <w:tab w:val="center" w:leader="none" w:pos="0"/>
        </w:tabs>
        <w:spacing w:line="240" w:lineRule="auto"/>
        <w:ind w:left="720" w:hanging="36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A</w:t>
      </w:r>
      <w:r w:rsidDel="00000000" w:rsidR="00000000" w:rsidRPr="00000000">
        <w:rPr>
          <w:rFonts w:ascii="Calibri" w:cs="Calibri" w:eastAsia="Calibri" w:hAnsi="Calibri"/>
          <w:color w:val="ff0000"/>
          <w:rtl w:val="0"/>
        </w:rPr>
        <w:t xml:space="preserve">lém das cotas obrigatórias, o Ente Federativo poderá definir cotas específicas, no quantitativo que julgar pertinente, desde que mantidos os princípios, diretrizes e objetivos da PNCV e da PNAB. A adoção de quaisquer cotas deverá ser justificada nos relatórios de monitoramento da implementação da PNAB.</w:t>
      </w:r>
    </w:p>
    <w:p w:rsidR="00000000" w:rsidDel="00000000" w:rsidP="00000000" w:rsidRDefault="00000000" w:rsidRPr="00000000" w14:paraId="0000004B">
      <w:pPr>
        <w:tabs>
          <w:tab w:val="center" w:leader="none" w:pos="0"/>
        </w:tabs>
        <w:spacing w:line="240" w:lineRule="auto"/>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4C">
      <w:pPr>
        <w:numPr>
          <w:ilvl w:val="0"/>
          <w:numId w:val="2"/>
        </w:numPr>
        <w:tabs>
          <w:tab w:val="center" w:leader="none" w:pos="0"/>
        </w:tabs>
        <w:spacing w:line="240" w:lineRule="auto"/>
        <w:ind w:left="720" w:hanging="36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O Ente Federativo deverá considerar o conjunto de regramentos previstos na referida IN. Em especial, destaca-se:</w:t>
      </w:r>
    </w:p>
    <w:p w:rsidR="00000000" w:rsidDel="00000000" w:rsidP="00000000" w:rsidRDefault="00000000" w:rsidRPr="00000000" w14:paraId="0000004D">
      <w:pPr>
        <w:tabs>
          <w:tab w:val="center" w:leader="none" w:pos="0"/>
        </w:tabs>
        <w:spacing w:line="240" w:lineRule="auto"/>
        <w:jc w:val="both"/>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04E">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CAPÍTULO II - DAS POLÍTICAS DE COTAS OU RESERVA DE VAGAS</w:t>
      </w:r>
    </w:p>
    <w:p w:rsidR="00000000" w:rsidDel="00000000" w:rsidP="00000000" w:rsidRDefault="00000000" w:rsidRPr="00000000" w14:paraId="0000004F">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Art. 5º A política de cotas tem como objeto garantir a reserva de um percentual mínimo de vagas a grupos específicos, sendo aplicáveis aos procedimentos públicos de seleção de que trata a Lei nº 14.399, de 2022.</w:t>
      </w:r>
    </w:p>
    <w:p w:rsidR="00000000" w:rsidDel="00000000" w:rsidP="00000000" w:rsidRDefault="00000000" w:rsidRPr="00000000" w14:paraId="00000050">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Art. 6º Ficam garantidas cotas em todos os editais de fomento realizados com recursos da Lei nº 14.399, de 2022, de no mínimo:</w:t>
      </w:r>
    </w:p>
    <w:p w:rsidR="00000000" w:rsidDel="00000000" w:rsidP="00000000" w:rsidRDefault="00000000" w:rsidRPr="00000000" w14:paraId="00000051">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I - vinte e cinco por cento das vagas para pessoas negras (pretas ou pardas);</w:t>
      </w:r>
    </w:p>
    <w:p w:rsidR="00000000" w:rsidDel="00000000" w:rsidP="00000000" w:rsidRDefault="00000000" w:rsidRPr="00000000" w14:paraId="00000052">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II - dez por cento das vagas para pessoas indígenas; e</w:t>
      </w:r>
    </w:p>
    <w:p w:rsidR="00000000" w:rsidDel="00000000" w:rsidP="00000000" w:rsidRDefault="00000000" w:rsidRPr="00000000" w14:paraId="00000053">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III - cinco por cento para pessoas com deficiência.</w:t>
      </w:r>
    </w:p>
    <w:p w:rsidR="00000000" w:rsidDel="00000000" w:rsidP="00000000" w:rsidRDefault="00000000" w:rsidRPr="00000000" w14:paraId="00000054">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 1º O percentual de que trata este artigo pode ser ampliado considerando legislações locais mais benéficas ao público-alvo da ação afirmativa e o quantitativo de pessoas negras, indígenas, e pessoas com deficiência na região.</w:t>
      </w:r>
    </w:p>
    <w:p w:rsidR="00000000" w:rsidDel="00000000" w:rsidP="00000000" w:rsidRDefault="00000000" w:rsidRPr="00000000" w14:paraId="00000055">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p>
    <w:p w:rsidR="00000000" w:rsidDel="00000000" w:rsidP="00000000" w:rsidRDefault="00000000" w:rsidRPr="00000000" w14:paraId="00000056">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 3º Em caso de editais divididos em categorias, devem ser estabelecidas cotas em todas elas, ressalvados os casos de impossibilidade fática, no qual o percentual mínimo de reserva será aplicado ao total das vagas do edital.</w:t>
      </w:r>
    </w:p>
    <w:p w:rsidR="00000000" w:rsidDel="00000000" w:rsidP="00000000" w:rsidRDefault="00000000" w:rsidRPr="00000000" w14:paraId="00000057">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cinco por cento a pessoas com deficiência. (retificação publicada no DOU de 10/01/2024)</w:t>
      </w:r>
    </w:p>
    <w:p w:rsidR="00000000" w:rsidDel="00000000" w:rsidP="00000000" w:rsidRDefault="00000000" w:rsidRPr="00000000" w14:paraId="00000058">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 5º Nos casos de editais específicos de que trata o art. 14, o estabelecimento de cotas para pessoas negras e indígenas pode ser dispensado, caso o edital seja integralmente direcionado a proponentes de grupos étnico-raciais público-alvo de ações afirmativas.</w:t>
      </w:r>
    </w:p>
    <w:p w:rsidR="00000000" w:rsidDel="00000000" w:rsidP="00000000" w:rsidRDefault="00000000" w:rsidRPr="00000000" w14:paraId="00000059">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 6º As cotas previstas neste artigo podem ser implementadas juntamente com:</w:t>
      </w:r>
    </w:p>
    <w:p w:rsidR="00000000" w:rsidDel="00000000" w:rsidP="00000000" w:rsidRDefault="00000000" w:rsidRPr="00000000" w14:paraId="0000005A">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I - cotas para outros grupos sociais e;</w:t>
      </w:r>
    </w:p>
    <w:p w:rsidR="00000000" w:rsidDel="00000000" w:rsidP="00000000" w:rsidRDefault="00000000" w:rsidRPr="00000000" w14:paraId="0000005B">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II - outras ações afirmativas, tais como editais específicos e critérios diferenciados de pontuação.</w:t>
      </w:r>
    </w:p>
    <w:p w:rsidR="00000000" w:rsidDel="00000000" w:rsidP="00000000" w:rsidRDefault="00000000" w:rsidRPr="00000000" w14:paraId="0000005C">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Art. 7º Os agentes culturais que optarem por concorrer às cotas concorrerão concomitantemente às vagas destinadas à ampla concorrência, de acordo com a sua classificação no processo.</w:t>
      </w:r>
    </w:p>
    <w:p w:rsidR="00000000" w:rsidDel="00000000" w:rsidP="00000000" w:rsidRDefault="00000000" w:rsidRPr="00000000" w14:paraId="0000005D">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 1º As pessoas que optarem pelas cotas e atingirem nota suficiente para se classificar no número de vagas oferecidas para ampla concorrência não ocuparão as vagas destinadas para o preenchimento das cotas.</w:t>
      </w:r>
    </w:p>
    <w:p w:rsidR="00000000" w:rsidDel="00000000" w:rsidP="00000000" w:rsidRDefault="00000000" w:rsidRPr="00000000" w14:paraId="0000005E">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 2º Em caso de desistência de optantes aprovados nas cotas, a vaga não preenchida deverá ser ocupada por pessoa que concorreu às cotas de acordo com a ordem de classificação.</w:t>
      </w:r>
    </w:p>
    <w:p w:rsidR="00000000" w:rsidDel="00000000" w:rsidP="00000000" w:rsidRDefault="00000000" w:rsidRPr="00000000" w14:paraId="0000005F">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 3º No caso de não existirem propostas aptas em número suficiente para o cumprimento de uma das categorias de cotas previstas na seleção, o número de vagas restantes deverá ser destinado inicialmente para a outra categoria de cotas.</w:t>
      </w:r>
    </w:p>
    <w:p w:rsidR="00000000" w:rsidDel="00000000" w:rsidP="00000000" w:rsidRDefault="00000000" w:rsidRPr="00000000" w14:paraId="00000060">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 4º Caso não haja outra categoria de cotas de que trata o §3º, as vagas não preenchidas deverão ser direcionadas para a ampla concorrência, sendo os demais candidatos selecionados de acordo com a ordem de classificação.</w:t>
      </w:r>
    </w:p>
    <w:p w:rsidR="00000000" w:rsidDel="00000000" w:rsidP="00000000" w:rsidRDefault="00000000" w:rsidRPr="00000000" w14:paraId="00000061">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Art. 8º Para concorrer às cotas, os agentes culturais deverão autodeclarar-se no ato de inscrição, conforme modelos constantes nos Anexo I e II, ou outro modelo disponibilizado pelo ente federativo.</w:t>
        <w:br w:type="textWrapping"/>
      </w:r>
    </w:p>
    <w:p w:rsidR="00000000" w:rsidDel="00000000" w:rsidP="00000000" w:rsidRDefault="00000000" w:rsidRPr="00000000" w14:paraId="00000062">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Parágrafo único. A autodeclaração poderá ser apresentada por escrito, em vídeo, áudio, em Libras, ou em outros formatos acessíveis.</w:t>
      </w:r>
    </w:p>
    <w:p w:rsidR="00000000" w:rsidDel="00000000" w:rsidP="00000000" w:rsidRDefault="00000000" w:rsidRPr="00000000" w14:paraId="00000063">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Art. 9º A autodeclaração do agente cultural goza de presunção de veracidade, podendo os Entes Federativos estabelecer em editais procedimentos complementares, tais como:</w:t>
      </w:r>
    </w:p>
    <w:p w:rsidR="00000000" w:rsidDel="00000000" w:rsidP="00000000" w:rsidRDefault="00000000" w:rsidRPr="00000000" w14:paraId="00000064">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I - heteroidentificação: procedimento complementar à autodeclaração de pertencimento racial, para confirmação, por terceiros, da identificação como pessoa negra (preta ou parda) de acordo com seu fenótipo, isto é, conforme suas características físicas;</w:t>
      </w:r>
    </w:p>
    <w:p w:rsidR="00000000" w:rsidDel="00000000" w:rsidP="00000000" w:rsidRDefault="00000000" w:rsidRPr="00000000" w14:paraId="00000065">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II - solicitação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III;</w:t>
      </w:r>
    </w:p>
    <w:p w:rsidR="00000000" w:rsidDel="00000000" w:rsidP="00000000" w:rsidRDefault="00000000" w:rsidRPr="00000000" w14:paraId="00000066">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III -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p>
    <w:p w:rsidR="00000000" w:rsidDel="00000000" w:rsidP="00000000" w:rsidRDefault="00000000" w:rsidRPr="00000000" w14:paraId="00000067">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IV - procedimento de avaliação biopsicossocial realizada nos termos do § 1º do art. 2º da Lei nº 13.146, de 2015, solicitação de documentos como laudo médico, Certificado da Pessoa com Deficiência ou comprovante de recebimento de Benefício de Prestação Continuada à Pessoa com Deficiência; ou</w:t>
      </w:r>
    </w:p>
    <w:p w:rsidR="00000000" w:rsidDel="00000000" w:rsidP="00000000" w:rsidRDefault="00000000" w:rsidRPr="00000000" w14:paraId="00000068">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V - outras estratégias com vistas a garantir que as cotas sejam destinadas a pessoas negras, indígenas ou com deficiência.</w:t>
      </w:r>
    </w:p>
    <w:p w:rsidR="00000000" w:rsidDel="00000000" w:rsidP="00000000" w:rsidRDefault="00000000" w:rsidRPr="00000000" w14:paraId="00000069">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tl w:val="0"/>
        </w:rPr>
      </w:r>
    </w:p>
    <w:sectPr>
      <w:headerReference r:id="rId7" w:type="default"/>
      <w:footerReference r:id="rId8" w:type="default"/>
      <w:pgSz w:h="16834" w:w="11909" w:orient="portrait"/>
      <w:pgMar w:bottom="1133.8582677165355" w:top="1133.8582677165355"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4581525</wp:posOffset>
          </wp:positionH>
          <wp:positionV relativeFrom="paragraph">
            <wp:posOffset>23625</wp:posOffset>
          </wp:positionV>
          <wp:extent cx="882015" cy="739140"/>
          <wp:effectExtent b="0" l="0" r="0" t="0"/>
          <wp:wrapNone/>
          <wp:docPr descr="Fundo preto com letras brancas&#10;&#10;O conteúdo gerado por IA pode estar incorreto." id="7" name="image3.png"/>
          <a:graphic>
            <a:graphicData uri="http://schemas.openxmlformats.org/drawingml/2006/picture">
              <pic:pic>
                <pic:nvPicPr>
                  <pic:cNvPr descr="Fundo preto com letras brancas&#10;&#10;O conteúdo gerado por IA pode estar incorreto." id="0" name="image3.png"/>
                  <pic:cNvPicPr preferRelativeResize="0"/>
                </pic:nvPicPr>
                <pic:blipFill>
                  <a:blip r:embed="rId1"/>
                  <a:srcRect b="0" l="64784" r="20738" t="91487"/>
                  <a:stretch>
                    <a:fillRect/>
                  </a:stretch>
                </pic:blipFill>
                <pic:spPr>
                  <a:xfrm>
                    <a:off x="0" y="0"/>
                    <a:ext cx="882015" cy="7391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5610225</wp:posOffset>
          </wp:positionH>
          <wp:positionV relativeFrom="paragraph">
            <wp:posOffset>0</wp:posOffset>
          </wp:positionV>
          <wp:extent cx="1153265" cy="681903"/>
          <wp:effectExtent b="0" l="0" r="0" t="0"/>
          <wp:wrapNone/>
          <wp:docPr descr="Logotipo&#10;&#10;O conteúdo gerado por IA pode estar incorreto." id="5" name="image4.png"/>
          <a:graphic>
            <a:graphicData uri="http://schemas.openxmlformats.org/drawingml/2006/picture">
              <pic:pic>
                <pic:nvPicPr>
                  <pic:cNvPr descr="Logotipo&#10;&#10;O conteúdo gerado por IA pode estar incorreto." id="0" name="image4.png"/>
                  <pic:cNvPicPr preferRelativeResize="0"/>
                </pic:nvPicPr>
                <pic:blipFill>
                  <a:blip r:embed="rId2"/>
                  <a:srcRect b="0" l="0" r="0" t="0"/>
                  <a:stretch>
                    <a:fillRect/>
                  </a:stretch>
                </pic:blipFill>
                <pic:spPr>
                  <a:xfrm>
                    <a:off x="0" y="0"/>
                    <a:ext cx="1153265" cy="68190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-363787</wp:posOffset>
          </wp:positionH>
          <wp:positionV relativeFrom="paragraph">
            <wp:posOffset>76200</wp:posOffset>
          </wp:positionV>
          <wp:extent cx="1201988" cy="628650"/>
          <wp:effectExtent b="0" l="0" r="0" t="0"/>
          <wp:wrapNone/>
          <wp:docPr descr="Logotipo&#10;&#10;O conteúdo gerado por IA pode estar incorreto." id="10" name="image5.png"/>
          <a:graphic>
            <a:graphicData uri="http://schemas.openxmlformats.org/drawingml/2006/picture">
              <pic:pic>
                <pic:nvPicPr>
                  <pic:cNvPr descr="Logotipo&#10;&#10;O conteúdo gerado por IA pode estar incorreto." id="0" name="image5.png"/>
                  <pic:cNvPicPr preferRelativeResize="0"/>
                </pic:nvPicPr>
                <pic:blipFill>
                  <a:blip r:embed="rId3"/>
                  <a:srcRect b="0" l="0" r="0" t="0"/>
                  <a:stretch>
                    <a:fillRect/>
                  </a:stretch>
                </pic:blipFill>
                <pic:spPr>
                  <a:xfrm>
                    <a:off x="0" y="0"/>
                    <a:ext cx="1201988" cy="6286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3810000</wp:posOffset>
          </wp:positionH>
          <wp:positionV relativeFrom="paragraph">
            <wp:posOffset>142687</wp:posOffset>
          </wp:positionV>
          <wp:extent cx="723066" cy="509001"/>
          <wp:effectExtent b="0" l="0" r="0" t="0"/>
          <wp:wrapNone/>
          <wp:docPr descr="Logotipo&#10;&#10;O conteúdo gerado por IA pode estar incorreto." id="8" name="image2.png"/>
          <a:graphic>
            <a:graphicData uri="http://schemas.openxmlformats.org/drawingml/2006/picture">
              <pic:pic>
                <pic:nvPicPr>
                  <pic:cNvPr descr="Logotipo&#10;&#10;O conteúdo gerado por IA pode estar incorreto." id="0" name="image2.png"/>
                  <pic:cNvPicPr preferRelativeResize="0"/>
                </pic:nvPicPr>
                <pic:blipFill>
                  <a:blip r:embed="rId4"/>
                  <a:srcRect b="0" l="0" r="0" t="0"/>
                  <a:stretch>
                    <a:fillRect/>
                  </a:stretch>
                </pic:blipFill>
                <pic:spPr>
                  <a:xfrm>
                    <a:off x="0" y="0"/>
                    <a:ext cx="723066" cy="509001"/>
                  </a:xfrm>
                  <a:prstGeom prst="rect"/>
                  <a:ln/>
                </pic:spPr>
              </pic:pic>
            </a:graphicData>
          </a:graphic>
        </wp:anchor>
      </w:drawing>
    </w:r>
  </w:p>
  <w:p w:rsidR="00000000" w:rsidDel="00000000" w:rsidP="00000000" w:rsidRDefault="00000000" w:rsidRPr="00000000" w14:paraId="0000006D">
    <w:pPr>
      <w:rPr/>
    </w:pPr>
    <w:r w:rsidDel="00000000" w:rsidR="00000000" w:rsidRPr="00000000">
      <w:rPr>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838200</wp:posOffset>
          </wp:positionH>
          <wp:positionV relativeFrom="paragraph">
            <wp:posOffset>44808</wp:posOffset>
          </wp:positionV>
          <wp:extent cx="2925675" cy="390090"/>
          <wp:effectExtent b="0" l="0" r="0" t="0"/>
          <wp:wrapNone/>
          <wp:docPr id="9" name="image6.png"/>
          <a:graphic>
            <a:graphicData uri="http://schemas.openxmlformats.org/drawingml/2006/picture">
              <pic:pic>
                <pic:nvPicPr>
                  <pic:cNvPr id="0" name="image6.png"/>
                  <pic:cNvPicPr preferRelativeResize="0"/>
                </pic:nvPicPr>
                <pic:blipFill>
                  <a:blip r:embed="rId5"/>
                  <a:srcRect b="0" l="0" r="0" t="0"/>
                  <a:stretch>
                    <a:fillRect/>
                  </a:stretch>
                </pic:blipFill>
                <pic:spPr>
                  <a:xfrm>
                    <a:off x="0" y="0"/>
                    <a:ext cx="2925675" cy="39009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ind w:hanging="450"/>
      <w:jc w:val="both"/>
      <w:rPr/>
    </w:pPr>
    <w:r w:rsidDel="00000000" w:rsidR="00000000" w:rsidRPr="00000000">
      <w:rPr/>
      <w:drawing>
        <wp:inline distB="0" distT="0" distL="0" distR="0">
          <wp:extent cx="1186751" cy="853881"/>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6751" cy="853881"/>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2.png"/><Relationship Id="rId5"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fSEHAqBboTfDwAmnOK5oTP2Asg==">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