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PONTÕES DE CULTURA</w:t>
      </w:r>
    </w:p>
    <w:p w:rsidR="00000000" w:rsidDel="00000000" w:rsidP="00000000" w:rsidRDefault="00000000" w:rsidRPr="00000000" w14:paraId="0000000A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09 - DECLARAÇÃO CONJUNTA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pessoa responsável pela candidatura)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domiciliado(a) em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(endereço residencial do dirigente)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responsável pela apresentação da inscrição da entidade cultural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entidade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CNPJ nº ___________________________, incrito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Autorizar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 (unidade)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país;5cinco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enquadrar em quaisquer das vedações dispostas no Edital de Seleção, principalmente quanto ao disposto em seu item 5 (“quem não pode participar do edital”);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Receber visita técnica e/ou participar de reunião, com a missão de acompanhar e monitorar a execução e os resultados Termo de Compromisso Cultural, caso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 (unidade)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o Ministério da Cultura considerem apropriado;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existir plágio no projeto selecionado,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ter projetos vigentes ou em análise com o mesmo objeto e/ou despesas semelhantes às pleiteadas nesta proposta em qualquer esfera do governo;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espaço físico durante e após o período de realização das ações previstas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durante as ações propostas, garantindo ainda exibições audiovisuais, se houver, que disponham de recursos de legendagem descritiva, audiodescrição e LIBRAS – Língua Brasileira de Sinais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Disponibilizar livre acesso à população beneficiada para todas as ações propostas 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Sobre os bens remanescentes,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será transferida à Administração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Na hipótese de extinção da entidade cultural após a vigência do instrumento celebrado, será aplicada Cláusula do Estatuto Social.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tabs>
          <w:tab w:val="left" w:leader="none" w:pos="567"/>
          <w:tab w:val="left" w:leader="none" w:pos="1134"/>
        </w:tabs>
        <w:spacing w:after="12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das regras de democratização dos recursos:</w:t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ind w:left="720" w:firstLine="0"/>
        <w:jc w:val="both"/>
        <w:rPr>
          <w:rFonts w:ascii="Calibri" w:cs="Calibri" w:eastAsia="Calibri" w:hAnsi="Calibri"/>
          <w:i w:val="1"/>
          <w:color w:val="555555"/>
        </w:rPr>
      </w:pPr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Instrução Normativa MinC nº  1/2015, art. 21, </w:t>
        </w:r>
      </w:hyperlink>
      <w:hyperlink r:id="rId8">
        <w:r w:rsidDel="00000000" w:rsidR="00000000" w:rsidRPr="00000000">
          <w:rPr>
            <w:rFonts w:ascii="Calibri" w:cs="Calibri" w:eastAsia="Calibri" w:hAnsi="Calibri"/>
            <w:i w:val="1"/>
            <w:color w:val="1155cc"/>
            <w:highlight w:val="white"/>
            <w:u w:val="single"/>
            <w:rtl w:val="0"/>
          </w:rPr>
          <w:t xml:space="preserve">§ 3º: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ind w:left="720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 - uma mesma entidade cultural não poderá ter dois ou mais TCC vigentes simultaneamente para execução de projetos da PNCV, mesmo que selecionada em editais diferentes ou de Entes Federados distintos,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salvo quando: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a) no ato de formalização do segundo TCC,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 entidade não tenha parcelas para receber e já tenha executado mais da metade do cronograma relacionado à última parcela do TCC ativo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; ou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b) quando uma mesma entidade celebre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um TCC para fomento a um projeto de Ponto de Cultura e um TCC para fomento a um projeto de Pontão de Cultura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;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ind w:left="720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II - uma mesma entidade não poderá celebrar TCC e receber prêmios no âmbito da PNCV em um período de 12 meses, mesmo que selecionada em editais diferentes ou de Entes Federados distintos,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salvo quando:</w:t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a) já tenha sido premiada em edital da PNCV nos últimos 12 meses e,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posteriormente, seja selecionada em edital de fomento a projeto continuado de Ponto ou Pontão de Cultura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, para celebração de TCC;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b)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no ato de premiação, a entidade não tenha parcelas para receber e já tenha executado mais da metade do cronograma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relacionado à última parcela do TCC ativo; ou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c) em um mesmo edital de premiação da PNCV, após selecionadas todas as entidades concorrentes que não tenham firmado TCC nos últimos 12 meses,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ainda existam vagas disponíveis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028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240" w:line="240" w:lineRule="auto"/>
        <w:ind w:left="0" w:hanging="2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A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B">
      <w:pPr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C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851" w:top="851" w:left="85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142687</wp:posOffset>
          </wp:positionV>
          <wp:extent cx="723066" cy="509001"/>
          <wp:effectExtent b="0" l="0" r="0" t="0"/>
          <wp:wrapNone/>
          <wp:docPr descr="Logotipo&#10;&#10;O conteúdo gerado por IA pode estar incorreto." id="10" name="image6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b="0" l="0" r="0" t="0"/>
          <wp:wrapNone/>
          <wp:docPr descr="Logotipo&#10;&#10;O conteúdo gerado por IA pode estar incorreto." id="8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-363787</wp:posOffset>
          </wp:positionH>
          <wp:positionV relativeFrom="paragraph">
            <wp:posOffset>76200</wp:posOffset>
          </wp:positionV>
          <wp:extent cx="1201988" cy="628650"/>
          <wp:effectExtent b="0" l="0" r="0" t="0"/>
          <wp:wrapNone/>
          <wp:docPr descr="Logotipo&#10;&#10;O conteúdo gerado por IA pode estar incorreto." id="6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23625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1" name="image3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3.png"/>
                  <pic:cNvPicPr preferRelativeResize="0"/>
                </pic:nvPicPr>
                <pic:blipFill>
                  <a:blip r:embed="rId4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838200</wp:posOffset>
          </wp:positionH>
          <wp:positionV relativeFrom="paragraph">
            <wp:posOffset>44808</wp:posOffset>
          </wp:positionV>
          <wp:extent cx="2925675" cy="390090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lef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line="276" w:lineRule="auto"/>
      <w:ind w:left="-566.9291338582677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cultura/pt-br/acesso-a-informacao/legislacao-e-normativas/instrucao-normativa-minc-no-1-de-7-de-abril-de-2015-1" TargetMode="External"/><Relationship Id="rId8" Type="http://schemas.openxmlformats.org/officeDocument/2006/relationships/hyperlink" Target="https://www.gov.br/cultura/pt-br/acesso-a-informacao/legislacao-e-normativas/instrucao-normativa-minc-no-1-de-7-de-abril-de-2015-1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Relationship Id="rId3" Type="http://schemas.openxmlformats.org/officeDocument/2006/relationships/image" Target="media/image4.png"/><Relationship Id="rId4" Type="http://schemas.openxmlformats.org/officeDocument/2006/relationships/image" Target="media/image3.pn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BsYCUCdFmwBqzNRwJ9vIw4ZkQ==">CgMxLjA4AHIhMW92MlNfd2gwUmdvb3RQV05aQnoyNmNBMUVTSUxnUEwt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2023-08-28T01:24:00Z</dcterms:created>
  <dc:creator>Iara da Costa Zannon</dc:creator>
</cp:coreProperties>
</file>