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DBAF" w14:textId="77777777" w:rsidR="00B9659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A4D84F7" w14:textId="77777777" w:rsidR="00B9659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(NÚMERO)/2025 (INCLUIR NUMERAÇÃO PRÓPRIA) </w:t>
      </w:r>
    </w:p>
    <w:p w14:paraId="1AF2E102" w14:textId="77777777" w:rsidR="00B9659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ESTADUAL/DISTRITAL/MUNICIPAL/ </w:t>
      </w:r>
    </w:p>
    <w:p w14:paraId="72AEC511" w14:textId="77777777" w:rsidR="00B9659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(INSERIR UNIDADE DA FEDERAÇÃO - UF) </w:t>
      </w:r>
    </w:p>
    <w:p w14:paraId="35CB17FC" w14:textId="77777777" w:rsidR="00B9659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B63ED4C" w14:textId="77777777" w:rsidR="00B9659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39352C7" w14:textId="77777777" w:rsidR="00B9659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PONTÕES DE CULTURA</w:t>
      </w:r>
    </w:p>
    <w:p w14:paraId="55DB71C9" w14:textId="77777777" w:rsidR="00B96595" w:rsidRDefault="00B9659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EA90F86" w14:textId="77777777" w:rsidR="00B96595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02 - CRITÉRIOS DE AVALIAÇÃO DA ETAPA DE SELEÇÃO</w:t>
      </w:r>
    </w:p>
    <w:p w14:paraId="16C569EA" w14:textId="77777777" w:rsidR="00B96595" w:rsidRDefault="00B96595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2E7CEE81" w14:textId="77777777" w:rsidR="00B96595" w:rsidRDefault="00000000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Bloco 1 - Critérios de Avaliação</w:t>
      </w:r>
    </w:p>
    <w:tbl>
      <w:tblPr>
        <w:tblStyle w:val="a2"/>
        <w:tblW w:w="139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"/>
        <w:gridCol w:w="6735"/>
        <w:gridCol w:w="1809"/>
        <w:gridCol w:w="1532"/>
        <w:gridCol w:w="1532"/>
        <w:gridCol w:w="1997"/>
      </w:tblGrid>
      <w:tr w:rsidR="00B96595" w14:paraId="1FD82EA8" w14:textId="77777777">
        <w:trPr>
          <w:trHeight w:val="585"/>
        </w:trPr>
        <w:tc>
          <w:tcPr>
            <w:tcW w:w="7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6A30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CRITÉRIOS</w:t>
            </w:r>
          </w:p>
        </w:tc>
        <w:tc>
          <w:tcPr>
            <w:tcW w:w="487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A21E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3A89B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PONTUAÇÃO MÁXIMA NO ITEM</w:t>
            </w:r>
          </w:p>
        </w:tc>
      </w:tr>
      <w:tr w:rsidR="00B96595" w14:paraId="32A38ED7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2AFA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A9F73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II), analisar se a entidade atende aos seguintes critérios: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3AE3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9F004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DA28D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5C93EC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pontos</w:t>
            </w:r>
          </w:p>
        </w:tc>
      </w:tr>
      <w:tr w:rsidR="00B96595" w14:paraId="40EFB29D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B9A3C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8B841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Realiza atividades culturais e/ou educativas relacionadas, pelo menos, a uma das ações estruturantes da PNCV (Lei Cultura Viva 13.018/2014, Art.5º) com acesso público e gratuito (total ou parcialmente)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161E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53E3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0D4B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FE542B" w14:textId="77777777" w:rsidR="00B96595" w:rsidRDefault="00B9659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6D0E8CB0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4055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b)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D4E9F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Desenvolve atividades culturais e/ou educativas em rede com outros pontos de cultura, instituições culturais e/ou coletivos culturais que atuam em prol da diversidade cultural brasileira, de forma territorial ou temática.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DDAD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142F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230E4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E72F4E" w14:textId="77777777" w:rsidR="00B96595" w:rsidRDefault="00B9659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2977DFD4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8357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82E69" w14:textId="77777777" w:rsidR="00B96595" w:rsidRDefault="00000000">
            <w:pPr>
              <w:pBdr>
                <w:top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after="14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Desenvolve estratégias e ações voltadas à articulação, mobilização e acompanhamento de atividades culturais, em parceria com as redes regionais, identitárias e temáticas de pontos de cultura e outras redes culturais e comunitária, com vistas à mobilização, à troca de experiências, ao desenvolvimento de ações conjuntas com governos locais e à articulação entre os diferentes Pontos de Cultura.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9489D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37A0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DA4A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27E65" w14:textId="77777777" w:rsidR="00B96595" w:rsidRDefault="00B96595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6A27668A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29AA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II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42CA6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Efeitos artístico-culturais, sociais e econômicos esperados com o projeto: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19B7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6292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859FD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22A2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37 pontos</w:t>
            </w:r>
          </w:p>
        </w:tc>
      </w:tr>
      <w:tr w:rsidR="00B96595" w14:paraId="265AF90D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5B69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9AADE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prevê ações e estratégias que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dêem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conta da abrangência a qual se pretende.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D10D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AF9AB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8E37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FC6FD5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24AFDBE2" w14:textId="77777777">
        <w:trPr>
          <w:trHeight w:val="109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123D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7D654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efetivas para mapeamento e mobilização de entidades e coletivos culturais com características potenciais de certificação como Pontos de Cultura para ingresso no Cadastro Nacional de Pontos e Pontões de Cultura, no âmbito da abrangência pretendida.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62057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3A2E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DC7D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88555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2BCBDE0E" w14:textId="77777777">
        <w:trPr>
          <w:trHeight w:val="84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323F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6F99E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 oficinas/ações formativas impactam de forma efetiva com a qualificação de Pontos de Cultura e entidades/coletivos culturais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ligados às redes junto às quais o projeto pretende atuar.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3022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697C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590EE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C6498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4CFE893E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1299D3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40C38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de mobilização de Pontos de Cultura e entidades/coletivos para atuação cultural em rede.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58EA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E22A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49B9D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2B74B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31AD3E49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3F6EC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4AF0C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a construção participativa de estratégias de articulação de Pontos de Cultura, como programação artística e cultural integrada, circulação de informações etc.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C4E1B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D271E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22846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3E9A2B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1A56E42C" w14:textId="77777777">
        <w:trPr>
          <w:trHeight w:val="84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B481D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A7952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consistentes de envolvimento e apoio às e aos Agentes de Cultura Viva, Mestres e Mestras das Culturas Populares e Tradicionais etc.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D112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7371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79635D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E5EA37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7F3B346E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7C3B9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5B30B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de promoção e difusão das redes e de Pontos de Cultura.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27B8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984F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DF36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FBF51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641829E0" w14:textId="77777777">
        <w:trPr>
          <w:trHeight w:val="109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74E0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95C4D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prevê estratégias para fortalecimento da organização e representação da rede de Pontos de Cultura, como o apoio à realização de Fóruns e Teias estaduais, nacional e temáticas, à Comissão Nacional de Pontos de Cultura, seus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temáticos, e as comissões estaduais de Pontos de Cultura.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6D62E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3853E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B6FE6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06BE6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64078C61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B4F9E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A20AF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para a incidência na qualificação de políticas públicas intersetoriais.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4D3E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03430E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031A6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D84AB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339DC542" w14:textId="77777777">
        <w:trPr>
          <w:trHeight w:val="84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1538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j)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E70A2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que visam potencializar e estimular ações de inclusão social e acessibilidade para pessoas com deficiência (física, sensorial, visual e auditiva) e intelectual no âmbito das atividades dos pontos de cultura.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3C3B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89E5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5F85D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E43D9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1FACA899" w14:textId="77777777">
        <w:trPr>
          <w:trHeight w:val="785"/>
        </w:trPr>
        <w:tc>
          <w:tcPr>
            <w:tcW w:w="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53E4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2362E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efetivas para democratização de sua gestão, com participação regular e poder deliberativo do Comitê Gestor - composto por Pontos e Pontões de Cultura representativos.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55223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CD0D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5D1C7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DA62B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06B1AADA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CBB6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EB66F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Execução e detalhamento do Plano de Trabalho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9B3DD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602B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C33A2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Plenamente</w:t>
            </w:r>
          </w:p>
        </w:tc>
        <w:tc>
          <w:tcPr>
            <w:tcW w:w="1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B379F" w14:textId="77777777" w:rsidR="00B96595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33 pontos</w:t>
            </w:r>
          </w:p>
        </w:tc>
      </w:tr>
      <w:tr w:rsidR="00B96595" w14:paraId="02F96C24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429BC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20881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Capacidade técnica, gerencial e operacional da entidade para execução do projeto (vinculação do portfólio com o projeto apresentado)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D3CB1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E27A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3BA83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6F7B3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24196568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659F3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593F3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define metas razoáveis e exequíveis a serem entregues, com informações sobre ações a serem executadas e prazos.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9A57E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ED946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207B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0E63D9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1CF0F9BD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541DF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FA9F6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pertinentes em relação aos resultados pretendidos.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8129E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EFF7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BE17C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616AE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1403474B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98A0B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1C5A6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 detalha estratégias de divulgação específicas, com capacidade de democratização da informação acerca de suas ações.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A8629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DB53A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2455C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B8AA8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00CD2B92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2D04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8C1672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prevê estratégias e meios de verificação do cumprimento das metas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5DC2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C45C6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AD82FC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6F762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32321EAA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D1FA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462E6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equipe técnica prevista é adequada para a realização do projeto.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2E1F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323A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BD1F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24305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23469255" w14:textId="77777777">
        <w:trPr>
          <w:trHeight w:val="58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F1F5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g)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F36184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apresenta clareza, coerência e razoabilidade entre as ações do projeto e os itens de despesas e seus custos;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0F54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E3CB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B505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59448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6A79C5F8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88A3D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C2B4F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projeto tem exequibilidade, viabilidade para ser executado no prazo proposto.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67E2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2227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00A2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2C12E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37BBA608" w14:textId="77777777">
        <w:trPr>
          <w:trHeight w:val="79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CA72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VI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E711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Abrangência do projeto considerando o público beneficiário</w:t>
            </w:r>
          </w:p>
          <w:p w14:paraId="797172F4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partir das informações dispostas no Planejamento do Projeto, a candidatura atenderá diretamente os seguintes públicos: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3FD8B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Não atende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27D9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 Parcialmente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7BC6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Atende</w:t>
            </w:r>
          </w:p>
        </w:tc>
        <w:tc>
          <w:tcPr>
            <w:tcW w:w="19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39304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pontos</w:t>
            </w:r>
          </w:p>
        </w:tc>
      </w:tr>
      <w:tr w:rsidR="00B96595" w14:paraId="6E33B625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D4B2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7CE10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Estudantes da Rede Pública de ensino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9019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E1C00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4FD4C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62986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14EA3572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F99A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7AC50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Primeira Infância (crianças de 0 a 6 anos)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A357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18C6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4A03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340D1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5DE971C1" w14:textId="77777777">
        <w:trPr>
          <w:trHeight w:val="555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10DA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450967" w14:textId="77777777" w:rsidR="00B96595" w:rsidRDefault="00000000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População de baixa renda, habitando áreas com precária oferta de serviços públicos e de cultura, incluindo a área rural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682B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19F91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634588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F53AA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4F32BE08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DE083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AF4E8" w14:textId="77777777" w:rsidR="00B96595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Pessoas com deficiência e(ou) mobilidade reduzida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7230A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1AF1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5F9B1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8BEF5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3A65B650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10AA7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28906" w14:textId="77777777" w:rsidR="00B96595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Povos Indígenas e Comunidades Tradicionais de Matriz Africana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F9BA5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2FB82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779BA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5A3B1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55B91E43" w14:textId="77777777">
        <w:trPr>
          <w:trHeight w:val="330"/>
        </w:trPr>
        <w:tc>
          <w:tcPr>
            <w:tcW w:w="3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FDC06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7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8BE86" w14:textId="77777777" w:rsidR="00B96595" w:rsidRDefault="0000000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Pessoas LGBTQIA+</w:t>
            </w:r>
          </w:p>
        </w:tc>
        <w:tc>
          <w:tcPr>
            <w:tcW w:w="18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20DB1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43889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9B58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9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72E53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96595" w14:paraId="533CB057" w14:textId="77777777">
        <w:trPr>
          <w:trHeight w:val="330"/>
        </w:trPr>
        <w:tc>
          <w:tcPr>
            <w:tcW w:w="708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AD0C6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487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80D01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 PONTOS</w:t>
            </w:r>
          </w:p>
        </w:tc>
        <w:tc>
          <w:tcPr>
            <w:tcW w:w="1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7A75F" w14:textId="77777777" w:rsidR="00B96595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 pontos</w:t>
            </w:r>
          </w:p>
        </w:tc>
      </w:tr>
    </w:tbl>
    <w:p w14:paraId="5A45E8B9" w14:textId="77777777" w:rsidR="00B96595" w:rsidRDefault="00B965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6FDE95B" w14:textId="77777777" w:rsidR="00B96595" w:rsidRDefault="00000000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Bloco 2 - Bonificações</w:t>
      </w:r>
    </w:p>
    <w:p w14:paraId="15EE3455" w14:textId="77777777" w:rsidR="00B96595" w:rsidRDefault="00B96595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Style w:val="a3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977"/>
        <w:gridCol w:w="6977"/>
      </w:tblGrid>
      <w:tr w:rsidR="00B96595" w14:paraId="3236A7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A6669" w14:textId="77777777" w:rsidR="00B965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CRITÉRIO DE BONIFICAÇÃO</w:t>
            </w: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B991" w14:textId="77777777" w:rsidR="00B9659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PONTUAÇÃO ATRIBUÍDA</w:t>
            </w:r>
          </w:p>
        </w:tc>
      </w:tr>
      <w:tr w:rsidR="00B96595" w14:paraId="795A2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5A1D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4F3CE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B96595" w14:paraId="40C849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D1AD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8514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B96595" w14:paraId="455989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4A11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6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5FEB" w14:textId="77777777" w:rsidR="00B96595" w:rsidRDefault="00B9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170AFF24" w14:textId="77777777" w:rsidR="00B96595" w:rsidRDefault="00000000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 xml:space="preserve">Poderão ser atribuídas bonificações em formato de pontuação extra, seguindo diferentes critérios, de acordo com a deliberação do Ente Federado, </w:t>
      </w:r>
      <w: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>até o limite total de 5 (cinco) pontos</w:t>
      </w:r>
      <w:r>
        <w:rPr>
          <w:rFonts w:ascii="Calibri" w:eastAsia="Calibri" w:hAnsi="Calibri" w:cs="Calibri"/>
          <w:color w:val="FF0000"/>
          <w:sz w:val="24"/>
          <w:szCs w:val="24"/>
        </w:rPr>
        <w:t>. Inclusive, é possível a não adoção de nenhum tipo de bonificação.</w:t>
      </w:r>
    </w:p>
    <w:p w14:paraId="1BEAB45D" w14:textId="77777777" w:rsidR="00B96595" w:rsidRDefault="00000000">
      <w:pPr>
        <w:tabs>
          <w:tab w:val="center" w:pos="0"/>
        </w:tabs>
        <w:spacing w:before="120"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O Ente Federativo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14:paraId="161614AD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>DAS BONIFICAÇÕES OU DOS CRITÉRIOS DIFERENCIADOS DE PONTUAÇÃO</w:t>
      </w:r>
    </w:p>
    <w:p w14:paraId="6823EFDC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14:paraId="45B5C1E8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>Art. 12. Os procedimentos públicos de seleção podem conter critérios diferenciados de pontuação, inclusive critérios de desempate, considerando:</w:t>
      </w:r>
    </w:p>
    <w:p w14:paraId="68DCCC34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 xml:space="preserve">I - </w:t>
      </w:r>
      <w:proofErr w:type="gramStart"/>
      <w:r>
        <w:rPr>
          <w:rFonts w:ascii="Calibri" w:eastAsia="Calibri" w:hAnsi="Calibri" w:cs="Calibri"/>
          <w:i/>
          <w:color w:val="FF0000"/>
        </w:rPr>
        <w:t>o</w:t>
      </w:r>
      <w:proofErr w:type="gramEnd"/>
      <w:r>
        <w:rPr>
          <w:rFonts w:ascii="Calibri" w:eastAsia="Calibri" w:hAnsi="Calibri" w:cs="Calibri"/>
          <w:i/>
          <w:color w:val="FF0000"/>
        </w:rPr>
        <w:t xml:space="preserve"> perfil do público-alvo a que a ação, projeto ou produto cultural é direcionado;</w:t>
      </w:r>
    </w:p>
    <w:p w14:paraId="7992C872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 xml:space="preserve">II - </w:t>
      </w:r>
      <w:proofErr w:type="gramStart"/>
      <w:r>
        <w:rPr>
          <w:rFonts w:ascii="Calibri" w:eastAsia="Calibri" w:hAnsi="Calibri" w:cs="Calibri"/>
          <w:i/>
          <w:color w:val="FF0000"/>
        </w:rPr>
        <w:t>o</w:t>
      </w:r>
      <w:proofErr w:type="gramEnd"/>
      <w:r>
        <w:rPr>
          <w:rFonts w:ascii="Calibri" w:eastAsia="Calibri" w:hAnsi="Calibri" w:cs="Calibri"/>
          <w:i/>
          <w:color w:val="FF0000"/>
        </w:rPr>
        <w:t xml:space="preserve"> perfil do agente cultural que propõe a ação, projeto ou produto cultural;</w:t>
      </w:r>
    </w:p>
    <w:p w14:paraId="0F20AA4A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>III - a linguagem, expressão cultural e/ou temática da ação, projeto ou produto cultural;</w:t>
      </w:r>
    </w:p>
    <w:p w14:paraId="73318982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 xml:space="preserve">IV - </w:t>
      </w:r>
      <w:proofErr w:type="gramStart"/>
      <w:r>
        <w:rPr>
          <w:rFonts w:ascii="Calibri" w:eastAsia="Calibri" w:hAnsi="Calibri" w:cs="Calibri"/>
          <w:i/>
          <w:color w:val="FF0000"/>
        </w:rPr>
        <w:t>a</w:t>
      </w:r>
      <w:proofErr w:type="gramEnd"/>
      <w:r>
        <w:rPr>
          <w:rFonts w:ascii="Calibri" w:eastAsia="Calibri" w:hAnsi="Calibri" w:cs="Calibri"/>
          <w:i/>
          <w:color w:val="FF0000"/>
        </w:rPr>
        <w:t xml:space="preserve"> facilitação do acesso pela população aos bens e serviços gerados pela ação, projeto ou produto cultural, por meio de:</w:t>
      </w:r>
    </w:p>
    <w:p w14:paraId="4E753C02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>a) gratuidade de ingressos ou ingressos a preços populares;</w:t>
      </w:r>
    </w:p>
    <w:p w14:paraId="028BF544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>b) distribuição gratuita de produtos culturais para escolas públicas, Unidades Básicas de Saúde - UBS, Centro de Atenção Psicossocial - CAPS, Centros de Referência da Assistência Social - CRAS, e demais equipamentos públicos; e</w:t>
      </w:r>
    </w:p>
    <w:p w14:paraId="4E4CF1B1" w14:textId="77777777" w:rsidR="00B96595" w:rsidRDefault="00000000">
      <w:pPr>
        <w:tabs>
          <w:tab w:val="center" w:pos="0"/>
        </w:tabs>
        <w:spacing w:line="240" w:lineRule="auto"/>
        <w:ind w:left="720"/>
        <w:jc w:val="both"/>
        <w:rPr>
          <w:rFonts w:ascii="Calibri" w:eastAsia="Calibri" w:hAnsi="Calibri" w:cs="Calibri"/>
          <w:i/>
          <w:color w:val="FF0000"/>
        </w:rPr>
      </w:pPr>
      <w:r>
        <w:rPr>
          <w:rFonts w:ascii="Calibri" w:eastAsia="Calibri" w:hAnsi="Calibri" w:cs="Calibri"/>
          <w:i/>
          <w:color w:val="FF0000"/>
        </w:rPr>
        <w:t>c) outras estratégias de democratização do acesso.</w:t>
      </w:r>
    </w:p>
    <w:p w14:paraId="78E0F1C9" w14:textId="77777777" w:rsidR="00B96595" w:rsidRDefault="00B9659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14:paraId="68A89EBC" w14:textId="77777777" w:rsidR="00B96595" w:rsidRDefault="00000000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Notal</w:t>
      </w:r>
      <w:proofErr w:type="spellEnd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final de cada Avaliador(a):</w:t>
      </w:r>
    </w:p>
    <w:p w14:paraId="27DE6FBC" w14:textId="77777777" w:rsidR="00B96595" w:rsidRDefault="00000000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A nota final de cada avaliador(a) será obtida a partir da soma do primeiro bloco de avaliação </w:t>
      </w:r>
      <w:r>
        <w:rPr>
          <w:rFonts w:ascii="Calibri" w:eastAsia="Calibri" w:hAnsi="Calibri" w:cs="Calibri"/>
          <w:color w:val="FF0000"/>
          <w:sz w:val="24"/>
          <w:szCs w:val="24"/>
        </w:rPr>
        <w:t>e, depois, a soma das possíveis bonificações provenientes do segundo bloco.</w:t>
      </w:r>
    </w:p>
    <w:p w14:paraId="1B71462E" w14:textId="77777777" w:rsidR="00B96595" w:rsidRDefault="00000000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Pontuação Final por Avaliador = (Pontuação no Bloco 1) </w:t>
      </w:r>
      <w:r>
        <w:rPr>
          <w:rFonts w:ascii="Calibri" w:eastAsia="Calibri" w:hAnsi="Calibri" w:cs="Calibri"/>
          <w:color w:val="FF0000"/>
          <w:sz w:val="24"/>
          <w:szCs w:val="24"/>
        </w:rPr>
        <w:t>+ Pontuação Bloco 2 (caso haja)</w:t>
      </w:r>
    </w:p>
    <w:sectPr w:rsidR="00B96595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4547" w14:textId="77777777" w:rsidR="00122F4C" w:rsidRDefault="00122F4C">
      <w:pPr>
        <w:spacing w:line="240" w:lineRule="auto"/>
      </w:pPr>
      <w:r>
        <w:separator/>
      </w:r>
    </w:p>
  </w:endnote>
  <w:endnote w:type="continuationSeparator" w:id="0">
    <w:p w14:paraId="24FFFA47" w14:textId="77777777" w:rsidR="00122F4C" w:rsidRDefault="00122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C5B" w14:textId="77777777" w:rsidR="00B96595" w:rsidRDefault="00000000">
    <w:r>
      <w:t xml:space="preserve">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9647000" wp14:editId="0D296BB9">
          <wp:simplePos x="0" y="0"/>
          <wp:positionH relativeFrom="column">
            <wp:posOffset>904875</wp:posOffset>
          </wp:positionH>
          <wp:positionV relativeFrom="paragraph">
            <wp:posOffset>-59062</wp:posOffset>
          </wp:positionV>
          <wp:extent cx="2925675" cy="39009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91642C5" wp14:editId="360C39A3">
          <wp:simplePos x="0" y="0"/>
          <wp:positionH relativeFrom="column">
            <wp:posOffset>4343400</wp:posOffset>
          </wp:positionH>
          <wp:positionV relativeFrom="paragraph">
            <wp:posOffset>-87637</wp:posOffset>
          </wp:positionV>
          <wp:extent cx="723066" cy="509001"/>
          <wp:effectExtent l="0" t="0" r="0" b="0"/>
          <wp:wrapNone/>
          <wp:docPr id="9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E0BF34A" wp14:editId="7B8125E3">
          <wp:simplePos x="0" y="0"/>
          <wp:positionH relativeFrom="column">
            <wp:posOffset>-652462</wp:posOffset>
          </wp:positionH>
          <wp:positionV relativeFrom="paragraph">
            <wp:posOffset>-149549</wp:posOffset>
          </wp:positionV>
          <wp:extent cx="1201988" cy="628650"/>
          <wp:effectExtent l="0" t="0" r="0" b="0"/>
          <wp:wrapNone/>
          <wp:docPr id="6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249764A9" wp14:editId="5EFD7026">
          <wp:simplePos x="0" y="0"/>
          <wp:positionH relativeFrom="column">
            <wp:posOffset>6105525</wp:posOffset>
          </wp:positionH>
          <wp:positionV relativeFrom="paragraph">
            <wp:posOffset>-235274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undo preto com letras brancas&#10;&#10;O conteúdo gerado por IA pode estar incorreto."/>
                  <pic:cNvPicPr preferRelativeResize="0"/>
                </pic:nvPicPr>
                <pic:blipFill>
                  <a:blip r:embed="rId4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BC449F5" wp14:editId="745601E9">
          <wp:simplePos x="0" y="0"/>
          <wp:positionH relativeFrom="column">
            <wp:posOffset>8267700</wp:posOffset>
          </wp:positionH>
          <wp:positionV relativeFrom="paragraph">
            <wp:posOffset>-209549</wp:posOffset>
          </wp:positionV>
          <wp:extent cx="1153265" cy="681903"/>
          <wp:effectExtent l="0" t="0" r="0" b="0"/>
          <wp:wrapNone/>
          <wp:docPr id="8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573B" w14:textId="77777777" w:rsidR="00122F4C" w:rsidRDefault="00122F4C">
      <w:pPr>
        <w:spacing w:line="240" w:lineRule="auto"/>
      </w:pPr>
      <w:r>
        <w:separator/>
      </w:r>
    </w:p>
  </w:footnote>
  <w:footnote w:type="continuationSeparator" w:id="0">
    <w:p w14:paraId="345501DD" w14:textId="77777777" w:rsidR="00122F4C" w:rsidRDefault="00122F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94EF" w14:textId="77777777" w:rsidR="00B96595" w:rsidRDefault="00000000">
    <w:pPr>
      <w:ind w:left="-1133"/>
      <w:jc w:val="both"/>
    </w:pPr>
    <w:r>
      <w:rPr>
        <w:noProof/>
      </w:rPr>
      <w:drawing>
        <wp:inline distT="0" distB="0" distL="0" distR="0" wp14:anchorId="0D965D0C" wp14:editId="5C7C58B8">
          <wp:extent cx="1186751" cy="853881"/>
          <wp:effectExtent l="0" t="0" r="0" b="0"/>
          <wp:docPr id="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B67DA6" w14:textId="77777777" w:rsidR="00B96595" w:rsidRDefault="00B965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95"/>
    <w:rsid w:val="00122F4C"/>
    <w:rsid w:val="00211E69"/>
    <w:rsid w:val="0047698C"/>
    <w:rsid w:val="00A84145"/>
    <w:rsid w:val="00B96595"/>
    <w:rsid w:val="00E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248E"/>
  <w15:docId w15:val="{3DAA084C-4477-4F63-BD6A-AA5B3BB0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svXE5xCE3Fjjpck2mzhepZhteQ==">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1209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 Ferreira da Silva Junior</dc:creator>
  <cp:lastModifiedBy>Adilson Ferreira da Silva Junior</cp:lastModifiedBy>
  <cp:revision>2</cp:revision>
  <dcterms:created xsi:type="dcterms:W3CDTF">2025-11-26T21:11:00Z</dcterms:created>
  <dcterms:modified xsi:type="dcterms:W3CDTF">2025-11-26T21:11:00Z</dcterms:modified>
</cp:coreProperties>
</file>