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EDITAL PADRONIZADO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color w:val="ff0000"/>
          <w:sz w:val="24"/>
          <w:szCs w:val="24"/>
        </w:rPr>
      </w:pPr>
      <w:r w:rsidDel="00000000" w:rsidR="00000000" w:rsidRPr="00000000">
        <w:rPr>
          <w:rFonts w:ascii="Calibri" w:cs="Calibri" w:eastAsia="Calibri" w:hAnsi="Calibri"/>
          <w:b w:val="1"/>
          <w:sz w:val="24"/>
          <w:szCs w:val="24"/>
          <w:rtl w:val="0"/>
        </w:rPr>
        <w:t xml:space="preserve"> CHAMAMENTO PÚBLICO </w:t>
      </w:r>
      <w:r w:rsidDel="00000000" w:rsidR="00000000" w:rsidRPr="00000000">
        <w:rPr>
          <w:rFonts w:ascii="Calibri" w:cs="Calibri" w:eastAsia="Calibri" w:hAnsi="Calibri"/>
          <w:b w:val="1"/>
          <w:color w:val="ff0000"/>
          <w:sz w:val="24"/>
          <w:szCs w:val="24"/>
          <w:rtl w:val="0"/>
        </w:rPr>
        <w:t xml:space="preserve">(NÚMERO)/2025 (INCLUIR NUMERAÇÃO PRÓPRIA)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color w:val="ff0000"/>
          <w:sz w:val="24"/>
          <w:szCs w:val="24"/>
        </w:rPr>
      </w:pPr>
      <w:r w:rsidDel="00000000" w:rsidR="00000000" w:rsidRPr="00000000">
        <w:rPr>
          <w:rFonts w:ascii="Calibri" w:cs="Calibri" w:eastAsia="Calibri" w:hAnsi="Calibri"/>
          <w:b w:val="1"/>
          <w:sz w:val="24"/>
          <w:szCs w:val="24"/>
          <w:rtl w:val="0"/>
        </w:rPr>
        <w:t xml:space="preserve">REDE </w:t>
      </w:r>
      <w:r w:rsidDel="00000000" w:rsidR="00000000" w:rsidRPr="00000000">
        <w:rPr>
          <w:rFonts w:ascii="Calibri" w:cs="Calibri" w:eastAsia="Calibri" w:hAnsi="Calibri"/>
          <w:b w:val="1"/>
          <w:color w:val="ff0000"/>
          <w:sz w:val="24"/>
          <w:szCs w:val="24"/>
          <w:rtl w:val="0"/>
        </w:rPr>
        <w:t xml:space="preserve">ESTADUAL/DISTRITAL/MUNICIPAL/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color w:val="ff0000"/>
          <w:sz w:val="24"/>
          <w:szCs w:val="24"/>
        </w:rPr>
      </w:pPr>
      <w:r w:rsidDel="00000000" w:rsidR="00000000" w:rsidRPr="00000000">
        <w:rPr>
          <w:rFonts w:ascii="Calibri" w:cs="Calibri" w:eastAsia="Calibri" w:hAnsi="Calibri"/>
          <w:b w:val="1"/>
          <w:sz w:val="24"/>
          <w:szCs w:val="24"/>
          <w:rtl w:val="0"/>
        </w:rPr>
        <w:t xml:space="preserve">DE PONTOS E PONTÕES DE CULTURA DE </w:t>
      </w:r>
      <w:r w:rsidDel="00000000" w:rsidR="00000000" w:rsidRPr="00000000">
        <w:rPr>
          <w:rFonts w:ascii="Calibri" w:cs="Calibri" w:eastAsia="Calibri" w:hAnsi="Calibri"/>
          <w:b w:val="1"/>
          <w:color w:val="ff0000"/>
          <w:sz w:val="24"/>
          <w:szCs w:val="24"/>
          <w:rtl w:val="0"/>
        </w:rPr>
        <w:t xml:space="preserve">(INSERIR UNIDADE DA FEDERAÇÃO - UF)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CULTURA VIVA DO TAMANHO DO BRASIL!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FOMENTO A PROJETOS CONTINUADOS DE PONTÕES DE CULTURA</w:t>
      </w:r>
    </w:p>
    <w:p w:rsidR="00000000" w:rsidDel="00000000" w:rsidP="00000000" w:rsidRDefault="00000000" w:rsidRPr="00000000" w14:paraId="00000008">
      <w:pPr>
        <w:shd w:fill="ffffff" w:val="clea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tabs>
          <w:tab w:val="center" w:leader="none" w:pos="0"/>
        </w:tabs>
        <w:spacing w:after="120" w:before="120" w:line="24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ANEXO 01 - CATEGORIAS E COTAS</w:t>
      </w:r>
    </w:p>
    <w:p w:rsidR="00000000" w:rsidDel="00000000" w:rsidP="00000000" w:rsidRDefault="00000000" w:rsidRPr="00000000" w14:paraId="0000000A">
      <w:pPr>
        <w:numPr>
          <w:ilvl w:val="0"/>
          <w:numId w:val="4"/>
        </w:numPr>
        <w:tabs>
          <w:tab w:val="center" w:leader="none" w:pos="0"/>
        </w:tabs>
        <w:spacing w:after="120" w:line="24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CATEGORIAS </w:t>
      </w:r>
    </w:p>
    <w:p w:rsidR="00000000" w:rsidDel="00000000" w:rsidP="00000000" w:rsidRDefault="00000000" w:rsidRPr="00000000" w14:paraId="0000000B">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tl w:val="0"/>
        </w:rPr>
      </w:r>
    </w:p>
    <w:tbl>
      <w:tblPr>
        <w:tblStyle w:val="Table1"/>
        <w:tblW w:w="13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4095"/>
        <w:gridCol w:w="4245"/>
        <w:gridCol w:w="5070"/>
        <w:tblGridChange w:id="0">
          <w:tblGrid>
            <w:gridCol w:w="555"/>
            <w:gridCol w:w="4095"/>
            <w:gridCol w:w="4245"/>
            <w:gridCol w:w="5070"/>
          </w:tblGrid>
        </w:tblGridChange>
      </w:tblGrid>
      <w:tr>
        <w:trPr>
          <w:cantSplit w:val="1"/>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NOME  E DESCRIÇÃO DA CATEGORIA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NÚMERO DE VAGAS PARA CATEGORIA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jc w:val="center"/>
              <w:rPr>
                <w:rFonts w:ascii="Calibri" w:cs="Calibri" w:eastAsia="Calibri" w:hAnsi="Calibri"/>
                <w:b w:val="1"/>
                <w:color w:val="ff0000"/>
                <w:sz w:val="24"/>
                <w:szCs w:val="24"/>
                <w:highlight w:val="yellow"/>
              </w:rPr>
            </w:pPr>
            <w:r w:rsidDel="00000000" w:rsidR="00000000" w:rsidRPr="00000000">
              <w:rPr>
                <w:rFonts w:ascii="Calibri" w:cs="Calibri" w:eastAsia="Calibri" w:hAnsi="Calibri"/>
                <w:b w:val="1"/>
                <w:color w:val="ff0000"/>
                <w:sz w:val="24"/>
                <w:szCs w:val="24"/>
                <w:rtl w:val="0"/>
              </w:rPr>
              <w:t xml:space="preserve">VALOR TOTAL DISPONÍVEL POR PROJETO SELECIONADO (R$)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0">
            <w:pPr>
              <w:tabs>
                <w:tab w:val="center" w:leader="none" w:pos="0"/>
              </w:tabs>
              <w:spacing w:after="12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01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tabs>
                <w:tab w:val="center" w:leader="none" w:pos="0"/>
              </w:tabs>
              <w:spacing w:after="12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[somente para editais estaduais] </w:t>
            </w:r>
          </w:p>
          <w:p w:rsidR="00000000" w:rsidDel="00000000" w:rsidP="00000000" w:rsidRDefault="00000000" w:rsidRPr="00000000" w14:paraId="00000012">
            <w:pPr>
              <w:tabs>
                <w:tab w:val="center" w:leader="none" w:pos="0"/>
              </w:tabs>
              <w:spacing w:after="12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ex: </w:t>
            </w:r>
            <w:r w:rsidDel="00000000" w:rsidR="00000000" w:rsidRPr="00000000">
              <w:rPr>
                <w:rFonts w:ascii="Calibri" w:cs="Calibri" w:eastAsia="Calibri" w:hAnsi="Calibri"/>
                <w:color w:val="ff0000"/>
                <w:sz w:val="24"/>
                <w:szCs w:val="24"/>
                <w:rtl w:val="0"/>
              </w:rPr>
              <w:t xml:space="preserve">Gestão da Rede Estadual de Pontos e Pontões de Cultura - (abrangência estadual)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(no mínimo 01 vaga para projetos que preveem gestão da Rede Estadual de Pontos e Pontões de Cultura).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w:t>
            </w:r>
            <w:r w:rsidDel="00000000" w:rsidR="00000000" w:rsidRPr="00000000">
              <w:rPr>
                <w:rFonts w:ascii="Calibri" w:cs="Calibri" w:eastAsia="Calibri" w:hAnsi="Calibri"/>
                <w:color w:val="ff0000"/>
                <w:sz w:val="24"/>
                <w:szCs w:val="24"/>
                <w:rtl w:val="0"/>
              </w:rPr>
              <w:t xml:space="preserve"> valor deverá ser mais alto para a categoria de Gestão da Rede Estadual de Pontos e Pontões de Cultura, considerando a abrangência estadual.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02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tabs>
                <w:tab w:val="center" w:leader="none" w:pos="0"/>
              </w:tabs>
              <w:spacing w:after="12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ex: Gestão da Rede de Pontos e Pontões de Cultura na região norte do estado.</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01 Vaga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03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r>
    </w:tbl>
    <w:p w:rsidR="00000000" w:rsidDel="00000000" w:rsidP="00000000" w:rsidRDefault="00000000" w:rsidRPr="00000000" w14:paraId="0000001E">
      <w:pPr>
        <w:tabs>
          <w:tab w:val="center" w:leader="none" w:pos="0"/>
        </w:tabs>
        <w:spacing w:after="12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F">
      <w:pPr>
        <w:numPr>
          <w:ilvl w:val="0"/>
          <w:numId w:val="4"/>
        </w:numPr>
        <w:tabs>
          <w:tab w:val="center" w:leader="none" w:pos="0"/>
        </w:tabs>
        <w:spacing w:after="120" w:line="24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COTAS</w:t>
      </w:r>
    </w:p>
    <w:p w:rsidR="00000000" w:rsidDel="00000000" w:rsidP="00000000" w:rsidRDefault="00000000" w:rsidRPr="00000000" w14:paraId="00000020">
      <w:pPr>
        <w:tabs>
          <w:tab w:val="center" w:leader="none" w:pos="0"/>
        </w:tabs>
        <w:spacing w:line="240" w:lineRule="auto"/>
        <w:jc w:val="both"/>
        <w:rPr>
          <w:rFonts w:ascii="Calibri" w:cs="Calibri" w:eastAsia="Calibri" w:hAnsi="Calibri"/>
          <w:color w:val="ff0000"/>
          <w:sz w:val="24"/>
          <w:szCs w:val="24"/>
        </w:rPr>
      </w:pPr>
      <w:r w:rsidDel="00000000" w:rsidR="00000000" w:rsidRPr="00000000">
        <w:rPr>
          <w:rtl w:val="0"/>
        </w:rPr>
      </w:r>
    </w:p>
    <w:tbl>
      <w:tblPr>
        <w:tblStyle w:val="Table2"/>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7"/>
        <w:gridCol w:w="6977"/>
        <w:tblGridChange w:id="0">
          <w:tblGrid>
            <w:gridCol w:w="6977"/>
            <w:gridCol w:w="6977"/>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rPr>
                <w:rFonts w:ascii="Calibri" w:cs="Calibri" w:eastAsia="Calibri" w:hAnsi="Calibri"/>
                <w:b w:val="1"/>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NÚMERO DE VAGAS MÍNIMAS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pessoas negras (pretas ou pardas)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line="24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definir o número absoluto de vagas mínimas - mínimo de 25% (vinte e cinco por cento) das vagas - cota obrigatória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pessoas indígenas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definir o número absoluto de vagas mínimas - mínimo de 10% (dez por cento) das vagas - cota obrigatória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pessoas com deficiência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definir o número absoluto de vagas mínimas - mínimo de 5% (cinco por cento) das vagas - cota obrigatória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line="240" w:lineRule="auto"/>
              <w:rPr>
                <w:rFonts w:ascii="Calibri" w:cs="Calibri" w:eastAsia="Calibri" w:hAnsi="Calibri"/>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B">
            <w:pPr>
              <w:tabs>
                <w:tab w:val="center" w:leader="none" w:pos="0"/>
              </w:tabs>
              <w:spacing w:after="120" w:line="240" w:lineRule="auto"/>
              <w:jc w:val="both"/>
              <w:rPr>
                <w:rFonts w:ascii="Calibri" w:cs="Calibri" w:eastAsia="Calibri" w:hAnsi="Calibri"/>
                <w:b w:val="1"/>
                <w:color w:val="ff0000"/>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C">
            <w:pPr>
              <w:widowControl w:val="0"/>
              <w:spacing w:line="240" w:lineRule="auto"/>
              <w:rPr>
                <w:rFonts w:ascii="Calibri" w:cs="Calibri" w:eastAsia="Calibri" w:hAnsi="Calibri"/>
                <w:color w:val="ff0000"/>
                <w:sz w:val="24"/>
                <w:szCs w:val="24"/>
              </w:rPr>
            </w:pPr>
            <w:r w:rsidDel="00000000" w:rsidR="00000000" w:rsidRPr="00000000">
              <w:rPr>
                <w:rtl w:val="0"/>
              </w:rPr>
            </w:r>
          </w:p>
        </w:tc>
      </w:tr>
    </w:tbl>
    <w:p w:rsidR="00000000" w:rsidDel="00000000" w:rsidP="00000000" w:rsidRDefault="00000000" w:rsidRPr="00000000" w14:paraId="0000002D">
      <w:pPr>
        <w:tabs>
          <w:tab w:val="center" w:leader="none" w:pos="0"/>
        </w:tabs>
        <w:spacing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As cotas mínimas para pessoas negras (pretas ou pardas), pessoas indígenas e pessoas com deficiência seguem o previsto no Capítulo II da Instrução Normativa MinC nº 10, de 28 de dezembro de 2023, que dispõe sobre as regras e os procedimentos para implementação das ações afirmativas e medidas de acessibilidade de que trata o Decreto nº 11.740, de 18 de outubro de 2023, que regulamenta a Lei nº 14.399, de 08 de julho de 2022, a qual institui a Política Nacional Aldir Blanc de Fomento à Cultura.</w:t>
      </w:r>
    </w:p>
    <w:p w:rsidR="00000000" w:rsidDel="00000000" w:rsidP="00000000" w:rsidRDefault="00000000" w:rsidRPr="00000000" w14:paraId="0000002E">
      <w:pPr>
        <w:tabs>
          <w:tab w:val="center" w:leader="none" w:pos="0"/>
        </w:tabs>
        <w:spacing w:line="240" w:lineRule="auto"/>
        <w:jc w:val="cente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2F">
      <w:pPr>
        <w:tabs>
          <w:tab w:val="center" w:leader="none" w:pos="0"/>
        </w:tabs>
        <w:spacing w:line="240" w:lineRule="auto"/>
        <w:jc w:val="center"/>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ORIENTAÇÕES PARA DEFINIR CATEGORIAS E COTAS</w:t>
      </w:r>
    </w:p>
    <w:p w:rsidR="00000000" w:rsidDel="00000000" w:rsidP="00000000" w:rsidRDefault="00000000" w:rsidRPr="00000000" w14:paraId="00000030">
      <w:pPr>
        <w:tabs>
          <w:tab w:val="center" w:leader="none" w:pos="0"/>
        </w:tabs>
        <w:spacing w:after="120" w:line="240" w:lineRule="auto"/>
        <w:ind w:left="0" w:firstLine="0"/>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CATEGORIAS:</w:t>
      </w:r>
    </w:p>
    <w:p w:rsidR="00000000" w:rsidDel="00000000" w:rsidP="00000000" w:rsidRDefault="00000000" w:rsidRPr="00000000" w14:paraId="00000031">
      <w:pPr>
        <w:numPr>
          <w:ilvl w:val="0"/>
          <w:numId w:val="2"/>
        </w:numPr>
        <w:tabs>
          <w:tab w:val="center" w:leader="none" w:pos="0"/>
        </w:tabs>
        <w:spacing w:line="240" w:lineRule="auto"/>
        <w:ind w:left="720" w:hanging="360"/>
        <w:jc w:val="both"/>
        <w:rPr>
          <w:rFonts w:ascii="Calibri" w:cs="Calibri" w:eastAsia="Calibri" w:hAnsi="Calibri"/>
          <w:color w:val="ff0000"/>
          <w:sz w:val="24"/>
          <w:szCs w:val="24"/>
          <w:u w:val="none"/>
        </w:rPr>
      </w:pPr>
      <w:r w:rsidDel="00000000" w:rsidR="00000000" w:rsidRPr="00000000">
        <w:rPr>
          <w:rFonts w:ascii="Calibri" w:cs="Calibri" w:eastAsia="Calibri" w:hAnsi="Calibri"/>
          <w:color w:val="ff0000"/>
          <w:sz w:val="24"/>
          <w:szCs w:val="24"/>
          <w:rtl w:val="0"/>
        </w:rPr>
        <w:t xml:space="preserve">O Ente Federativo poderá definir categorias e valores específicos, com valores anuais mínimos de R$300mil (trezentos mil) e máximo de R$800mil (oitocentos mil), no quantitativo que julgar pertinente (inclusive, não definir categorias), desde que mantidos os princípios, diretrizes e objetivos da PNCV e da PNAB. A adoção de quaisquer categorias deverá ser justificada nos relatórios de monitoramento da implementação da PNAB.</w:t>
      </w:r>
    </w:p>
    <w:p w:rsidR="00000000" w:rsidDel="00000000" w:rsidP="00000000" w:rsidRDefault="00000000" w:rsidRPr="00000000" w14:paraId="00000032">
      <w:pPr>
        <w:tabs>
          <w:tab w:val="center" w:leader="none" w:pos="0"/>
        </w:tabs>
        <w:spacing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33">
      <w:pPr>
        <w:numPr>
          <w:ilvl w:val="0"/>
          <w:numId w:val="2"/>
        </w:numPr>
        <w:tabs>
          <w:tab w:val="center" w:leader="none" w:pos="0"/>
        </w:tabs>
        <w:spacing w:line="240" w:lineRule="auto"/>
        <w:ind w:left="720" w:hanging="360"/>
        <w:jc w:val="both"/>
        <w:rPr>
          <w:color w:val="ff0000"/>
        </w:rPr>
      </w:pPr>
      <w:r w:rsidDel="00000000" w:rsidR="00000000" w:rsidRPr="00000000">
        <w:rPr>
          <w:rFonts w:ascii="Calibri" w:cs="Calibri" w:eastAsia="Calibri" w:hAnsi="Calibri"/>
          <w:color w:val="ff0000"/>
          <w:sz w:val="24"/>
          <w:szCs w:val="24"/>
          <w:rtl w:val="0"/>
        </w:rPr>
        <w:t xml:space="preserve">Deverão ser selecionados, no mínimo, 30% (trinta por cento) de projetos apresentados por entidades com trajetória declarada e comprovadamente ligadas às culturas populares e tradicionais, e que tenham seus planos de trabalho também com ações voltadas ao segmento. Este percentual pode ser composto junto às vagas destinadas às cotas (ou seja, não precisam ser somadas às vagas destinadas às cotas para pessoas negras, indígenas e com deficiência, podendo haver interseção entre estas e as destinadas às culturas populares e tradicionais); </w:t>
      </w:r>
    </w:p>
    <w:p w:rsidR="00000000" w:rsidDel="00000000" w:rsidP="00000000" w:rsidRDefault="00000000" w:rsidRPr="00000000" w14:paraId="00000034">
      <w:pPr>
        <w:numPr>
          <w:ilvl w:val="0"/>
          <w:numId w:val="2"/>
        </w:numPr>
        <w:tabs>
          <w:tab w:val="center" w:leader="none" w:pos="0"/>
        </w:tabs>
        <w:spacing w:line="240" w:lineRule="auto"/>
        <w:ind w:left="720" w:hanging="360"/>
        <w:jc w:val="both"/>
        <w:rPr>
          <w:color w:val="ff0000"/>
        </w:rPr>
      </w:pPr>
      <w:r w:rsidDel="00000000" w:rsidR="00000000" w:rsidRPr="00000000">
        <w:rPr>
          <w:rFonts w:ascii="Calibri" w:cs="Calibri" w:eastAsia="Calibri" w:hAnsi="Calibri"/>
          <w:color w:val="ff0000"/>
          <w:sz w:val="24"/>
          <w:szCs w:val="24"/>
          <w:rtl w:val="0"/>
        </w:rPr>
        <w:t xml:space="preserve">No mínimo, 30% das vagas deverão ser destinadas à ampla concorrência, sem incidência de categorias. A exceção é para o caso de definição de cotas territoriais/regionais, que abranjam toda a área de abrangência do estado/DF/municípios e permitam a livre concorrência;</w:t>
      </w:r>
    </w:p>
    <w:p w:rsidR="00000000" w:rsidDel="00000000" w:rsidP="00000000" w:rsidRDefault="00000000" w:rsidRPr="00000000" w14:paraId="00000035">
      <w:pPr>
        <w:numPr>
          <w:ilvl w:val="0"/>
          <w:numId w:val="2"/>
        </w:numPr>
        <w:tabs>
          <w:tab w:val="center" w:leader="none" w:pos="0"/>
        </w:tabs>
        <w:spacing w:line="240" w:lineRule="auto"/>
        <w:ind w:left="720" w:hanging="36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Visando à desconcentração territorial e à regionalização, os Entes Federativos devem estar atentos ao previsto no Capítulo VI da Instrução Normativa MinC nº 10, de 28 de dezembro de 2023, que dispõe sobre as regras e os procedimentos para implementação das ações afirmativas e medidas de acessibilidade de que trata o Decreto nº 11.740, de 18 de outubro de 2023, que regulamenta a Lei nº 14.399, de 08 de julho de 2022, a qual institui a Política Nacional Aldir Blanc de Fomento à Cultura. Em especial, destaca-se:</w:t>
      </w:r>
    </w:p>
    <w:p w:rsidR="00000000" w:rsidDel="00000000" w:rsidP="00000000" w:rsidRDefault="00000000" w:rsidRPr="00000000" w14:paraId="00000036">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tl w:val="0"/>
        </w:rPr>
      </w:r>
    </w:p>
    <w:p w:rsidR="00000000" w:rsidDel="00000000" w:rsidP="00000000" w:rsidRDefault="00000000" w:rsidRPr="00000000" w14:paraId="00000037">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CAPÍTULO VI - DAS MEDIDAS DE DESCONCENTRAÇÃO TERRITORIAL E REGIONALIZAÇÃO</w:t>
      </w:r>
    </w:p>
    <w:p w:rsidR="00000000" w:rsidDel="00000000" w:rsidP="00000000" w:rsidRDefault="00000000" w:rsidRPr="00000000" w14:paraId="00000038">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Art. 15. Os entes deverão instituir mecanismos de desconcentração territorial e regionalização dos recursos, inclusive com vistas à implementação do percentual de 20% (vinte por cento) de que trata o art. 6º, II, da PNAB, em ações de incentivo direto a programas, a projetos e a ações de democratização do acesso à fruição e à produção artística e cultural em áreas periféricas, urbanas e rurais, e em territórios e regiões de maior vulnerabilidade econômica ou social, bem como em áreas de povos e comunidades tradicionais, quais sejam:</w:t>
      </w:r>
    </w:p>
    <w:p w:rsidR="00000000" w:rsidDel="00000000" w:rsidP="00000000" w:rsidRDefault="00000000" w:rsidRPr="00000000" w14:paraId="00000039">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I - regiões periféricas;</w:t>
      </w:r>
    </w:p>
    <w:p w:rsidR="00000000" w:rsidDel="00000000" w:rsidP="00000000" w:rsidRDefault="00000000" w:rsidRPr="00000000" w14:paraId="0000003A">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II - regiões com menor Índice de Desenvolvimento Humano - IDH;</w:t>
      </w:r>
    </w:p>
    <w:p w:rsidR="00000000" w:rsidDel="00000000" w:rsidP="00000000" w:rsidRDefault="00000000" w:rsidRPr="00000000" w14:paraId="0000003B">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III - regiões onde são localizados conjuntos e empreendimentos habitacionais, e programas habitacionais de interesse social, promovidos por programas do governo federal ou local;</w:t>
      </w:r>
    </w:p>
    <w:p w:rsidR="00000000" w:rsidDel="00000000" w:rsidP="00000000" w:rsidRDefault="00000000" w:rsidRPr="00000000" w14:paraId="0000003C">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IV - assentamentos e acampamentos;</w:t>
      </w:r>
    </w:p>
    <w:p w:rsidR="00000000" w:rsidDel="00000000" w:rsidP="00000000" w:rsidRDefault="00000000" w:rsidRPr="00000000" w14:paraId="0000003D">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V - regiões com menor presença de espaços e equipamentos culturais públicos;</w:t>
      </w:r>
    </w:p>
    <w:p w:rsidR="00000000" w:rsidDel="00000000" w:rsidP="00000000" w:rsidRDefault="00000000" w:rsidRPr="00000000" w14:paraId="0000003E">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VI - regiões com menor histórico de acesso aos recursos da política pública de cultura;</w:t>
      </w:r>
    </w:p>
    <w:p w:rsidR="00000000" w:rsidDel="00000000" w:rsidP="00000000" w:rsidRDefault="00000000" w:rsidRPr="00000000" w14:paraId="0000003F">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VII - zonas especiais de interesse social; VIII - áreas atingidas por desastres naturais;</w:t>
      </w:r>
    </w:p>
    <w:p w:rsidR="00000000" w:rsidDel="00000000" w:rsidP="00000000" w:rsidRDefault="00000000" w:rsidRPr="00000000" w14:paraId="00000040">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IX - territórios quilombolas;</w:t>
      </w:r>
    </w:p>
    <w:p w:rsidR="00000000" w:rsidDel="00000000" w:rsidP="00000000" w:rsidRDefault="00000000" w:rsidRPr="00000000" w14:paraId="00000041">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X - territórios indígenas;</w:t>
      </w:r>
    </w:p>
    <w:p w:rsidR="00000000" w:rsidDel="00000000" w:rsidP="00000000" w:rsidRDefault="00000000" w:rsidRPr="00000000" w14:paraId="00000042">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XI - territórios rurais;</w:t>
      </w:r>
    </w:p>
    <w:p w:rsidR="00000000" w:rsidDel="00000000" w:rsidP="00000000" w:rsidRDefault="00000000" w:rsidRPr="00000000" w14:paraId="00000043">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XII - espaços comunitários de convivência, acolhimento e alimentação; e</w:t>
      </w:r>
    </w:p>
    <w:p w:rsidR="00000000" w:rsidDel="00000000" w:rsidP="00000000" w:rsidRDefault="00000000" w:rsidRPr="00000000" w14:paraId="00000044">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XIII - demais regiões que sejam habitadas por pessoas em situação de vulnerabilidade econômica ou social.</w:t>
      </w:r>
    </w:p>
    <w:p w:rsidR="00000000" w:rsidDel="00000000" w:rsidP="00000000" w:rsidRDefault="00000000" w:rsidRPr="00000000" w14:paraId="00000045">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 1º As ações afirmativas de que tratam o caput podem ser empregadas quando os projetos são realizados nos territórios e regiões ou quando são propostos por agentes culturais nelas residentes.</w:t>
      </w:r>
    </w:p>
    <w:p w:rsidR="00000000" w:rsidDel="00000000" w:rsidP="00000000" w:rsidRDefault="00000000" w:rsidRPr="00000000" w14:paraId="00000046">
      <w:pPr>
        <w:tabs>
          <w:tab w:val="center" w:leader="none" w:pos="0"/>
        </w:tabs>
        <w:spacing w:line="240" w:lineRule="auto"/>
        <w:ind w:left="1440" w:firstLine="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2º Para fins de aferição do percentual estabelecido no art. 6º, II, da PNAB, serão consideradas apenas as ações e projetos realizados nos territórios e regiões de que tratam este artigo.”</w:t>
      </w:r>
    </w:p>
    <w:p w:rsidR="00000000" w:rsidDel="00000000" w:rsidP="00000000" w:rsidRDefault="00000000" w:rsidRPr="00000000" w14:paraId="00000047">
      <w:pPr>
        <w:tabs>
          <w:tab w:val="center" w:leader="none" w:pos="0"/>
        </w:tabs>
        <w:spacing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48">
      <w:pPr>
        <w:tabs>
          <w:tab w:val="center" w:leader="none" w:pos="0"/>
        </w:tabs>
        <w:spacing w:after="120" w:line="240" w:lineRule="auto"/>
        <w:jc w:val="both"/>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049">
      <w:pPr>
        <w:tabs>
          <w:tab w:val="center" w:leader="none" w:pos="0"/>
        </w:tabs>
        <w:spacing w:after="120" w:line="240" w:lineRule="auto"/>
        <w:ind w:left="0" w:firstLine="0"/>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COTAS:</w:t>
      </w:r>
    </w:p>
    <w:p w:rsidR="00000000" w:rsidDel="00000000" w:rsidP="00000000" w:rsidRDefault="00000000" w:rsidRPr="00000000" w14:paraId="0000004A">
      <w:pPr>
        <w:numPr>
          <w:ilvl w:val="0"/>
          <w:numId w:val="3"/>
        </w:numPr>
        <w:tabs>
          <w:tab w:val="center" w:leader="none" w:pos="0"/>
        </w:tabs>
        <w:spacing w:after="0" w:line="240" w:lineRule="auto"/>
        <w:ind w:left="720" w:hanging="360"/>
        <w:jc w:val="both"/>
        <w:rPr>
          <w:rFonts w:ascii="Calibri" w:cs="Calibri" w:eastAsia="Calibri" w:hAnsi="Calibri"/>
          <w:color w:val="ff0000"/>
          <w:sz w:val="24"/>
          <w:szCs w:val="24"/>
          <w:u w:val="none"/>
        </w:rPr>
      </w:pPr>
      <w:r w:rsidDel="00000000" w:rsidR="00000000" w:rsidRPr="00000000">
        <w:rPr>
          <w:rFonts w:ascii="Calibri" w:cs="Calibri" w:eastAsia="Calibri" w:hAnsi="Calibri"/>
          <w:color w:val="ff0000"/>
          <w:sz w:val="24"/>
          <w:szCs w:val="24"/>
          <w:rtl w:val="0"/>
        </w:rPr>
        <w:t xml:space="preserve">Além das cotas obrigatórias, o Ente Federativo poderá definir cotas específicas, no quantitativo que julgar pertinente, desde que mantidos os princípios, diretrizes e objetivos da PNCV e da PNAB. A adoção de quaisquer cotas deverá ser justificada nos relatórios de monitoramento da implementação da PNAB.</w:t>
      </w:r>
    </w:p>
    <w:p w:rsidR="00000000" w:rsidDel="00000000" w:rsidP="00000000" w:rsidRDefault="00000000" w:rsidRPr="00000000" w14:paraId="0000004B">
      <w:pPr>
        <w:tabs>
          <w:tab w:val="center" w:leader="none" w:pos="0"/>
        </w:tabs>
        <w:spacing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4C">
      <w:pPr>
        <w:numPr>
          <w:ilvl w:val="0"/>
          <w:numId w:val="1"/>
        </w:numPr>
        <w:tabs>
          <w:tab w:val="center" w:leader="none" w:pos="0"/>
        </w:tabs>
        <w:spacing w:line="240" w:lineRule="auto"/>
        <w:ind w:left="720" w:hanging="36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 Ente Federativo deverá considerar o conjunto de regramentos previstos na referida IN. Em especial, destaca-se:</w:t>
      </w:r>
    </w:p>
    <w:p w:rsidR="00000000" w:rsidDel="00000000" w:rsidP="00000000" w:rsidRDefault="00000000" w:rsidRPr="00000000" w14:paraId="0000004D">
      <w:pPr>
        <w:tabs>
          <w:tab w:val="center" w:leader="none" w:pos="0"/>
        </w:tabs>
        <w:spacing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4E">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CAPÍTULO II - DAS POLÍTICAS DE COTAS OU RESERVA DE VAGAS</w:t>
      </w:r>
    </w:p>
    <w:p w:rsidR="00000000" w:rsidDel="00000000" w:rsidP="00000000" w:rsidRDefault="00000000" w:rsidRPr="00000000" w14:paraId="0000004F">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Art. 5º A política de cotas tem como objeto garantir a reserva de um percentual mínimo de vagas a grupos específicos, sendo aplicáveis aos procedimentos públicos de seleção de que trata a Lei nº 14.399, de 2022.</w:t>
      </w:r>
    </w:p>
    <w:p w:rsidR="00000000" w:rsidDel="00000000" w:rsidP="00000000" w:rsidRDefault="00000000" w:rsidRPr="00000000" w14:paraId="00000050">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Art. 6º Ficam garantidas cotas em todos os editais de fomento realizados com recursos da Lei nº 14.399, de 2022, de no mínimo:</w:t>
      </w:r>
    </w:p>
    <w:p w:rsidR="00000000" w:rsidDel="00000000" w:rsidP="00000000" w:rsidRDefault="00000000" w:rsidRPr="00000000" w14:paraId="00000051">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I - vinte e cinco por cento das vagas para pessoas negras (pretas ou pardas);</w:t>
      </w:r>
    </w:p>
    <w:p w:rsidR="00000000" w:rsidDel="00000000" w:rsidP="00000000" w:rsidRDefault="00000000" w:rsidRPr="00000000" w14:paraId="00000052">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II - dez por cento das vagas para pessoas indígenas; e</w:t>
      </w:r>
    </w:p>
    <w:p w:rsidR="00000000" w:rsidDel="00000000" w:rsidP="00000000" w:rsidRDefault="00000000" w:rsidRPr="00000000" w14:paraId="00000053">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III - cinco por cento para pessoas com deficiência.</w:t>
      </w:r>
    </w:p>
    <w:p w:rsidR="00000000" w:rsidDel="00000000" w:rsidP="00000000" w:rsidRDefault="00000000" w:rsidRPr="00000000" w14:paraId="00000054">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 1º O percentual de que trata este artigo pode ser ampliado considerando legislações locais mais benéficas ao público-alvo da ação afirmativa e o quantitativo de pessoas negras, indígenas, e pessoas com deficiência na região.</w:t>
      </w:r>
    </w:p>
    <w:p w:rsidR="00000000" w:rsidDel="00000000" w:rsidP="00000000" w:rsidRDefault="00000000" w:rsidRPr="00000000" w14:paraId="00000055">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p>
    <w:p w:rsidR="00000000" w:rsidDel="00000000" w:rsidP="00000000" w:rsidRDefault="00000000" w:rsidRPr="00000000" w14:paraId="00000056">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 3º Em caso de editais divididos em categorias, devem ser estabelecidas cotas em todas elas, ressalvados os casos de impossibilidade fática, no qual o percentual mínimo de reserva será aplicado ao total das vagas do edital.</w:t>
      </w:r>
    </w:p>
    <w:p w:rsidR="00000000" w:rsidDel="00000000" w:rsidP="00000000" w:rsidRDefault="00000000" w:rsidRPr="00000000" w14:paraId="00000057">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 (retificação publicada no DOU de 10/01/2024)</w:t>
      </w:r>
    </w:p>
    <w:p w:rsidR="00000000" w:rsidDel="00000000" w:rsidP="00000000" w:rsidRDefault="00000000" w:rsidRPr="00000000" w14:paraId="00000058">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 5º Nos casos de editais específicos de que trata o art. 14, o estabelecimento de cotas para pessoas negras e indígenas pode ser dispensado, caso o edital seja integralmente direcionado a proponentes de grupos étnico-raciais público-alvo de ações afirmativas.</w:t>
      </w:r>
    </w:p>
    <w:p w:rsidR="00000000" w:rsidDel="00000000" w:rsidP="00000000" w:rsidRDefault="00000000" w:rsidRPr="00000000" w14:paraId="00000059">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 6º As cotas previstas neste artigo podem ser implementadas juntamente com:</w:t>
      </w:r>
    </w:p>
    <w:p w:rsidR="00000000" w:rsidDel="00000000" w:rsidP="00000000" w:rsidRDefault="00000000" w:rsidRPr="00000000" w14:paraId="0000005A">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I - cotas para outros grupos sociais e;</w:t>
      </w:r>
    </w:p>
    <w:p w:rsidR="00000000" w:rsidDel="00000000" w:rsidP="00000000" w:rsidRDefault="00000000" w:rsidRPr="00000000" w14:paraId="0000005B">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II - outras ações afirmativas, tais como editais específicos e critérios diferenciados de pontuação.</w:t>
      </w:r>
    </w:p>
    <w:p w:rsidR="00000000" w:rsidDel="00000000" w:rsidP="00000000" w:rsidRDefault="00000000" w:rsidRPr="00000000" w14:paraId="0000005C">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Art. 7º Os agentes culturais que optarem por concorrer às cotas concorrerão concomitantemente às vagas destinadas à ampla concorrência, de acordo com a sua classificação no processo.</w:t>
      </w:r>
    </w:p>
    <w:p w:rsidR="00000000" w:rsidDel="00000000" w:rsidP="00000000" w:rsidRDefault="00000000" w:rsidRPr="00000000" w14:paraId="0000005D">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 1º As pessoas que optarem pelas cotas e atingirem nota suficiente para se classificar no número de vagas oferecidas para ampla concorrência não ocuparão as vagas destinadas para o preenchimento das cotas.</w:t>
      </w:r>
    </w:p>
    <w:p w:rsidR="00000000" w:rsidDel="00000000" w:rsidP="00000000" w:rsidRDefault="00000000" w:rsidRPr="00000000" w14:paraId="0000005E">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 2º Em caso de desistência de optantes aprovados nas cotas, a vaga não preenchida deverá ser ocupada por pessoa que concorreu às cotas de acordo com a ordem de classificação.</w:t>
      </w:r>
    </w:p>
    <w:p w:rsidR="00000000" w:rsidDel="00000000" w:rsidP="00000000" w:rsidRDefault="00000000" w:rsidRPr="00000000" w14:paraId="0000005F">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 3º No caso de não existirem propostas aptas em número suficiente para o cumprimento de uma das categorias de cotas previstas na seleção, o número de vagas restantes deverá ser destinado inicialmente para a outra categoria de cotas.</w:t>
      </w:r>
    </w:p>
    <w:p w:rsidR="00000000" w:rsidDel="00000000" w:rsidP="00000000" w:rsidRDefault="00000000" w:rsidRPr="00000000" w14:paraId="00000060">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 4º Caso não haja outra categoria de cotas de que trata o §3º, as vagas não preenchidas deverão ser direcionadas para a ampla concorrência, sendo os demais candidatos selecionados de acordo com a ordem de classificação.</w:t>
      </w:r>
    </w:p>
    <w:p w:rsidR="00000000" w:rsidDel="00000000" w:rsidP="00000000" w:rsidRDefault="00000000" w:rsidRPr="00000000" w14:paraId="00000061">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Art. 8º Para concorrer às cotas, os agentes culturais deverão autodeclarar-se no ato de inscrição, conforme modelos constantes nos Anexo I e II, ou outro modelo disponibilizado pelo ente federativo.</w:t>
      </w:r>
    </w:p>
    <w:p w:rsidR="00000000" w:rsidDel="00000000" w:rsidP="00000000" w:rsidRDefault="00000000" w:rsidRPr="00000000" w14:paraId="00000062">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Parágrafo único. A autodeclaração poderá ser apresentada por escrito, em vídeo, áudio, em Libras, ou em outros formatos acessíveis.</w:t>
      </w:r>
    </w:p>
    <w:p w:rsidR="00000000" w:rsidDel="00000000" w:rsidP="00000000" w:rsidRDefault="00000000" w:rsidRPr="00000000" w14:paraId="00000063">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Art. 9º A autodeclaração do agente cultural goza de presunção de veracidade, podendo os Entes Federativos estabelecer em editais procedimentos complementares, tais como:</w:t>
      </w:r>
    </w:p>
    <w:p w:rsidR="00000000" w:rsidDel="00000000" w:rsidP="00000000" w:rsidRDefault="00000000" w:rsidRPr="00000000" w14:paraId="00000064">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I - heteroidentificação: procedimento complementar à autodeclaração de pertencimento racial, para confirmação, por terceiros, da identificação como pessoa negra (preta ou parda) de acordo com seu fenótipo, isto é, conforme suas características físicas;</w:t>
      </w:r>
    </w:p>
    <w:p w:rsidR="00000000" w:rsidDel="00000000" w:rsidP="00000000" w:rsidRDefault="00000000" w:rsidRPr="00000000" w14:paraId="00000065">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II - solicitação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III;</w:t>
      </w:r>
    </w:p>
    <w:p w:rsidR="00000000" w:rsidDel="00000000" w:rsidP="00000000" w:rsidRDefault="00000000" w:rsidRPr="00000000" w14:paraId="00000066">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p>
    <w:p w:rsidR="00000000" w:rsidDel="00000000" w:rsidP="00000000" w:rsidRDefault="00000000" w:rsidRPr="00000000" w14:paraId="00000067">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IV - procedimento de avaliação biopsicossocial realizada nos termos do § 1º do art. 2º da Lei nº 13.146, de 2015, solicitação de documentos como laudo médico, Certificado da Pessoa com Deficiência ou comprovante de recebimento de Benefício de Prestação Continuada à Pessoa com Deficiência; ou</w:t>
      </w:r>
    </w:p>
    <w:p w:rsidR="00000000" w:rsidDel="00000000" w:rsidP="00000000" w:rsidRDefault="00000000" w:rsidRPr="00000000" w14:paraId="00000068">
      <w:pPr>
        <w:tabs>
          <w:tab w:val="center" w:leader="none" w:pos="0"/>
        </w:tabs>
        <w:spacing w:line="240" w:lineRule="auto"/>
        <w:ind w:left="1440" w:firstLine="0"/>
        <w:jc w:val="both"/>
        <w:rPr>
          <w:rFonts w:ascii="Calibri" w:cs="Calibri" w:eastAsia="Calibri" w:hAnsi="Calibri"/>
          <w:color w:val="ff0000"/>
          <w:sz w:val="24"/>
          <w:szCs w:val="24"/>
        </w:rPr>
      </w:pPr>
      <w:r w:rsidDel="00000000" w:rsidR="00000000" w:rsidRPr="00000000">
        <w:rPr>
          <w:rFonts w:ascii="Calibri" w:cs="Calibri" w:eastAsia="Calibri" w:hAnsi="Calibri"/>
          <w:i w:val="1"/>
          <w:color w:val="ff0000"/>
          <w:sz w:val="24"/>
          <w:szCs w:val="24"/>
          <w:rtl w:val="0"/>
        </w:rPr>
        <w:t xml:space="preserve">V - outras estratégias com vistas a garantir que as cotas sejam destinadas a pessoas negras, indígenas ou com deficiência.</w:t>
      </w:r>
      <w:r w:rsidDel="00000000" w:rsidR="00000000" w:rsidRPr="00000000">
        <w:rPr>
          <w:rtl w:val="0"/>
        </w:rPr>
      </w:r>
    </w:p>
    <w:sectPr>
      <w:headerReference r:id="rId7" w:type="default"/>
      <w:footerReference r:id="rId8"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ind w:left="-992.1259842519685" w:firstLine="0"/>
      <w:rPr/>
    </w:pPr>
    <w:r w:rsidDel="00000000" w:rsidR="00000000" w:rsidRPr="00000000">
      <w:rPr>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1066800</wp:posOffset>
          </wp:positionH>
          <wp:positionV relativeFrom="paragraph">
            <wp:posOffset>-30487</wp:posOffset>
          </wp:positionV>
          <wp:extent cx="2925675" cy="390090"/>
          <wp:effectExtent b="0" l="0" r="0" t="0"/>
          <wp:wrapNone/>
          <wp:docPr id="7"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2925675" cy="3900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8420100</wp:posOffset>
          </wp:positionH>
          <wp:positionV relativeFrom="paragraph">
            <wp:posOffset>-178124</wp:posOffset>
          </wp:positionV>
          <wp:extent cx="1153265" cy="681903"/>
          <wp:effectExtent b="0" l="0" r="0" t="0"/>
          <wp:wrapNone/>
          <wp:docPr descr="Logotipo&#10;&#10;O conteúdo gerado por IA pode estar incorreto." id="6" name="image4.png"/>
          <a:graphic>
            <a:graphicData uri="http://schemas.openxmlformats.org/drawingml/2006/picture">
              <pic:pic>
                <pic:nvPicPr>
                  <pic:cNvPr descr="Logotipo&#10;&#10;O conteúdo gerado por IA pode estar incorreto." id="0" name="image4.png"/>
                  <pic:cNvPicPr preferRelativeResize="0"/>
                </pic:nvPicPr>
                <pic:blipFill>
                  <a:blip r:embed="rId2"/>
                  <a:srcRect b="0" l="0" r="0" t="0"/>
                  <a:stretch>
                    <a:fillRect/>
                  </a:stretch>
                </pic:blipFill>
                <pic:spPr>
                  <a:xfrm>
                    <a:off x="0" y="0"/>
                    <a:ext cx="1153265" cy="681903"/>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6372225</wp:posOffset>
          </wp:positionH>
          <wp:positionV relativeFrom="paragraph">
            <wp:posOffset>-206699</wp:posOffset>
          </wp:positionV>
          <wp:extent cx="882015" cy="739140"/>
          <wp:effectExtent b="0" l="0" r="0" t="0"/>
          <wp:wrapNone/>
          <wp:docPr descr="Fundo preto com letras brancas&#10;&#10;O conteúdo gerado por IA pode estar incorreto." id="8" name="image3.png"/>
          <a:graphic>
            <a:graphicData uri="http://schemas.openxmlformats.org/drawingml/2006/picture">
              <pic:pic>
                <pic:nvPicPr>
                  <pic:cNvPr descr="Fundo preto com letras brancas&#10;&#10;O conteúdo gerado por IA pode estar incorreto." id="0" name="image3.png"/>
                  <pic:cNvPicPr preferRelativeResize="0"/>
                </pic:nvPicPr>
                <pic:blipFill>
                  <a:blip r:embed="rId3"/>
                  <a:srcRect b="0" l="64784" r="20738" t="91487"/>
                  <a:stretch>
                    <a:fillRect/>
                  </a:stretch>
                </pic:blipFill>
                <pic:spPr>
                  <a:xfrm>
                    <a:off x="0" y="0"/>
                    <a:ext cx="882015" cy="7391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-752474</wp:posOffset>
          </wp:positionH>
          <wp:positionV relativeFrom="paragraph">
            <wp:posOffset>-54299</wp:posOffset>
          </wp:positionV>
          <wp:extent cx="1201988" cy="628650"/>
          <wp:effectExtent b="0" l="0" r="0" t="0"/>
          <wp:wrapNone/>
          <wp:docPr descr="Logotipo&#10;&#10;O conteúdo gerado por IA pode estar incorreto." id="10" name="image1.png"/>
          <a:graphic>
            <a:graphicData uri="http://schemas.openxmlformats.org/drawingml/2006/picture">
              <pic:pic>
                <pic:nvPicPr>
                  <pic:cNvPr descr="Logotipo&#10;&#10;O conteúdo gerado por IA pode estar incorreto." id="0" name="image1.png"/>
                  <pic:cNvPicPr preferRelativeResize="0"/>
                </pic:nvPicPr>
                <pic:blipFill>
                  <a:blip r:embed="rId4"/>
                  <a:srcRect b="0" l="0" r="0" t="0"/>
                  <a:stretch>
                    <a:fillRect/>
                  </a:stretch>
                </pic:blipFill>
                <pic:spPr>
                  <a:xfrm>
                    <a:off x="0" y="0"/>
                    <a:ext cx="1201988" cy="6286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4552950</wp:posOffset>
          </wp:positionH>
          <wp:positionV relativeFrom="paragraph">
            <wp:posOffset>-54299</wp:posOffset>
          </wp:positionV>
          <wp:extent cx="723066" cy="509001"/>
          <wp:effectExtent b="0" l="0" r="0" t="0"/>
          <wp:wrapNone/>
          <wp:docPr descr="Logotipo&#10;&#10;O conteúdo gerado por IA pode estar incorreto." id="5" name="image2.png"/>
          <a:graphic>
            <a:graphicData uri="http://schemas.openxmlformats.org/drawingml/2006/picture">
              <pic:pic>
                <pic:nvPicPr>
                  <pic:cNvPr descr="Logotipo&#10;&#10;O conteúdo gerado por IA pode estar incorreto." id="0" name="image2.png"/>
                  <pic:cNvPicPr preferRelativeResize="0"/>
                </pic:nvPicPr>
                <pic:blipFill>
                  <a:blip r:embed="rId5"/>
                  <a:srcRect b="0" l="0" r="0" t="0"/>
                  <a:stretch>
                    <a:fillRect/>
                  </a:stretch>
                </pic:blipFill>
                <pic:spPr>
                  <a:xfrm>
                    <a:off x="0" y="0"/>
                    <a:ext cx="723066" cy="509001"/>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ind w:left="-1133.8582677165355" w:firstLine="0"/>
      <w:jc w:val="both"/>
      <w:rPr/>
    </w:pPr>
    <w:r w:rsidDel="00000000" w:rsidR="00000000" w:rsidRPr="00000000">
      <w:rPr/>
      <w:drawing>
        <wp:inline distB="0" distT="0" distL="0" distR="0">
          <wp:extent cx="1186751" cy="853881"/>
          <wp:effectExtent b="0" l="0" r="0" t="0"/>
          <wp:docPr id="9"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186751" cy="853881"/>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4.png"/><Relationship Id="rId3" Type="http://schemas.openxmlformats.org/officeDocument/2006/relationships/image" Target="media/image3.png"/><Relationship Id="rId4" Type="http://schemas.openxmlformats.org/officeDocument/2006/relationships/image" Target="media/image1.png"/><Relationship Id="rId5"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CoOHacG9oPvEX6bXMBMD8YVYFQ==">CgMxLjA4AHIhMVBqT2NZVDlLeUZZWWxpWDBYSkV4UUpicFpNZVppdmlz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