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u w:val="single"/>
          <w:rtl w:val="0"/>
        </w:rPr>
        <w:t xml:space="preserve">(NÚMERO)/2025 INCLUIR NUMERAÇÃO PRÓPRIA)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 PONTOS E PONTÕES DE CULTURA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u w:val="single"/>
          <w:rtl w:val="0"/>
        </w:rPr>
        <w:t xml:space="preserve">INSERIR NOME DO ENTE FEDERADO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ANEXO 02 - CRITÉRIOS DE AVALIAÇÃO DA ETAPA DE SELEÇÃO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  <w:highlight w:val="magenta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Bloco 1: Avaliação da atuação da entidade ou coletivo cultural</w:t>
      </w:r>
      <w:r w:rsidDel="00000000" w:rsidR="00000000" w:rsidRPr="00000000">
        <w:rPr>
          <w:rtl w:val="0"/>
        </w:rPr>
      </w:r>
    </w:p>
    <w:tbl>
      <w:tblPr>
        <w:tblStyle w:val="Table1"/>
        <w:tblW w:w="139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"/>
        <w:gridCol w:w="8265"/>
        <w:gridCol w:w="915"/>
        <w:gridCol w:w="1395"/>
        <w:gridCol w:w="1455"/>
        <w:gridCol w:w="1500"/>
        <w:tblGridChange w:id="0">
          <w:tblGrid>
            <w:gridCol w:w="435"/>
            <w:gridCol w:w="8265"/>
            <w:gridCol w:w="915"/>
            <w:gridCol w:w="1395"/>
            <w:gridCol w:w="1455"/>
            <w:gridCol w:w="150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DISTRIBUIÇÃO DOS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 NO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Não Atende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Atende Parcialmente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Atende Plenamente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 pontos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a criação e a produção artística e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Estimula a exploração de espaços públicos e privados para serem disponibilizados para a ação cultural.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a diversidade cultural brasileira, garantindo diálogos interculturais.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a inclusão cultural da população idosa, de mulheres, jovens, pessoas negras, com deficiência, LGBTQIAP+ e/ou de baixa renda, combatendo as desigualdades sociais.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Contribui para o fortalecimento da autonomia social das comunidades.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Promove o intercâmbio entre diferentes segmentos da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Estimula a articulação das redes sociais e culturais e dessas com a educação.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Adota princípios de gestão compartilhada entre atores culturais não governamentais e o Estado.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Fomenta as economias solidária e criativa.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Estimula a proteção do patrimônio cultural material, imaterial e promove as memórias comunitárias.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Apoia e incentiva manifestações culturais tradicionais e populares.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 atividades culturais gratuitas e abertas com regularidade na comunidade.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ações da organização cultural estão relacionadas aos eixos estruturantes da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Política Nacional Cultura Viva,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por meio de ações nas áreas de formação, produção e/ou difusão sociocultural de maneira contínua.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r)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entidade possui articulação com outras organizações, compondo Frentes, Redes, Conselhos, Comissões, dentre outros espaços de participação e incidência política em áreas sinérgicas à Política Nacional Cultura Viva.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ser certificada, a entidade precisará alcançar a pontuação mínima de 50 (cinquenta) pontos.</w:t>
      </w:r>
    </w:p>
    <w:p w:rsidR="00000000" w:rsidDel="00000000" w:rsidP="00000000" w:rsidRDefault="00000000" w:rsidRPr="00000000" w14:paraId="0000006D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center" w:leader="none" w:pos="0"/>
        </w:tabs>
        <w:spacing w:after="12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Bloco 2 - Bonificações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CRITÉRIO DE BONIFICAÇÃO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PONTUAÇÃO ATRIBUÍDA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numPr>
          <w:ilvl w:val="0"/>
          <w:numId w:val="1"/>
        </w:numPr>
        <w:tabs>
          <w:tab w:val="center" w:leader="none" w:pos="0"/>
        </w:tabs>
        <w:spacing w:after="120" w:before="120" w:line="240" w:lineRule="auto"/>
        <w:ind w:left="720" w:hanging="36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Poderão ser atribuídas bonificações em formato de pontuação extra, seguindo diferentes critérios, de acordo com a deliberação do ente federado,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u w:val="single"/>
          <w:rtl w:val="0"/>
        </w:rPr>
        <w:t xml:space="preserve">até o limite total de 5 (cinco) pontos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. Inclusive, é possível a não adoção de nenhum tipo de bonificação.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20" w:before="120" w:lineRule="auto"/>
        <w:ind w:left="720" w:hanging="360"/>
        <w:jc w:val="both"/>
        <w:rPr>
          <w:rFonts w:ascii="Calibri" w:cs="Calibri" w:eastAsia="Calibri" w:hAnsi="Calibri"/>
          <w:color w:val="ff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[somente para editais estaduais] Será atribuído 20 pontos para candidaturas localizadas em municípios do seu Estado que não destinarem valores para a PNCV. O Ministério da Cultura fornecerá aos Estados a lista dos municípios que destinarem valores para a PNCV no Plano de Aplicação dos Recursos.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tabs>
          <w:tab w:val="center" w:leader="none" w:pos="0"/>
        </w:tabs>
        <w:spacing w:after="120" w:before="120" w:line="240" w:lineRule="auto"/>
        <w:ind w:left="720" w:hanging="36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O ente federado deverá considerar o conjunto de regramentos previstos na Instrução Normativa MinC nº 10, de 28 de dezembro de 2023, que dispõe sobre as regras e os procedimentos para implementação das ações afirmativas e medidas de acessibilidade de que trata o Decreto nº 11.740, de 18 de outubro de 2023, que regulamenta a Lei nº 14.399, de 08 de julho de 2022, a qual institui a Política Nacional Aldir Blanc de Fomento à Cultura. Em especial, o Capítulo III:</w:t>
      </w:r>
    </w:p>
    <w:p w:rsidR="00000000" w:rsidDel="00000000" w:rsidP="00000000" w:rsidRDefault="00000000" w:rsidRPr="00000000" w14:paraId="0000007B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DAS BONIFICAÇÕES OU DOS CRITÉRIOS DIFERENCIADOS DE PONTUAÇÃO</w:t>
      </w:r>
    </w:p>
    <w:p w:rsidR="00000000" w:rsidDel="00000000" w:rsidP="00000000" w:rsidRDefault="00000000" w:rsidRPr="00000000" w14:paraId="0000007C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Art. 11. Os critérios diferenciados de pontuação têm como objetivo valorizar e induzir propostas que contemplem ou tenham associação às políticas afirmativas, podendo ser aplicados a pessoas físicas, pessoas jurídicas ou grupos e coletivos sem constituição jurídica.</w:t>
      </w:r>
    </w:p>
    <w:p w:rsidR="00000000" w:rsidDel="00000000" w:rsidP="00000000" w:rsidRDefault="00000000" w:rsidRPr="00000000" w14:paraId="0000007D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Art. 12. Os procedimentos públicos de seleção podem conter critérios diferenciados de pontuação, inclusive critérios de desempate, considerando:</w:t>
      </w:r>
    </w:p>
    <w:p w:rsidR="00000000" w:rsidDel="00000000" w:rsidP="00000000" w:rsidRDefault="00000000" w:rsidRPr="00000000" w14:paraId="0000007E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I - o perfil do público-alvo a que a ação, projeto ou produto cultural é direcionado;</w:t>
      </w:r>
    </w:p>
    <w:p w:rsidR="00000000" w:rsidDel="00000000" w:rsidP="00000000" w:rsidRDefault="00000000" w:rsidRPr="00000000" w14:paraId="0000007F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II - o perfil do agente cultural que propõe a ação, projeto ou produto cultural;</w:t>
      </w:r>
    </w:p>
    <w:p w:rsidR="00000000" w:rsidDel="00000000" w:rsidP="00000000" w:rsidRDefault="00000000" w:rsidRPr="00000000" w14:paraId="00000080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III - a linguagem, expressão cultural e/ou temática da ação, projeto ou produto cultural;</w:t>
      </w:r>
    </w:p>
    <w:p w:rsidR="00000000" w:rsidDel="00000000" w:rsidP="00000000" w:rsidRDefault="00000000" w:rsidRPr="00000000" w14:paraId="00000081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IV - a facilitação do acesso pela população aos bens e serviços gerados pela ação, projeto ou produto cultural, por meio de:</w:t>
      </w:r>
    </w:p>
    <w:p w:rsidR="00000000" w:rsidDel="00000000" w:rsidP="00000000" w:rsidRDefault="00000000" w:rsidRPr="00000000" w14:paraId="00000082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a) gratuidade de ingressos ou ingressos a preços populares;</w:t>
      </w:r>
    </w:p>
    <w:p w:rsidR="00000000" w:rsidDel="00000000" w:rsidP="00000000" w:rsidRDefault="00000000" w:rsidRPr="00000000" w14:paraId="00000083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b) distribuição gratuita de produtos culturais para escolas públicas, Unidades Básicas de Saúde - UBS, Centro de Atenção Psicossocial - CAPS, Centros de Referência da Assistência Social - CRAS, e demais equipamentos públicos; e</w:t>
      </w:r>
    </w:p>
    <w:p w:rsidR="00000000" w:rsidDel="00000000" w:rsidP="00000000" w:rsidRDefault="00000000" w:rsidRPr="00000000" w14:paraId="00000084">
      <w:pPr>
        <w:tabs>
          <w:tab w:val="center" w:leader="none" w:pos="0"/>
        </w:tabs>
        <w:spacing w:after="0" w:before="0" w:line="240" w:lineRule="auto"/>
        <w:ind w:left="72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c) outras estratégias de democratização do acesso.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6391275</wp:posOffset>
          </wp:positionH>
          <wp:positionV relativeFrom="paragraph">
            <wp:posOffset>0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6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121912</wp:posOffset>
          </wp:positionV>
          <wp:extent cx="723066" cy="509001"/>
          <wp:effectExtent b="0" l="0" r="0" t="0"/>
          <wp:wrapNone/>
          <wp:docPr descr="Logotipo&#10;&#10;O conteúdo gerado por IA pode estar incorreto." id="10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64762</wp:posOffset>
          </wp:positionV>
          <wp:extent cx="1201567" cy="624078"/>
          <wp:effectExtent b="0" l="0" r="0" t="0"/>
          <wp:wrapNone/>
          <wp:docPr descr="Logotipo&#10;&#10;O conteúdo gerado por IA pode estar incorreto." id="7" name="image6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8420100</wp:posOffset>
          </wp:positionH>
          <wp:positionV relativeFrom="paragraph">
            <wp:posOffset>57867</wp:posOffset>
          </wp:positionV>
          <wp:extent cx="1153265" cy="681903"/>
          <wp:effectExtent b="0" l="0" r="0" t="0"/>
          <wp:wrapNone/>
          <wp:docPr descr="Logotipo&#10;&#10;O conteúdo gerado por IA pode estar incorreto." id="5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1276350</wp:posOffset>
          </wp:positionH>
          <wp:positionV relativeFrom="paragraph">
            <wp:posOffset>43083</wp:posOffset>
          </wp:positionV>
          <wp:extent cx="2925675" cy="390090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9">
    <w:pPr>
      <w:ind w:left="-850.3937007874016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ind w:left="-992.1259842519685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6.png"/><Relationship Id="rId4" Type="http://schemas.openxmlformats.org/officeDocument/2006/relationships/image" Target="media/image5.png"/><Relationship Id="rId5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Fc6rICGFtBocfhZjtQ/5efmVw==">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