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A7BB" w14:textId="77777777" w:rsidR="000D32AE" w:rsidRPr="00342167" w:rsidRDefault="00342167"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rPr>
      </w:pPr>
      <w:r>
        <w:rPr>
          <w:noProof/>
        </w:rPr>
        <w:drawing>
          <wp:anchor distT="0" distB="0" distL="114935" distR="114935" simplePos="0" relativeHeight="251659264" behindDoc="0" locked="0" layoutInCell="1" hidden="0" allowOverlap="1" wp14:anchorId="136DB406" wp14:editId="72A00D9D">
            <wp:simplePos x="0" y="0"/>
            <wp:positionH relativeFrom="margin">
              <wp:align>center</wp:align>
            </wp:positionH>
            <wp:positionV relativeFrom="paragraph">
              <wp:posOffset>-905510</wp:posOffset>
            </wp:positionV>
            <wp:extent cx="798195" cy="850900"/>
            <wp:effectExtent l="0" t="0" r="1905"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r w:rsidRPr="00342167">
        <w:rPr>
          <w:rFonts w:asciiTheme="majorHAnsi" w:hAnsiTheme="majorHAnsi" w:cstheme="majorHAnsi"/>
          <w:smallCaps/>
          <w:sz w:val="24"/>
          <w:szCs w:val="24"/>
        </w:rPr>
        <w:t>MINISTÉRIO DA CULTURA</w:t>
      </w:r>
    </w:p>
    <w:p w14:paraId="6D488048" w14:textId="77777777" w:rsidR="000D32AE" w:rsidRPr="00342167" w:rsidRDefault="00000000"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highlight w:val="white"/>
        </w:rPr>
      </w:pPr>
      <w:r w:rsidRPr="00342167">
        <w:rPr>
          <w:rFonts w:asciiTheme="majorHAnsi" w:hAnsiTheme="majorHAnsi" w:cstheme="majorHAnsi"/>
          <w:smallCaps/>
          <w:sz w:val="24"/>
          <w:szCs w:val="24"/>
        </w:rPr>
        <w:t>SECRETARIA DE CIDADANIA E DIVERSIDADE CULTURAL</w:t>
      </w:r>
    </w:p>
    <w:p w14:paraId="116E31B6" w14:textId="77777777" w:rsidR="000D32AE" w:rsidRPr="00342167" w:rsidRDefault="000D32AE" w:rsidP="00342167">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p>
    <w:p w14:paraId="52A9DA69" w14:textId="31052BBE" w:rsidR="000D32AE" w:rsidRDefault="00EC1C86"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Pr>
          <w:rFonts w:asciiTheme="majorHAnsi" w:hAnsiTheme="majorHAnsi" w:cstheme="majorHAnsi"/>
          <w:b/>
          <w:sz w:val="24"/>
          <w:szCs w:val="24"/>
        </w:rPr>
        <w:t xml:space="preserve">MINUTA DE </w:t>
      </w:r>
      <w:r w:rsidRPr="00342167">
        <w:rPr>
          <w:rFonts w:asciiTheme="majorHAnsi" w:hAnsiTheme="majorHAnsi" w:cstheme="majorHAnsi"/>
          <w:b/>
          <w:sz w:val="24"/>
          <w:szCs w:val="24"/>
        </w:rPr>
        <w:t>TERMO DE COMPROMISSO CULTURAL</w:t>
      </w:r>
    </w:p>
    <w:p w14:paraId="5A1327BF" w14:textId="2C764C18" w:rsidR="005F71AC" w:rsidRPr="00342167" w:rsidRDefault="005F71AC"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Pr>
          <w:rFonts w:asciiTheme="majorHAnsi" w:hAnsiTheme="majorHAnsi" w:cstheme="majorHAnsi"/>
          <w:b/>
          <w:sz w:val="24"/>
          <w:szCs w:val="24"/>
        </w:rPr>
        <w:t>PONTO DE CULTURA</w:t>
      </w:r>
    </w:p>
    <w:p w14:paraId="592CDDB6" w14:textId="77777777" w:rsidR="000D32AE" w:rsidRPr="00342167" w:rsidRDefault="00000000" w:rsidP="00342167">
      <w:pPr>
        <w:keepNext/>
        <w:spacing w:after="0" w:line="240" w:lineRule="auto"/>
        <w:ind w:leftChars="0" w:left="0" w:firstLineChars="0" w:firstLine="0"/>
        <w:jc w:val="center"/>
        <w:rPr>
          <w:rFonts w:asciiTheme="majorHAnsi" w:hAnsiTheme="majorHAnsi" w:cstheme="majorHAnsi"/>
          <w:sz w:val="20"/>
          <w:szCs w:val="20"/>
        </w:rPr>
      </w:pPr>
      <w:r w:rsidRPr="00342167">
        <w:rPr>
          <w:rFonts w:asciiTheme="majorHAnsi" w:hAnsiTheme="majorHAnsi" w:cstheme="majorHAnsi"/>
          <w:i/>
          <w:color w:val="FF0000"/>
          <w:sz w:val="20"/>
          <w:szCs w:val="20"/>
        </w:rPr>
        <w:t>(Rubricar todas as páginas)</w:t>
      </w:r>
    </w:p>
    <w:p w14:paraId="764EACC4" w14:textId="77777777" w:rsidR="00F8127A" w:rsidRDefault="00F8127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p w14:paraId="29427AB7" w14:textId="3477C9AD" w:rsidR="000D32AE" w:rsidRPr="00F8127A" w:rsidRDefault="00F8127A" w:rsidP="00342167">
      <w:pPr>
        <w:spacing w:before="120" w:after="120" w:line="240" w:lineRule="auto"/>
        <w:ind w:leftChars="0" w:left="0" w:firstLineChars="0" w:firstLine="0"/>
        <w:jc w:val="both"/>
        <w:rPr>
          <w:rFonts w:asciiTheme="majorHAnsi" w:eastAsia="Times New Roman" w:hAnsiTheme="majorHAnsi" w:cstheme="majorHAnsi"/>
          <w:b/>
          <w:bCs/>
          <w:sz w:val="24"/>
          <w:szCs w:val="24"/>
        </w:rPr>
      </w:pPr>
      <w:r w:rsidRPr="00F8127A">
        <w:rPr>
          <w:rFonts w:asciiTheme="majorHAnsi" w:eastAsia="Times New Roman" w:hAnsiTheme="majorHAnsi" w:cstheme="majorHAnsi"/>
          <w:b/>
          <w:bCs/>
          <w:sz w:val="24"/>
          <w:szCs w:val="24"/>
        </w:rPr>
        <w:t xml:space="preserve">TERMO DE COMPROMISSO CULTURAL Nº </w:t>
      </w:r>
      <w:r w:rsidRPr="00DE4439">
        <w:rPr>
          <w:rFonts w:asciiTheme="majorHAnsi" w:eastAsia="Times New Roman" w:hAnsiTheme="majorHAnsi" w:cstheme="majorHAnsi"/>
          <w:b/>
          <w:bCs/>
          <w:sz w:val="24"/>
          <w:szCs w:val="24"/>
          <w:highlight w:val="yellow"/>
        </w:rPr>
        <w:t>XX/20</w:t>
      </w:r>
      <w:r w:rsidR="00DE4439" w:rsidRPr="00DE4439">
        <w:rPr>
          <w:rFonts w:asciiTheme="majorHAnsi" w:eastAsia="Times New Roman" w:hAnsiTheme="majorHAnsi" w:cstheme="majorHAnsi"/>
          <w:b/>
          <w:bCs/>
          <w:sz w:val="24"/>
          <w:szCs w:val="24"/>
          <w:highlight w:val="yellow"/>
        </w:rPr>
        <w:t>XX</w:t>
      </w: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rsidRPr="00342167" w14:paraId="7170DE52" w14:textId="77777777" w:rsidTr="00046167">
        <w:trPr>
          <w:trHeight w:val="525"/>
        </w:trPr>
        <w:tc>
          <w:tcPr>
            <w:tcW w:w="99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6A9206"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1.</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FINALIDADE</w:t>
            </w:r>
          </w:p>
        </w:tc>
      </w:tr>
      <w:tr w:rsidR="00E84F6E" w:rsidRPr="00342167" w14:paraId="3BD3B3FC" w14:textId="77777777" w:rsidTr="00046167">
        <w:trPr>
          <w:trHeight w:val="1635"/>
        </w:trPr>
        <w:tc>
          <w:tcPr>
            <w:tcW w:w="997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20DF098" w14:textId="677A040A" w:rsidR="009706EA"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 Ministério da Cultura, representado pela Secretaria de Cidadania e Diversidade Cultura, doravante denominado ENTE PÚBLICO, e a entidade cultural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doravante denominada ENTIDADE CULTURAL ou </w:t>
            </w:r>
            <w:r w:rsidRPr="0097339C">
              <w:rPr>
                <w:rFonts w:asciiTheme="majorHAnsi" w:eastAsia="Times New Roman" w:hAnsiTheme="majorHAnsi" w:cstheme="majorHAnsi"/>
                <w:sz w:val="24"/>
                <w:szCs w:val="24"/>
                <w:highlight w:val="yellow"/>
              </w:rPr>
              <w:t>PONTO</w:t>
            </w:r>
            <w:r w:rsidRPr="00342167">
              <w:rPr>
                <w:rFonts w:asciiTheme="majorHAnsi" w:eastAsia="Times New Roman" w:hAnsiTheme="majorHAnsi" w:cstheme="majorHAnsi"/>
                <w:sz w:val="24"/>
                <w:szCs w:val="24"/>
              </w:rPr>
              <w:t xml:space="preserve"> DE CULTURA,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13.018, de 22 de julho de 2014, e da Instrução Normativa /MinC nº 08, de 11 de maio de 2016.</w:t>
            </w:r>
          </w:p>
        </w:tc>
      </w:tr>
    </w:tbl>
    <w:p w14:paraId="43ACB04D"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0D32AE" w:rsidRPr="00342167" w14:paraId="00577A39"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52F4471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IDENTIFICAÇÃO DAS PARTES</w:t>
            </w:r>
          </w:p>
        </w:tc>
      </w:tr>
      <w:tr w:rsidR="000D32AE" w:rsidRPr="00342167" w14:paraId="7A301C31" w14:textId="77777777" w:rsidTr="00E84F6E">
        <w:trPr>
          <w:trHeight w:val="525"/>
        </w:trPr>
        <w:tc>
          <w:tcPr>
            <w:tcW w:w="9972" w:type="dxa"/>
            <w:gridSpan w:val="4"/>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6F899C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2.1</w:t>
            </w:r>
            <w:r w:rsidR="00E84F6E">
              <w:rPr>
                <w:rFonts w:asciiTheme="majorHAnsi" w:eastAsia="Times New Roman" w:hAnsiTheme="majorHAnsi" w:cstheme="majorHAnsi"/>
                <w:b/>
                <w:sz w:val="24"/>
                <w:szCs w:val="24"/>
              </w:rPr>
              <w:t xml:space="preserve">. </w:t>
            </w:r>
            <w:r w:rsidRPr="00342167">
              <w:rPr>
                <w:rFonts w:asciiTheme="majorHAnsi" w:eastAsia="Times New Roman" w:hAnsiTheme="majorHAnsi" w:cstheme="majorHAnsi"/>
                <w:b/>
                <w:sz w:val="24"/>
                <w:szCs w:val="24"/>
              </w:rPr>
              <w:t>ENTE PÚBLICO</w:t>
            </w:r>
          </w:p>
        </w:tc>
      </w:tr>
      <w:tr w:rsidR="000D32AE" w:rsidRPr="00342167" w14:paraId="54F1F95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2B6752B" w14:textId="77777777" w:rsidR="000D32AE" w:rsidRPr="009706EA" w:rsidRDefault="00000000" w:rsidP="00342167">
            <w:pPr>
              <w:spacing w:before="120" w:after="120" w:line="240" w:lineRule="auto"/>
              <w:ind w:leftChars="0" w:left="0" w:firstLineChars="0" w:firstLine="0"/>
              <w:jc w:val="both"/>
              <w:rPr>
                <w:rFonts w:asciiTheme="majorHAnsi" w:eastAsia="Times New Roman" w:hAnsiTheme="majorHAnsi" w:cstheme="majorHAnsi"/>
                <w:bCs/>
                <w:sz w:val="24"/>
                <w:szCs w:val="24"/>
              </w:rPr>
            </w:pPr>
            <w:r w:rsidRPr="009706EA">
              <w:rPr>
                <w:rFonts w:asciiTheme="majorHAnsi" w:eastAsia="Times New Roman" w:hAnsiTheme="majorHAnsi" w:cstheme="majorHAnsi"/>
                <w:bCs/>
                <w:sz w:val="24"/>
                <w:szCs w:val="24"/>
              </w:rPr>
              <w:t>Razão Social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CB9C5B7"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0DE2E82F"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1C560AB"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F837A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A7BFDD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1C520D5"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1A51D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8C3920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BE1ABD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89578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9EEDEA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FD9F5F9"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8AA09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03F84E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26D97D9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7BE0E7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13D347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4124EC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D66410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E33CE6" w14:textId="77777777" w:rsidTr="00E84F6E">
        <w:trPr>
          <w:trHeight w:val="525"/>
        </w:trPr>
        <w:tc>
          <w:tcPr>
            <w:tcW w:w="3130" w:type="dxa"/>
            <w:tcBorders>
              <w:top w:val="nil"/>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00B4C23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Ato de nomeação</w:t>
            </w:r>
          </w:p>
        </w:tc>
        <w:tc>
          <w:tcPr>
            <w:tcW w:w="6842" w:type="dxa"/>
            <w:gridSpan w:val="3"/>
            <w:tcBorders>
              <w:top w:val="nil"/>
              <w:left w:val="nil"/>
              <w:bottom w:val="single" w:sz="4" w:space="0" w:color="auto"/>
              <w:right w:val="single" w:sz="6" w:space="0" w:color="000000"/>
            </w:tcBorders>
            <w:shd w:val="clear" w:color="auto" w:fill="FFFFFF"/>
            <w:tcMar>
              <w:top w:w="0" w:type="dxa"/>
              <w:left w:w="100" w:type="dxa"/>
              <w:bottom w:w="0" w:type="dxa"/>
              <w:right w:w="100" w:type="dxa"/>
            </w:tcMar>
          </w:tcPr>
          <w:p w14:paraId="318C353D"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AC9AB1E"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2AA443C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2.2</w:t>
            </w:r>
            <w:r w:rsidR="00E84F6E">
              <w:rPr>
                <w:rFonts w:asciiTheme="majorHAnsi" w:eastAsia="Times New Roman" w:hAnsiTheme="majorHAnsi" w:cstheme="majorHAnsi"/>
                <w:b/>
                <w:sz w:val="24"/>
                <w:szCs w:val="24"/>
              </w:rPr>
              <w:t>.</w:t>
            </w:r>
            <w:r w:rsidRPr="00342167">
              <w:rPr>
                <w:rFonts w:asciiTheme="majorHAnsi" w:eastAsia="Times New Roman" w:hAnsiTheme="majorHAnsi" w:cstheme="majorHAnsi"/>
                <w:b/>
                <w:sz w:val="24"/>
                <w:szCs w:val="24"/>
              </w:rPr>
              <w:t xml:space="preserve"> ENTIDADE CULTURAL</w:t>
            </w:r>
          </w:p>
        </w:tc>
      </w:tr>
      <w:tr w:rsidR="000D32AE" w:rsidRPr="00342167" w14:paraId="7090B4BE" w14:textId="77777777" w:rsidTr="00E84F6E">
        <w:trPr>
          <w:trHeight w:val="540"/>
        </w:trPr>
        <w:tc>
          <w:tcPr>
            <w:tcW w:w="3130" w:type="dxa"/>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B69F1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Razão Social</w:t>
            </w:r>
          </w:p>
        </w:tc>
        <w:tc>
          <w:tcPr>
            <w:tcW w:w="6842" w:type="dxa"/>
            <w:gridSpan w:val="3"/>
            <w:tcBorders>
              <w:top w:val="single" w:sz="4" w:space="0" w:color="auto"/>
              <w:left w:val="nil"/>
              <w:bottom w:val="single" w:sz="6" w:space="0" w:color="000000"/>
              <w:right w:val="single" w:sz="6" w:space="0" w:color="000000"/>
            </w:tcBorders>
            <w:shd w:val="clear" w:color="auto" w:fill="FFFFFF"/>
            <w:tcMar>
              <w:top w:w="0" w:type="dxa"/>
              <w:left w:w="100" w:type="dxa"/>
              <w:bottom w:w="0" w:type="dxa"/>
              <w:right w:w="100" w:type="dxa"/>
            </w:tcMar>
          </w:tcPr>
          <w:p w14:paraId="6A017B6F"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55E941DE" w14:textId="77777777" w:rsidR="009706EA" w:rsidRPr="00342167" w:rsidRDefault="009706E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6AD5ADE" w14:textId="77777777" w:rsidTr="00E84F6E">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A72C7B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064D0D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043CA9C2"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383D36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352380B"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87C1266"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6492DF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74B62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A17073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DAC5B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5DF143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DE0E943"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7D0AF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81AB03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2E661C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B41FF0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A5F933" w14:textId="77777777" w:rsidTr="00E84F6E">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617AA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EAAD47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bl>
    <w:p w14:paraId="7C56122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D32AE" w:rsidRPr="00342167" w14:paraId="5E2B08D1" w14:textId="77777777" w:rsidTr="00342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D0399A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3.</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OBJETO</w:t>
            </w:r>
          </w:p>
        </w:tc>
      </w:tr>
      <w:tr w:rsidR="000D32AE" w:rsidRPr="00342167" w14:paraId="1EBB8347" w14:textId="77777777" w:rsidTr="00342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3FE0FA5"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3.1.</w:t>
            </w:r>
            <w:r w:rsidRPr="00342167">
              <w:rPr>
                <w:rFonts w:asciiTheme="majorHAnsi" w:eastAsia="Times New Roman" w:hAnsiTheme="majorHAnsi" w:cstheme="majorHAnsi"/>
                <w:sz w:val="24"/>
                <w:szCs w:val="24"/>
              </w:rPr>
              <w:t xml:space="preserve"> O presente Termo de Compromisso Cultural-TCC tem como objeto </w:t>
            </w:r>
            <w:r w:rsidRPr="00342167">
              <w:rPr>
                <w:rFonts w:asciiTheme="majorHAnsi" w:eastAsia="Times New Roman" w:hAnsiTheme="majorHAnsi" w:cstheme="majorHAnsi"/>
                <w:sz w:val="24"/>
                <w:szCs w:val="24"/>
                <w:highlight w:val="yellow"/>
              </w:rPr>
              <w:t>XXXX.</w:t>
            </w:r>
          </w:p>
          <w:p w14:paraId="34AAFEFD"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3.2.</w:t>
            </w:r>
            <w:r w:rsidRPr="00342167">
              <w:rPr>
                <w:rFonts w:asciiTheme="majorHAnsi" w:eastAsia="Times New Roman" w:hAnsiTheme="majorHAnsi" w:cstheme="majorHAnsi"/>
                <w:sz w:val="24"/>
                <w:szCs w:val="24"/>
              </w:rPr>
              <w:t xml:space="preserve"> O Plano de Trabalho aprovado integra este TCC, independente de transcrição.</w:t>
            </w:r>
          </w:p>
          <w:p w14:paraId="1F0505C8" w14:textId="260102CD"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3.3.</w:t>
            </w:r>
            <w:r w:rsidRPr="00342167">
              <w:rPr>
                <w:rFonts w:asciiTheme="majorHAnsi" w:eastAsia="Times New Roman" w:hAnsiTheme="majorHAnsi" w:cstheme="majorHAnsi"/>
                <w:sz w:val="24"/>
                <w:szCs w:val="24"/>
              </w:rPr>
              <w:t xml:space="preserve"> Conforme o art. 57 da IN/MinC nº 08/2016, os Pontões de Cultura são instrumentos da Política Nacional de Cultura Viva - PNCV, atuando como elo entre a sociedade civil e o Estado, com o objetivo de desenvolver ações culturais sustentadas pelos princípios da autonomia, do protagonismo, da interculturalidade, da capacitação social das comunidades locais, e da atuação em rede, visando ampliar o acesso da população brasileira aos meios e condições de exercício dos direitos culturais.</w:t>
            </w:r>
          </w:p>
        </w:tc>
      </w:tr>
    </w:tbl>
    <w:p w14:paraId="1AA8086C" w14:textId="77777777" w:rsidR="00342167" w:rsidRPr="00342167" w:rsidRDefault="00342167" w:rsidP="00342167">
      <w:pPr>
        <w:ind w:leftChars="0" w:left="0" w:firstLineChars="0" w:firstLine="0"/>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3310EDE4"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B57D19B"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4</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PRINCÍPIOS, OBJETIVOS E DIRETRIZES</w:t>
            </w:r>
          </w:p>
        </w:tc>
      </w:tr>
      <w:tr w:rsidR="00342167" w:rsidRPr="00342167" w14:paraId="570ABB27"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B8321B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4.1.</w:t>
            </w:r>
            <w:r w:rsidRPr="00342167">
              <w:rPr>
                <w:rFonts w:asciiTheme="majorHAnsi" w:eastAsia="Times New Roman" w:hAnsiTheme="majorHAnsi" w:cstheme="majorHAnsi"/>
                <w:sz w:val="24"/>
                <w:szCs w:val="24"/>
              </w:rPr>
              <w:t xml:space="preserve"> A PNCV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13.018/2014, e dos OBJETIVOS relacionados a seguir:</w:t>
            </w:r>
          </w:p>
          <w:p w14:paraId="60B133C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reconhecimento da participação social como direito do cidadão;</w:t>
            </w:r>
          </w:p>
          <w:p w14:paraId="091D6D3C"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 - a solidariedade, a cooperação e o respeito à diversidade para a construção de valores de cidadania e de inclusão social e produtiva;</w:t>
            </w:r>
          </w:p>
          <w:p w14:paraId="48F452E4"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III - a promoção do desenvolvimento local, regional e nacional, inclusivo e sustentável;</w:t>
            </w:r>
          </w:p>
          <w:p w14:paraId="601CC23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direito à informação, à transparência e ao controle social das ações públicas;</w:t>
            </w:r>
          </w:p>
          <w:p w14:paraId="4A541D4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 - a integração e a transversalidade dos procedimentos, mecanismos e instâncias de participação social;</w:t>
            </w:r>
          </w:p>
          <w:p w14:paraId="17F366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w:t>
            </w:r>
            <w:proofErr w:type="gramStart"/>
            <w:r w:rsidRPr="00342167">
              <w:rPr>
                <w:rFonts w:asciiTheme="majorHAnsi" w:eastAsia="Times New Roman" w:hAnsiTheme="majorHAnsi" w:cstheme="majorHAnsi"/>
                <w:sz w:val="24"/>
                <w:szCs w:val="24"/>
              </w:rPr>
              <w:t>-  a</w:t>
            </w:r>
            <w:proofErr w:type="gramEnd"/>
            <w:r w:rsidRPr="00342167">
              <w:rPr>
                <w:rFonts w:asciiTheme="majorHAnsi" w:eastAsia="Times New Roman" w:hAnsiTheme="majorHAnsi" w:cstheme="majorHAnsi"/>
                <w:sz w:val="24"/>
                <w:szCs w:val="24"/>
              </w:rPr>
              <w:t xml:space="preserve"> valorização da diversidade cultural e da educação para a cidadania ativa;</w:t>
            </w:r>
          </w:p>
          <w:p w14:paraId="6FA7DB4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promoção e a defesa dos direitos humanos;</w:t>
            </w:r>
          </w:p>
          <w:p w14:paraId="15942E0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a preservação, a conservação e a proteção dos recursos hídricos e do meio ambiente;</w:t>
            </w:r>
          </w:p>
          <w:p w14:paraId="70B77AE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valorização das culturas populares afro-brasileiras, dos povos indígenas e dos demais povos e comunidades tradicionais; e</w:t>
            </w:r>
          </w:p>
          <w:p w14:paraId="49F36D2D" w14:textId="77777777" w:rsid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 - a preservação e a valorização do patrimônio cultural brasileiro, em suas dimensões material e imaterial.</w:t>
            </w:r>
          </w:p>
          <w:p w14:paraId="1AB02F1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4.2.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t>Além disso, são DIRETRIZES do regime jurídico de compromisso cultural:</w:t>
            </w:r>
          </w:p>
          <w:p w14:paraId="740B53B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o fortalecimento institucional, a capacitação e o incentivo à entidade cultural para a cooperação com o poder público;</w:t>
            </w:r>
          </w:p>
          <w:p w14:paraId="7198069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priorização do controle de resultados, com ênfase no cumprimento do objeto pactuado;</w:t>
            </w:r>
          </w:p>
          <w:p w14:paraId="7042EBE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III </w:t>
            </w:r>
            <w:proofErr w:type="gramStart"/>
            <w:r w:rsidRPr="00342167">
              <w:rPr>
                <w:rFonts w:asciiTheme="majorHAnsi" w:eastAsia="Times New Roman" w:hAnsiTheme="majorHAnsi" w:cstheme="majorHAnsi"/>
                <w:sz w:val="24"/>
                <w:szCs w:val="24"/>
              </w:rPr>
              <w:t>-  o</w:t>
            </w:r>
            <w:proofErr w:type="gramEnd"/>
            <w:r w:rsidRPr="00342167">
              <w:rPr>
                <w:rFonts w:asciiTheme="majorHAnsi" w:eastAsia="Times New Roman" w:hAnsiTheme="majorHAnsi" w:cstheme="majorHAnsi"/>
                <w:sz w:val="24"/>
                <w:szCs w:val="24"/>
              </w:rPr>
              <w:t xml:space="preserve"> incentivo ao uso de recursos atualizados de tecnologias de informação e comunicação;</w:t>
            </w:r>
          </w:p>
          <w:p w14:paraId="5262188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fortalecimento das ações de cooperação institucional entre os entes federados visando ação integrada e articulada nas relações desses entes com as entidades culturais;</w:t>
            </w:r>
          </w:p>
          <w:p w14:paraId="1852B6E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estabelecimento de mecanismos que ampliem a gestão de informação, a transparência, o controle e participação social, e a publicidade;</w:t>
            </w:r>
          </w:p>
          <w:p w14:paraId="383F6B9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ação integrada, complementar e descentralizada, de recursos e ações, entre os entes da Federação, evitando sobreposição de iniciativas e fragmentação de recursos;</w:t>
            </w:r>
          </w:p>
          <w:p w14:paraId="740EADF5"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sensibilização, a capacitação, o aprofundamento e o aperfeiçoamento do trabalho de gestores públicos, na implementação de projetos culturais de interesse público e relevância social com entidades culturais;</w:t>
            </w:r>
          </w:p>
          <w:p w14:paraId="72347BC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14:paraId="627C566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de soluções derivadas da aplicação de conhecimentos, da ciência e tecnologia e da inovação para atender necessidades e demandas de maior qualidade de vida da população em situação de desigualdade social.</w:t>
            </w:r>
          </w:p>
        </w:tc>
      </w:tr>
    </w:tbl>
    <w:p w14:paraId="51BAA0E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0673078F"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FBCBB86"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5</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DECLARAÇÃO DE CUMPRIMENTO DE EXIGÊNCIAS</w:t>
            </w:r>
          </w:p>
        </w:tc>
      </w:tr>
      <w:tr w:rsidR="00342167" w:rsidRPr="00342167" w14:paraId="6092562D"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F5A07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lastRenderedPageBreak/>
              <w:t xml:space="preserve">5.1. </w:t>
            </w:r>
            <w:r w:rsidRPr="00342167">
              <w:rPr>
                <w:rFonts w:asciiTheme="majorHAnsi" w:eastAsia="Times New Roman" w:hAnsiTheme="majorHAnsi" w:cstheme="majorHAnsi"/>
                <w:sz w:val="24"/>
                <w:szCs w:val="24"/>
              </w:rPr>
              <w:t>Ao assinar o presente Termo de Compromisso Cultural, a Entidade Cultural declara estar em pleno cumprimento das exigências abaixo relacionadas, constantes do inciso IX, do art. 24, da Instrução Normativa/MinC nº 08/2016:</w:t>
            </w:r>
          </w:p>
          <w:p w14:paraId="3B18B7F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no</w:t>
            </w:r>
            <w:proofErr w:type="gramEnd"/>
            <w:r w:rsidRPr="00342167">
              <w:rPr>
                <w:rFonts w:asciiTheme="majorHAnsi" w:eastAsia="Times New Roman" w:hAnsiTheme="majorHAnsi" w:cstheme="majorHAnsi"/>
                <w:sz w:val="24"/>
                <w:szCs w:val="24"/>
              </w:rPr>
              <w:t xml:space="preserve"> mínimo três anos de existência e desenvolvimento de atividade cultural, comprovados através de fotos, material gráfico de eventos, publicações impressas e em meios eletrônicos e outros materiais comprobatórios;</w:t>
            </w:r>
          </w:p>
          <w:p w14:paraId="3E5638F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situação</w:t>
            </w:r>
            <w:proofErr w:type="gramEnd"/>
            <w:r w:rsidRPr="00342167">
              <w:rPr>
                <w:rFonts w:asciiTheme="majorHAnsi" w:eastAsia="Times New Roman" w:hAnsiTheme="majorHAnsi" w:cstheme="majorHAnsi"/>
                <w:sz w:val="24"/>
                <w:szCs w:val="24"/>
              </w:rPr>
              <w:t xml:space="preserve"> cadastral ativa no CNPJ, conforme regulamentação específica da Secretaria da Receita Federal do Brasil;</w:t>
            </w:r>
          </w:p>
          <w:p w14:paraId="0CD3A1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experiência prévia na realização do objeto da parceria ou objeto de natureza semelhante;</w:t>
            </w:r>
          </w:p>
          <w:p w14:paraId="2DDF53A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capacidade</w:t>
            </w:r>
            <w:proofErr w:type="gramEnd"/>
            <w:r w:rsidRPr="00342167">
              <w:rPr>
                <w:rFonts w:asciiTheme="majorHAnsi" w:eastAsia="Times New Roman" w:hAnsiTheme="majorHAnsi" w:cstheme="majorHAnsi"/>
                <w:sz w:val="24"/>
                <w:szCs w:val="24"/>
              </w:rPr>
              <w:t xml:space="preserve"> técnica e operacional para o cumprimento das metas estabelecidas; e</w:t>
            </w:r>
          </w:p>
          <w:p w14:paraId="6B98D0E2"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inscrição</w:t>
            </w:r>
            <w:proofErr w:type="gramEnd"/>
            <w:r w:rsidRPr="00342167">
              <w:rPr>
                <w:rFonts w:asciiTheme="majorHAnsi" w:eastAsia="Times New Roman" w:hAnsiTheme="majorHAnsi" w:cstheme="majorHAnsi"/>
                <w:sz w:val="24"/>
                <w:szCs w:val="24"/>
              </w:rPr>
              <w:t xml:space="preserve"> no SNIIC, criado pela Lei nº 12.343, de 2010</w:t>
            </w:r>
            <w:r>
              <w:rPr>
                <w:rFonts w:asciiTheme="majorHAnsi" w:eastAsia="Times New Roman" w:hAnsiTheme="majorHAnsi" w:cstheme="majorHAnsi"/>
                <w:sz w:val="24"/>
                <w:szCs w:val="24"/>
              </w:rPr>
              <w:t>.</w:t>
            </w:r>
          </w:p>
        </w:tc>
      </w:tr>
    </w:tbl>
    <w:p w14:paraId="6900E1B9" w14:textId="77777777" w:rsidR="00342167" w:rsidRDefault="00342167">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9C9DBB8"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1E06D31" w14:textId="77777777" w:rsidR="00E84F6E" w:rsidRPr="00E84F6E" w:rsidRDefault="00E84F6E" w:rsidP="00E84F6E">
            <w:pPr>
              <w:pStyle w:val="PargrafodaLista"/>
              <w:numPr>
                <w:ilvl w:val="0"/>
                <w:numId w:val="14"/>
              </w:numPr>
              <w:spacing w:before="120" w:after="120"/>
              <w:ind w:leftChars="0" w:left="0" w:firstLineChars="0" w:firstLine="0"/>
              <w:jc w:val="both"/>
              <w:rPr>
                <w:rFonts w:asciiTheme="majorHAnsi" w:hAnsiTheme="majorHAnsi" w:cstheme="majorHAnsi"/>
                <w:b/>
                <w:sz w:val="24"/>
                <w:szCs w:val="24"/>
              </w:rPr>
            </w:pPr>
            <w:r w:rsidRPr="00E84F6E">
              <w:rPr>
                <w:rFonts w:asciiTheme="majorHAnsi" w:hAnsiTheme="majorHAnsi" w:cstheme="majorHAnsi"/>
                <w:b/>
                <w:sz w:val="24"/>
                <w:szCs w:val="24"/>
              </w:rPr>
              <w:t>OBRIGAÇÕES DAS PARTES</w:t>
            </w:r>
          </w:p>
        </w:tc>
      </w:tr>
      <w:tr w:rsidR="00E84F6E" w14:paraId="0AF20ADD"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FFF29C3"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6.1.</w:t>
            </w:r>
            <w:r w:rsidRPr="00342167">
              <w:rPr>
                <w:rFonts w:asciiTheme="majorHAnsi" w:eastAsia="Times New Roman" w:hAnsiTheme="majorHAnsi" w:cstheme="majorHAnsi"/>
                <w:sz w:val="24"/>
                <w:szCs w:val="24"/>
              </w:rPr>
              <w:t xml:space="preserve">   </w:t>
            </w:r>
            <w:r w:rsidR="009706EA" w:rsidRPr="00342167">
              <w:rPr>
                <w:rFonts w:asciiTheme="majorHAnsi" w:eastAsia="Times New Roman" w:hAnsiTheme="majorHAnsi" w:cstheme="majorHAnsi"/>
                <w:b/>
                <w:sz w:val="24"/>
                <w:szCs w:val="24"/>
              </w:rPr>
              <w:t>Do Ente Público</w:t>
            </w:r>
          </w:p>
        </w:tc>
      </w:tr>
      <w:tr w:rsidR="00E84F6E" w:rsidRPr="00342167" w14:paraId="73EE82EE" w14:textId="77777777" w:rsidTr="00E84F6E">
        <w:trPr>
          <w:trHeight w:val="699"/>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02977EC8"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Incumbe ao Ente Público observar as obrigações descritas na Instrução Normativa/MinC nº 08/2016 e, ainda, as seguintes responsabilidades:</w:t>
            </w:r>
          </w:p>
          <w:p w14:paraId="08E75E81"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coordenar</w:t>
            </w:r>
            <w:proofErr w:type="gramEnd"/>
            <w:r w:rsidRPr="00342167">
              <w:rPr>
                <w:rFonts w:asciiTheme="majorHAnsi" w:eastAsia="Times New Roman" w:hAnsiTheme="majorHAnsi" w:cstheme="majorHAnsi"/>
                <w:sz w:val="24"/>
                <w:szCs w:val="24"/>
              </w:rPr>
              <w:t xml:space="preserve"> a gestão da PNCV, no âmbito de sua esfera de atuação;</w:t>
            </w:r>
          </w:p>
          <w:p w14:paraId="2F2135E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atuar</w:t>
            </w:r>
            <w:proofErr w:type="gramEnd"/>
            <w:r w:rsidRPr="00342167">
              <w:rPr>
                <w:rFonts w:asciiTheme="majorHAnsi" w:eastAsia="Times New Roman" w:hAnsiTheme="majorHAnsi" w:cstheme="majorHAnsi"/>
                <w:sz w:val="24"/>
                <w:szCs w:val="24"/>
              </w:rPr>
              <w:t xml:space="preserve"> em parceria federativa junto ao governo federal, governos estaduais, do Distrito Federal e municipais, e outras instituições, para efetivação dos objetivos da PNCV previstos em lei;</w:t>
            </w:r>
          </w:p>
          <w:p w14:paraId="281DFB3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realizar planejamento de desenvolvimento da PNCV, observando o PNC e planos de cultura;</w:t>
            </w:r>
          </w:p>
          <w:p w14:paraId="213B0D77"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garantir</w:t>
            </w:r>
            <w:proofErr w:type="gramEnd"/>
            <w:r w:rsidRPr="00342167">
              <w:rPr>
                <w:rFonts w:asciiTheme="majorHAnsi" w:eastAsia="Times New Roman" w:hAnsiTheme="majorHAnsi" w:cstheme="majorHAnsi"/>
                <w:sz w:val="24"/>
                <w:szCs w:val="24"/>
              </w:rPr>
              <w:t xml:space="preserve"> recursos humanos, orçamentários, financeiros, logísticos e tecnológicos para implementação da PNCV e efetividade de seus resultados;</w:t>
            </w:r>
          </w:p>
          <w:p w14:paraId="71804AF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w:t>
            </w:r>
            <w:proofErr w:type="gramStart"/>
            <w:r w:rsidRPr="00342167">
              <w:rPr>
                <w:rFonts w:asciiTheme="majorHAnsi" w:eastAsia="Times New Roman" w:hAnsiTheme="majorHAnsi" w:cstheme="majorHAnsi"/>
                <w:sz w:val="24"/>
                <w:szCs w:val="24"/>
              </w:rPr>
              <w:t>-  desenvolver</w:t>
            </w:r>
            <w:proofErr w:type="gramEnd"/>
            <w:r w:rsidRPr="00342167">
              <w:rPr>
                <w:rFonts w:asciiTheme="majorHAnsi" w:eastAsia="Times New Roman" w:hAnsiTheme="majorHAnsi" w:cstheme="majorHAnsi"/>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61C88E74"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desenvolver</w:t>
            </w:r>
            <w:proofErr w:type="gramEnd"/>
            <w:r w:rsidRPr="00342167">
              <w:rPr>
                <w:rFonts w:asciiTheme="majorHAnsi" w:eastAsia="Times New Roman" w:hAnsiTheme="majorHAnsi" w:cstheme="majorHAnsi"/>
                <w:sz w:val="24"/>
                <w:szCs w:val="24"/>
              </w:rPr>
              <w:t xml:space="preserve"> as ações estruturantes da PNCV por meio de políticas públicas integradas visando a promoção em uma cultura de direitos humanos e de valorização da cidadania e da diversidade artística e cultural;</w:t>
            </w:r>
          </w:p>
          <w:p w14:paraId="660DDA85" w14:textId="35D4DB1D"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VII - disponibilizar e manter em funcionamento o Cadastro Nacional </w:t>
            </w:r>
            <w:r w:rsidR="00DE4439">
              <w:rPr>
                <w:rFonts w:asciiTheme="majorHAnsi" w:eastAsia="Times New Roman" w:hAnsiTheme="majorHAnsi" w:cstheme="majorHAnsi"/>
                <w:sz w:val="24"/>
                <w:szCs w:val="24"/>
              </w:rPr>
              <w:t>de</w:t>
            </w:r>
            <w:r w:rsidRPr="00342167">
              <w:rPr>
                <w:rFonts w:asciiTheme="majorHAnsi" w:eastAsia="Times New Roman" w:hAnsiTheme="majorHAnsi" w:cstheme="majorHAnsi"/>
                <w:sz w:val="24"/>
                <w:szCs w:val="24"/>
              </w:rPr>
              <w:t xml:space="preserve"> Pontos e Pontões de Cultura, no âmbito de sua esfera de atuação;</w:t>
            </w:r>
          </w:p>
          <w:p w14:paraId="3C850D1D"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fomentar ações para qualificação e formação de gestores, dirigentes de entidades culturais e outros agentes envolvidos no âmbito da PNCV;</w:t>
            </w:r>
          </w:p>
          <w:p w14:paraId="5754E17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IX - </w:t>
            </w:r>
            <w:proofErr w:type="gramStart"/>
            <w:r w:rsidRPr="00342167">
              <w:rPr>
                <w:rFonts w:asciiTheme="majorHAnsi" w:eastAsia="Times New Roman" w:hAnsiTheme="majorHAnsi" w:cstheme="majorHAnsi"/>
                <w:sz w:val="24"/>
                <w:szCs w:val="24"/>
              </w:rPr>
              <w:t>dar</w:t>
            </w:r>
            <w:proofErr w:type="gramEnd"/>
            <w:r w:rsidRPr="00342167">
              <w:rPr>
                <w:rFonts w:asciiTheme="majorHAnsi" w:eastAsia="Times New Roman" w:hAnsiTheme="majorHAnsi" w:cstheme="majorHAnsi"/>
                <w:sz w:val="24"/>
                <w:szCs w:val="24"/>
              </w:rPr>
              <w:t xml:space="preserve"> ciência da celebração de parcerias federativas, no que couber, aos conselhos de cultura, assembleias legislativas e câmaras municipais de vereadores para efeitos de acompanhamento e fiscalização;</w:t>
            </w:r>
          </w:p>
          <w:p w14:paraId="6E5B249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 - </w:t>
            </w:r>
            <w:proofErr w:type="gramStart"/>
            <w:r w:rsidRPr="00342167">
              <w:rPr>
                <w:rFonts w:asciiTheme="majorHAnsi" w:eastAsia="Times New Roman" w:hAnsiTheme="majorHAnsi" w:cstheme="majorHAnsi"/>
                <w:sz w:val="24"/>
                <w:szCs w:val="24"/>
              </w:rPr>
              <w:t>promover</w:t>
            </w:r>
            <w:proofErr w:type="gramEnd"/>
            <w:r w:rsidRPr="00342167">
              <w:rPr>
                <w:rFonts w:asciiTheme="majorHAnsi" w:eastAsia="Times New Roman" w:hAnsiTheme="majorHAnsi" w:cstheme="majorHAnsi"/>
                <w:sz w:val="24"/>
                <w:szCs w:val="24"/>
              </w:rPr>
              <w:t xml:space="preserve"> ações de publicidade da PNCV que proporcionem controle social, transparência pública e visibilidade das ações junto à sociedade;</w:t>
            </w:r>
          </w:p>
          <w:p w14:paraId="3998A1AF"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 - contribuir para o fortalecimento da atuação em redes territoriais, identitárias e temáticas no âmbito da PNCV;</w:t>
            </w:r>
          </w:p>
          <w:p w14:paraId="2F7F79C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 - realizar os atos e os procedimentos relativos à formalização, execução, acompanhamento e análise da prestação de contas do presente TCC;</w:t>
            </w:r>
          </w:p>
          <w:p w14:paraId="486FEB3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XIII - realizar os procedimentos relativos à Tomada de Contas Especial, quando for o caso;</w:t>
            </w:r>
          </w:p>
          <w:p w14:paraId="08A04720"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XIV - cumprir com os procedimentos de transparência e publicidade atribuídos ao poder público conforme o disposto na Seção III da IN MinC nº 08 de 11 de maio de 2016;</w:t>
            </w:r>
          </w:p>
          <w:p w14:paraId="07D54070" w14:textId="4EF9EF30"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 - </w:t>
            </w:r>
            <w:proofErr w:type="gramStart"/>
            <w:r w:rsidRPr="00342167">
              <w:rPr>
                <w:rFonts w:asciiTheme="majorHAnsi" w:eastAsia="Times New Roman" w:hAnsiTheme="majorHAnsi" w:cstheme="majorHAnsi"/>
                <w:sz w:val="24"/>
                <w:szCs w:val="24"/>
              </w:rPr>
              <w:t>repassar</w:t>
            </w:r>
            <w:proofErr w:type="gramEnd"/>
            <w:r w:rsidRPr="00342167">
              <w:rPr>
                <w:rFonts w:asciiTheme="majorHAnsi" w:eastAsia="Times New Roman" w:hAnsiTheme="majorHAnsi" w:cstheme="majorHAnsi"/>
                <w:sz w:val="24"/>
                <w:szCs w:val="24"/>
              </w:rPr>
              <w:t xml:space="preserve"> os recursos financeiros ao PONTO DE CULTURA, de acordo com a programação orçamentária e financeira do ente público, obedecendo ao cronograma financeiro constante deste instrumento e do plano de trabalho;</w:t>
            </w:r>
          </w:p>
          <w:p w14:paraId="1B15C9C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 - prorrogar “de ofício” o prazo de vigência do TCC antes do seu término, quando der causa ao atraso na liberação dos recursos, limitada a prorrogação ao exato período do atraso verificado;</w:t>
            </w:r>
          </w:p>
          <w:p w14:paraId="2DEB916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XVII - aplicar as penalidades previstas e proceder às ações administrativas necessárias à exigência da restituição dos recursos transferidos;</w:t>
            </w:r>
          </w:p>
          <w:p w14:paraId="413593F4" w14:textId="6559F26E"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XVIII - comunicar ao Pont</w:t>
            </w:r>
            <w:r w:rsidR="00EA2EAC">
              <w:rPr>
                <w:rFonts w:asciiTheme="majorHAnsi" w:eastAsia="Times New Roman" w:hAnsiTheme="majorHAnsi" w:cstheme="majorHAnsi"/>
                <w:sz w:val="24"/>
                <w:szCs w:val="24"/>
              </w:rPr>
              <w:t>o</w:t>
            </w:r>
            <w:r w:rsidRPr="00342167">
              <w:rPr>
                <w:rFonts w:asciiTheme="majorHAnsi" w:eastAsia="Times New Roman" w:hAnsiTheme="majorHAnsi" w:cstheme="majorHAnsi"/>
                <w:sz w:val="24"/>
                <w:szCs w:val="24"/>
              </w:rPr>
              <w:t xml:space="preserve">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3F79BD53"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XIX - analisar a prestação de contas dos recursos aplicados na consecução do objeto deste TCC, na forma e prazo fixados no art. 47 da IN MinC nº 08 de 11 de maio de 2016;</w:t>
            </w:r>
          </w:p>
          <w:p w14:paraId="3C60F025" w14:textId="46B658AD"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XX - </w:t>
            </w:r>
            <w:proofErr w:type="gramStart"/>
            <w:r w:rsidRPr="00342167">
              <w:rPr>
                <w:rFonts w:asciiTheme="majorHAnsi" w:eastAsia="Times New Roman" w:hAnsiTheme="majorHAnsi" w:cstheme="majorHAnsi"/>
                <w:sz w:val="24"/>
                <w:szCs w:val="24"/>
              </w:rPr>
              <w:t>nos</w:t>
            </w:r>
            <w:proofErr w:type="gramEnd"/>
            <w:r w:rsidRPr="00342167">
              <w:rPr>
                <w:rFonts w:asciiTheme="majorHAnsi" w:eastAsia="Times New Roman" w:hAnsiTheme="majorHAnsi" w:cstheme="majorHAnsi"/>
                <w:sz w:val="24"/>
                <w:szCs w:val="24"/>
              </w:rPr>
              <w:t xml:space="preserve"> casos em que o PONTO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6DE990DB" w14:textId="77777777" w:rsidR="009706EA"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XXI - exercer, se conveniente e oportuno, a prerrogativa de assumir ou de transferir a responsabilidade pela execução do objeto, no caso de paralisação ou da ocorrência de fato relevante, de modo a evitar sua descontinuidade</w:t>
            </w:r>
            <w:r w:rsidR="00E84F6E">
              <w:rPr>
                <w:rFonts w:asciiTheme="majorHAnsi" w:eastAsia="Times New Roman" w:hAnsiTheme="majorHAnsi" w:cstheme="majorHAnsi"/>
                <w:sz w:val="24"/>
                <w:szCs w:val="24"/>
              </w:rPr>
              <w:t>.</w:t>
            </w:r>
          </w:p>
          <w:p w14:paraId="3467247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342167" w14:paraId="4B4BEDC0" w14:textId="77777777" w:rsidTr="00342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21C9EB" w14:textId="77777777" w:rsid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lastRenderedPageBreak/>
              <w:t>6.</w:t>
            </w:r>
            <w:r w:rsidR="009706EA">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b/>
                <w:sz w:val="24"/>
                <w:szCs w:val="24"/>
              </w:rPr>
              <w:t>Da Entidade Cultural</w:t>
            </w:r>
          </w:p>
        </w:tc>
      </w:tr>
      <w:tr w:rsidR="00342167" w:rsidRPr="00342167" w14:paraId="26B77F27" w14:textId="77777777" w:rsidTr="00342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AF4F819" w14:textId="77777777" w:rsidR="00616153" w:rsidRPr="00616153" w:rsidRDefault="00616153" w:rsidP="00616153">
            <w:pPr>
              <w:autoSpaceDE w:val="0"/>
              <w:autoSpaceDN w:val="0"/>
              <w:adjustRightInd w:val="0"/>
              <w:spacing w:after="240" w:line="240" w:lineRule="auto"/>
              <w:ind w:left="0" w:hanging="2"/>
              <w:jc w:val="both"/>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lastRenderedPageBreak/>
              <w:t>Incumbe à Entidade Cultural observar as obrigações descritas na Instrução Normativa/MinC nº 08/2016 e, ainda, as seguintes responsabilidades:</w:t>
            </w:r>
          </w:p>
          <w:p w14:paraId="22DEDD81"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xml:space="preserve"> executar o projeto conforme Plano de Trabalho aprovado e produzir provas documentais sobre o andamento da execução do projeto, inclusive das alterações no Plano de Trabalho;</w:t>
            </w:r>
          </w:p>
          <w:p w14:paraId="5AE4729B" w14:textId="64BC4268"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cumprir com os procedimentos de transparência e publicidade atribuídos à entidade cultural conforme o disposto no Capítulo IV, Seção III da IN MinC nº 08 de 11 de maio de 2016;</w:t>
            </w:r>
          </w:p>
          <w:p w14:paraId="090D8EDC"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divulgar, em destaque, o nome da Secretaria da Cidadania e da Diversidade Cultural,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682E4CA2"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desenvolver uma gestão compartilhada e participativa, por meio de instâncias, fóruns e espaços de diálogos junto aos beneficiários em sua área de abrangência;</w:t>
            </w:r>
          </w:p>
          <w:p w14:paraId="533EE454"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xml:space="preserve">envidar esforços visando atuar nos processos participativos instituídos pelo Sistema Nacional de Cultura-SNC (especialmente as Conferências de Cultura) e pela PNCV (especialmente as </w:t>
            </w:r>
            <w:proofErr w:type="spellStart"/>
            <w:r w:rsidRPr="00616153">
              <w:rPr>
                <w:rFonts w:asciiTheme="majorHAnsi" w:eastAsia="Times New Roman" w:hAnsiTheme="majorHAnsi" w:cstheme="majorHAnsi"/>
                <w:sz w:val="24"/>
                <w:szCs w:val="24"/>
              </w:rPr>
              <w:t>TEIAs</w:t>
            </w:r>
            <w:proofErr w:type="spellEnd"/>
            <w:r w:rsidRPr="00616153">
              <w:rPr>
                <w:rFonts w:asciiTheme="majorHAnsi" w:eastAsia="Times New Roman" w:hAnsiTheme="majorHAnsi" w:cstheme="majorHAnsi"/>
                <w:sz w:val="24"/>
                <w:szCs w:val="24"/>
              </w:rPr>
              <w:t>) em âmbito local, regional e nacional;</w:t>
            </w:r>
          </w:p>
          <w:p w14:paraId="2ECA3F90"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estimular a participação ativa dos beneficiários da PNCV nos processos participativos instituídos no SNC e na PNCV em âmbito local, regional e nacional;</w:t>
            </w:r>
          </w:p>
          <w:p w14:paraId="1FF53102"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contribuir com a organização e funcionamento da Rede Cultura Viva e de suas instâncias, mecanismos e processos de gestão compartilhada, participação e controle social;</w:t>
            </w:r>
          </w:p>
          <w:p w14:paraId="1C65EE53"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manter seus dados cadastrais atualizados no Cadastro Nacional de Pontos e Pontões de Cultura, atendendo à chamada anual de atualização de dados;</w:t>
            </w:r>
          </w:p>
          <w:p w14:paraId="0D749C67"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4DA0E260"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permitir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3019573D"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a responsabilidade exclusiva pelo gerenciamento administrativo e financeiro dos recursos recebidos, inclusive no que diz respeito às despesas de custeio, de investimento e de pessoal;</w:t>
            </w:r>
          </w:p>
          <w:p w14:paraId="57349B3F"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xml:space="preserve">pagar os encargos trabalhistas, previdenciários, fiscais e comerciais relativos ao funcionamento da instituição e ao adimplemento do TCC, não se caracterizando responsabilidade </w:t>
            </w:r>
            <w:r w:rsidRPr="00616153">
              <w:rPr>
                <w:rFonts w:asciiTheme="majorHAnsi" w:eastAsia="Times New Roman" w:hAnsiTheme="majorHAnsi" w:cstheme="majorHAnsi"/>
                <w:sz w:val="24"/>
                <w:szCs w:val="24"/>
              </w:rPr>
              <w:lastRenderedPageBreak/>
              <w:t>solidária ou subsidiária da administração pública concedente pelos respectivos pagamentos ou qualquer oneração do objeto da parceria ou restrição à sua execução;</w:t>
            </w:r>
          </w:p>
          <w:p w14:paraId="1834A2CB"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xml:space="preserve">prestar contas dos recursos recebidos, conforme acordado neste Termo </w:t>
            </w:r>
            <w:proofErr w:type="gramStart"/>
            <w:r w:rsidRPr="00616153">
              <w:rPr>
                <w:rFonts w:asciiTheme="majorHAnsi" w:eastAsia="Times New Roman" w:hAnsiTheme="majorHAnsi" w:cstheme="majorHAnsi"/>
                <w:sz w:val="24"/>
                <w:szCs w:val="24"/>
              </w:rPr>
              <w:t>e  na</w:t>
            </w:r>
            <w:proofErr w:type="gramEnd"/>
            <w:r w:rsidRPr="00616153">
              <w:rPr>
                <w:rFonts w:asciiTheme="majorHAnsi" w:eastAsia="Times New Roman" w:hAnsiTheme="majorHAnsi" w:cstheme="majorHAnsi"/>
                <w:sz w:val="24"/>
                <w:szCs w:val="24"/>
              </w:rPr>
              <w:t xml:space="preserve"> forma dos atos normativos que se relacionam com o tema;</w:t>
            </w:r>
          </w:p>
          <w:p w14:paraId="36561698"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guardar os documentos originais de comprovação do cumprimento do objeto pelo prazo de dez anos após a entrega da prestação de contas, estando ciente de que a documentação de comprovação fiscal em princípio não será exigida, mas deve ser obtida e guardada pela entidade cultural pelo mesmo prazo;</w:t>
            </w:r>
          </w:p>
          <w:p w14:paraId="1FAD9EAF" w14:textId="77777777" w:rsidR="00616153" w:rsidRPr="00616153" w:rsidRDefault="00616153" w:rsidP="00616153">
            <w:pPr>
              <w:numPr>
                <w:ilvl w:val="0"/>
                <w:numId w:val="15"/>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envidar esforços para divulgação das ações do Ministério da Cultura e do Ente Público parceiro, quando solicitado, visando ação conjunta para cumprimento dos objetivos da PNCV dispostos no art. 2º da Lei nº 13.018/2014.</w:t>
            </w:r>
          </w:p>
          <w:p w14:paraId="62AD74C4" w14:textId="77777777" w:rsidR="00616153" w:rsidRPr="00616153" w:rsidRDefault="00616153" w:rsidP="00616153">
            <w:pPr>
              <w:autoSpaceDE w:val="0"/>
              <w:autoSpaceDN w:val="0"/>
              <w:adjustRightInd w:val="0"/>
              <w:spacing w:after="120" w:line="240" w:lineRule="auto"/>
              <w:ind w:left="0" w:hanging="2"/>
              <w:jc w:val="both"/>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1º Incumbe à Entidade Cultural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p w14:paraId="63895610" w14:textId="33657133" w:rsidR="00342167" w:rsidRPr="00342167" w:rsidRDefault="00616153" w:rsidP="00616153">
            <w:pPr>
              <w:spacing w:before="120" w:after="120" w:line="240" w:lineRule="auto"/>
              <w:ind w:leftChars="0" w:left="0" w:firstLineChars="0" w:firstLine="0"/>
              <w:jc w:val="both"/>
              <w:rPr>
                <w:rFonts w:asciiTheme="majorHAnsi" w:eastAsia="Times New Roman" w:hAnsiTheme="majorHAnsi" w:cstheme="majorHAnsi"/>
                <w:sz w:val="24"/>
                <w:szCs w:val="24"/>
              </w:rPr>
            </w:pPr>
            <w:r w:rsidRPr="00616153">
              <w:rPr>
                <w:rFonts w:asciiTheme="majorHAnsi" w:eastAsia="Times New Roman" w:hAnsiTheme="majorHAnsi" w:cstheme="majorHAnsi"/>
                <w:sz w:val="24"/>
                <w:szCs w:val="24"/>
              </w:rPr>
              <w:t>§ 2º A desnecessidade de apresentação de notas fiscais e recibos no Relatório de Execução Financeira, na forma do art. 45 da Instrução Normativa/MinC n.8/2016, não afasta a relevância de o PONTO DE CULTURA guardar tais documentos para fins de demonstração de cumprimento de obrigações perante outras autoridades estatais, tais como os órgãos de fiscalização tributária, previdenciária e trabalhista, órgãos de controle interno e externo do Governo Estadual ou Federal.</w:t>
            </w:r>
          </w:p>
        </w:tc>
      </w:tr>
    </w:tbl>
    <w:p w14:paraId="6895BEC0" w14:textId="77777777" w:rsidR="009706EA" w:rsidRDefault="009706EA">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14:paraId="18886BEB"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53C3C5CF" w14:textId="77777777" w:rsidR="00342167" w:rsidRPr="00342167" w:rsidRDefault="00342167" w:rsidP="00342167">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VALORES</w:t>
            </w:r>
          </w:p>
        </w:tc>
      </w:tr>
      <w:tr w:rsidR="00342167" w:rsidRPr="00342167" w14:paraId="033800A6"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4A0E86B" w14:textId="7BF5272D"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Para execução das atividades previstas no Plano de Trabalho deste TCC, serão disponibilizados pelo Ente Público recursos no valor total 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em </w:t>
            </w:r>
            <w:r w:rsidRPr="0097339C">
              <w:rPr>
                <w:rFonts w:asciiTheme="majorHAnsi" w:eastAsia="Times New Roman" w:hAnsiTheme="majorHAnsi" w:cstheme="majorHAnsi"/>
                <w:sz w:val="24"/>
                <w:szCs w:val="24"/>
                <w:highlight w:val="yellow"/>
              </w:rPr>
              <w:t>parcela única</w:t>
            </w:r>
            <w:r w:rsidRPr="00342167">
              <w:rPr>
                <w:rFonts w:asciiTheme="majorHAnsi" w:eastAsia="Times New Roman" w:hAnsiTheme="majorHAnsi" w:cstheme="majorHAnsi"/>
                <w:sz w:val="24"/>
                <w:szCs w:val="24"/>
              </w:rPr>
              <w:t xml:space="preserve">, à conta do Programa 5025 - Cultura, Ação Orçamentária 215G - Implementação da Política Nacional de Cultura Viva, de acordo com o Cronograma de Desembolso constante do Plano de Trabalho, a ser repassado em dezembro de 2023, correspondente à Nota de Empenho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de </w:t>
            </w:r>
            <w:r w:rsidRPr="00342167">
              <w:rPr>
                <w:rFonts w:asciiTheme="majorHAnsi" w:eastAsia="Times New Roman" w:hAnsiTheme="majorHAnsi" w:cstheme="majorHAnsi"/>
                <w:sz w:val="24"/>
                <w:szCs w:val="24"/>
                <w:highlight w:val="yellow"/>
              </w:rPr>
              <w:t>XX/XX/20</w:t>
            </w:r>
            <w:r w:rsidR="0097339C">
              <w:rPr>
                <w:rFonts w:asciiTheme="majorHAnsi" w:eastAsia="Times New Roman" w:hAnsiTheme="majorHAnsi" w:cstheme="majorHAnsi"/>
                <w:sz w:val="24"/>
                <w:szCs w:val="24"/>
                <w:highlight w:val="yellow"/>
              </w:rPr>
              <w:t>XX</w:t>
            </w:r>
            <w:r w:rsidRPr="00342167">
              <w:rPr>
                <w:rFonts w:asciiTheme="majorHAnsi" w:eastAsia="Times New Roman" w:hAnsiTheme="majorHAnsi" w:cstheme="majorHAnsi"/>
                <w:sz w:val="24"/>
                <w:szCs w:val="24"/>
                <w:highlight w:val="yellow"/>
              </w:rPr>
              <w:t>.</w:t>
            </w:r>
            <w:r w:rsidRPr="00342167">
              <w:rPr>
                <w:rFonts w:asciiTheme="majorHAnsi" w:eastAsia="Times New Roman" w:hAnsiTheme="majorHAnsi" w:cstheme="majorHAnsi"/>
                <w:sz w:val="24"/>
                <w:szCs w:val="24"/>
              </w:rPr>
              <w:t xml:space="preserve"> </w:t>
            </w:r>
          </w:p>
          <w:p w14:paraId="6C0126BD" w14:textId="77777777" w:rsidR="009706EA"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Parágrafo único. Na ocorrência de cancelamento de Restos a Pagar, o quantitativo poderá ser reduzido até a etapa que apresente funcionalidade no Plano de Trabalho, mediante aprovação do Ente Público</w:t>
            </w:r>
            <w:r w:rsidR="00B54A44">
              <w:rPr>
                <w:rFonts w:asciiTheme="majorHAnsi" w:eastAsia="Times New Roman" w:hAnsiTheme="majorHAnsi" w:cstheme="majorHAnsi"/>
                <w:sz w:val="24"/>
                <w:szCs w:val="24"/>
              </w:rPr>
              <w:t>.</w:t>
            </w:r>
          </w:p>
        </w:tc>
      </w:tr>
      <w:tr w:rsidR="00B54A44" w14:paraId="68C98647"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167D87A5" w14:textId="77777777" w:rsidR="00B54A44" w:rsidRPr="00B54A44" w:rsidRDefault="00B54A44" w:rsidP="00B54A44">
            <w:pPr>
              <w:pStyle w:val="PargrafodaLista"/>
              <w:numPr>
                <w:ilvl w:val="1"/>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movimentação dos recursos financeiros</w:t>
            </w:r>
          </w:p>
        </w:tc>
      </w:tr>
      <w:tr w:rsidR="00B54A44" w:rsidRPr="00342167" w14:paraId="79D17F5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63151A0" w14:textId="04B03E3C"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Os recursos referentes ao presente Termo de Compromisso Cultural, a serem desembolsados pelo Ente Público, serão depositados e geridos em conta específica de instituição financeira indicada pela entidade cultural, na Agência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 Banco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na cidade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w:t>
            </w:r>
            <w:r w:rsidR="008B3976">
              <w:rPr>
                <w:rFonts w:asciiTheme="majorHAnsi" w:eastAsia="Times New Roman" w:hAnsiTheme="majorHAnsi" w:cstheme="majorHAnsi"/>
                <w:sz w:val="24"/>
                <w:szCs w:val="24"/>
              </w:rPr>
              <w:t xml:space="preserve">UF </w:t>
            </w:r>
            <w:r w:rsidR="008B3976" w:rsidRPr="008B3976">
              <w:rPr>
                <w:rFonts w:asciiTheme="majorHAnsi" w:eastAsia="Times New Roman" w:hAnsiTheme="majorHAnsi" w:cstheme="majorHAnsi"/>
                <w:sz w:val="24"/>
                <w:szCs w:val="24"/>
                <w:highlight w:val="yellow"/>
              </w:rPr>
              <w:t>XX</w:t>
            </w:r>
            <w:r w:rsidR="008B3976">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em conformidade com os prazos estabelecidos no Cronograma Financeiro constante do Plano de Trabalho.</w:t>
            </w:r>
          </w:p>
          <w:p w14:paraId="7D1515F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recursos depositados nesta conta bancária específica, enquanto não empregados na sua finalidade, serão obrigatoriamente aplicados:</w:t>
            </w:r>
          </w:p>
          <w:p w14:paraId="2CF81FA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caderneta de poupança, ou</w:t>
            </w:r>
          </w:p>
          <w:p w14:paraId="45E27C9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fundo de aplicação financeira de curto prazo ou operação de mercado aberto lastreada em título da dívida pública.</w:t>
            </w:r>
          </w:p>
          <w:p w14:paraId="1CD1A40A" w14:textId="5C74C235"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recursos desta parceria serão utilizados exclusivamente para o pagamento das despesas previstas no objeto do TCC, vedada a sua aplicação em finalidade diversa, ainda que decorrentes de necessidade emergencial do PONTO DE CULTURA.</w:t>
            </w:r>
          </w:p>
          <w:p w14:paraId="318ED38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Os rendimentos de aplicações financeiras poderão ser aplicados para manter o poder de compra dos recursos das parcerias, bem como para ampliação ou criação de metas, durante a vigência do TCC, desde que contribuam para a execução do objeto da parceria, ou para incremento deste.</w:t>
            </w:r>
          </w:p>
          <w:p w14:paraId="4F5679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O uso de rendimentos para as finalidades descritas no § 3º poderá ser realizado sem autorização prévia da administração pública, desde que seja descrito no Relatório de Execução do Objeto, com motivação.</w:t>
            </w:r>
          </w:p>
          <w:p w14:paraId="437B37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remanejamento de recurso no plano de trabalho poderá ocorrer desde que:</w:t>
            </w:r>
          </w:p>
          <w:p w14:paraId="691500CE" w14:textId="539D9E60"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008036F7">
              <w:rPr>
                <w:rFonts w:asciiTheme="majorHAnsi" w:eastAsia="Times New Roman" w:hAnsiTheme="majorHAnsi" w:cstheme="majorHAnsi"/>
                <w:sz w:val="24"/>
                <w:szCs w:val="24"/>
              </w:rPr>
              <w:t>s</w:t>
            </w:r>
            <w:r w:rsidRPr="00342167">
              <w:rPr>
                <w:rFonts w:asciiTheme="majorHAnsi" w:eastAsia="Times New Roman" w:hAnsiTheme="majorHAnsi" w:cstheme="majorHAnsi"/>
                <w:sz w:val="24"/>
                <w:szCs w:val="24"/>
              </w:rPr>
              <w:t>eja</w:t>
            </w:r>
            <w:proofErr w:type="gramEnd"/>
            <w:r w:rsidRPr="00342167">
              <w:rPr>
                <w:rFonts w:asciiTheme="majorHAnsi" w:eastAsia="Times New Roman" w:hAnsiTheme="majorHAnsi" w:cstheme="majorHAnsi"/>
                <w:sz w:val="24"/>
                <w:szCs w:val="24"/>
              </w:rPr>
              <w:t xml:space="preserve"> realizado durante a vigência da parceria;</w:t>
            </w:r>
          </w:p>
          <w:p w14:paraId="65CCC7C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tenha</w:t>
            </w:r>
            <w:proofErr w:type="gramEnd"/>
            <w:r w:rsidRPr="00342167">
              <w:rPr>
                <w:rFonts w:asciiTheme="majorHAnsi" w:eastAsia="Times New Roman" w:hAnsiTheme="majorHAnsi" w:cstheme="majorHAnsi"/>
                <w:sz w:val="24"/>
                <w:szCs w:val="24"/>
              </w:rPr>
              <w:t xml:space="preserve"> como finalidade o cumprimento do objeto pactuado;</w:t>
            </w:r>
          </w:p>
          <w:p w14:paraId="7C1A3C6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não altere o valor global do orçamento aprovado no TCC; e</w:t>
            </w:r>
          </w:p>
          <w:p w14:paraId="158BD39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não</w:t>
            </w:r>
            <w:proofErr w:type="gramEnd"/>
            <w:r w:rsidRPr="00342167">
              <w:rPr>
                <w:rFonts w:asciiTheme="majorHAnsi" w:eastAsia="Times New Roman" w:hAnsiTheme="majorHAnsi" w:cstheme="majorHAnsi"/>
                <w:sz w:val="24"/>
                <w:szCs w:val="24"/>
              </w:rPr>
              <w:t xml:space="preserve"> implique troca de categoria de despesas, de custeio para capital ou de capital para custeio.</w:t>
            </w:r>
          </w:p>
          <w:p w14:paraId="30424804" w14:textId="064B5189"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§6º - Após a conclusão, rescisão ou extinção da parceria, os saldos financeiros remanescentes, inclusive os provenientes das receitas obtidas das aplicações financeiras realizadas, deverão ser devolvidos pelo PONTO DE CULTURA ao Ente Público, no prazo de trinta dias</w:t>
            </w:r>
            <w:r>
              <w:rPr>
                <w:rFonts w:asciiTheme="majorHAnsi" w:eastAsia="Times New Roman" w:hAnsiTheme="majorHAnsi" w:cstheme="majorHAnsi"/>
                <w:sz w:val="24"/>
                <w:szCs w:val="24"/>
              </w:rPr>
              <w:t>.</w:t>
            </w:r>
          </w:p>
        </w:tc>
      </w:tr>
    </w:tbl>
    <w:p w14:paraId="750F2E27" w14:textId="77777777" w:rsidR="00B54A44" w:rsidRDefault="00B54A44" w:rsidP="00B54A44">
      <w:pPr>
        <w:ind w:left="0" w:hanging="2"/>
      </w:pPr>
    </w:p>
    <w:p w14:paraId="626A909E" w14:textId="77777777" w:rsidR="009706EA" w:rsidRDefault="009706EA" w:rsidP="00B54A44">
      <w:pPr>
        <w:ind w:left="0" w:hanging="2"/>
      </w:pPr>
    </w:p>
    <w:p w14:paraId="2D3AE061" w14:textId="77777777" w:rsidR="009706EA" w:rsidRDefault="009706EA" w:rsidP="00B54A44">
      <w:pPr>
        <w:ind w:left="0" w:hanging="2"/>
      </w:pPr>
    </w:p>
    <w:p w14:paraId="46BEC10E" w14:textId="77777777" w:rsidR="009706EA" w:rsidRDefault="009706EA" w:rsidP="00B54A44">
      <w:pPr>
        <w:ind w:left="0" w:hanging="2"/>
      </w:pPr>
    </w:p>
    <w:p w14:paraId="1F010B6E" w14:textId="77777777" w:rsidR="009706EA" w:rsidRDefault="009706EA" w:rsidP="00B54A44">
      <w:pPr>
        <w:ind w:left="0" w:hanging="2"/>
      </w:pPr>
    </w:p>
    <w:p w14:paraId="06205088" w14:textId="77777777" w:rsidR="009706EA" w:rsidRDefault="009706EA"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3C17E710"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BE3585"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lastRenderedPageBreak/>
              <w:t>DO ACOMPANHAMENTO E AVALIAÇÃO</w:t>
            </w:r>
          </w:p>
        </w:tc>
      </w:tr>
      <w:tr w:rsidR="00B54A44" w:rsidRPr="00342167" w14:paraId="33129630"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C08300B"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realizará o acompanhamento e a avaliação da execução</w:t>
            </w:r>
            <w:r w:rsidRPr="00342167">
              <w:rPr>
                <w:rFonts w:asciiTheme="majorHAnsi" w:eastAsia="Times New Roman" w:hAnsiTheme="majorHAnsi" w:cstheme="majorHAnsi"/>
                <w:i/>
                <w:sz w:val="24"/>
                <w:szCs w:val="24"/>
              </w:rPr>
              <w:t xml:space="preserve"> </w:t>
            </w:r>
            <w:r w:rsidRPr="00342167">
              <w:rPr>
                <w:rFonts w:asciiTheme="majorHAnsi" w:eastAsia="Times New Roman" w:hAnsiTheme="majorHAnsi" w:cstheme="majorHAnsi"/>
                <w:sz w:val="24"/>
                <w:szCs w:val="24"/>
              </w:rPr>
              <w:t>deste TCC, periodicamente, durante a vigência da parceria, com vistas a promover o levantamento de dados para subsidiar a avaliação da prestação de contas podendo, para tanto:</w:t>
            </w:r>
          </w:p>
          <w:p w14:paraId="6128110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exigir</w:t>
            </w:r>
            <w:proofErr w:type="gramEnd"/>
            <w:r w:rsidRPr="00342167">
              <w:rPr>
                <w:rFonts w:asciiTheme="majorHAnsi" w:eastAsia="Times New Roman" w:hAnsiTheme="majorHAnsi" w:cstheme="majorHAnsi"/>
                <w:sz w:val="24"/>
                <w:szCs w:val="24"/>
              </w:rPr>
              <w:t xml:space="preserve"> informações técnicas (incluindo relatório fotográfico), prestações de contas parciais e/ou final a qualquer momento;</w:t>
            </w:r>
          </w:p>
          <w:p w14:paraId="59221D4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exigir</w:t>
            </w:r>
            <w:proofErr w:type="gramEnd"/>
            <w:r w:rsidRPr="00342167">
              <w:rPr>
                <w:rFonts w:asciiTheme="majorHAnsi" w:eastAsia="Times New Roman" w:hAnsiTheme="majorHAnsi" w:cstheme="majorHAnsi"/>
                <w:sz w:val="24"/>
                <w:szCs w:val="24"/>
              </w:rPr>
              <w:t xml:space="preserve"> o registro, nos sistemas institucionais indicados pelo Ministério da Cultura, das atividades provenientes da execução do TCC;</w:t>
            </w:r>
          </w:p>
          <w:p w14:paraId="0CC9D73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usar os diversos canais eletrônicos de comunicação e divulgação absorvendo informações sobre a execução do TCC e adotando providências necessárias, quando for o caso;</w:t>
            </w:r>
          </w:p>
          <w:p w14:paraId="3651B8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fazer</w:t>
            </w:r>
            <w:proofErr w:type="gramEnd"/>
            <w:r w:rsidRPr="00342167">
              <w:rPr>
                <w:rFonts w:asciiTheme="majorHAnsi" w:eastAsia="Times New Roman" w:hAnsiTheme="majorHAnsi" w:cstheme="majorHAnsi"/>
                <w:sz w:val="24"/>
                <w:szCs w:val="24"/>
              </w:rPr>
              <w:t xml:space="preserve"> vistoria in loco;</w:t>
            </w:r>
          </w:p>
          <w:p w14:paraId="781B874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utilizar</w:t>
            </w:r>
            <w:proofErr w:type="gramEnd"/>
            <w:r w:rsidRPr="00342167">
              <w:rPr>
                <w:rFonts w:asciiTheme="majorHAnsi" w:eastAsia="Times New Roman" w:hAnsiTheme="majorHAnsi" w:cstheme="majorHAnsi"/>
                <w:sz w:val="24"/>
                <w:szCs w:val="24"/>
              </w:rPr>
              <w:t xml:space="preserve"> apoio técnico de terceiros, delegar competência ou firmar parcerias com órgãos ou entidades que se situem próximos ao local de aplicação dos recursos.</w:t>
            </w:r>
          </w:p>
          <w:p w14:paraId="53219C6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Tão logo seja possível a inclusão de Termos de Compromisso Cultural em sistema designado pelo Ministério da Cultura, a entidade deverá preencher relatórios parciais e demais abas do sistema, bem como anexar os documentos pertinentes</w:t>
            </w:r>
            <w:r w:rsidRPr="00342167">
              <w:rPr>
                <w:rFonts w:asciiTheme="majorHAnsi" w:hAnsiTheme="majorHAnsi" w:cstheme="majorHAnsi"/>
                <w:sz w:val="24"/>
                <w:szCs w:val="24"/>
              </w:rPr>
              <w:t xml:space="preserve">. </w:t>
            </w:r>
            <w:r w:rsidRPr="00342167">
              <w:rPr>
                <w:rFonts w:asciiTheme="majorHAnsi" w:eastAsia="Times New Roman" w:hAnsiTheme="majorHAnsi" w:cstheme="majorHAnsi"/>
                <w:sz w:val="24"/>
                <w:szCs w:val="24"/>
              </w:rPr>
              <w:t xml:space="preserve"> </w:t>
            </w:r>
          </w:p>
          <w:p w14:paraId="4B7A5E7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3086811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As parcerias estarão também sujeitas aos mecanismos de controle social previstos na legislação e ao acompanhamento por comissões e conselhos de políticas públicas da área cultural</w:t>
            </w:r>
            <w:r>
              <w:rPr>
                <w:rFonts w:asciiTheme="majorHAnsi" w:eastAsia="Times New Roman" w:hAnsiTheme="majorHAnsi" w:cstheme="majorHAnsi"/>
                <w:sz w:val="24"/>
                <w:szCs w:val="24"/>
              </w:rPr>
              <w:t>.</w:t>
            </w:r>
          </w:p>
        </w:tc>
      </w:tr>
    </w:tbl>
    <w:p w14:paraId="6B187292"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53136BD3"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3F041A7"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PRESTAÇÃO DE CONTAS</w:t>
            </w:r>
          </w:p>
        </w:tc>
      </w:tr>
      <w:tr w:rsidR="00B54A44" w:rsidRPr="00342167" w14:paraId="348D4A24"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B1C546C" w14:textId="2224DB2A"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A prestação de contas será apresentada por meio do </w:t>
            </w:r>
            <w:r w:rsidRPr="00342167">
              <w:rPr>
                <w:rFonts w:asciiTheme="majorHAnsi" w:eastAsia="Times New Roman" w:hAnsiTheme="majorHAnsi" w:cstheme="majorHAnsi"/>
                <w:sz w:val="24"/>
                <w:szCs w:val="24"/>
                <w:u w:val="single"/>
              </w:rPr>
              <w:t>Relatório de Execução do Objeto</w:t>
            </w:r>
            <w:r w:rsidRPr="00342167">
              <w:rPr>
                <w:rFonts w:asciiTheme="majorHAnsi" w:eastAsia="Times New Roman" w:hAnsiTheme="majorHAnsi" w:cstheme="majorHAnsi"/>
                <w:sz w:val="24"/>
                <w:szCs w:val="24"/>
              </w:rPr>
              <w:t>, pelo representante legal do PONTO DE CULTURA, no prazo de noventa dias após o fim da vigência do TCC, contendo:</w:t>
            </w:r>
          </w:p>
          <w:p w14:paraId="78DF73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relato</w:t>
            </w:r>
            <w:proofErr w:type="gramEnd"/>
            <w:r w:rsidRPr="00342167">
              <w:rPr>
                <w:rFonts w:asciiTheme="majorHAnsi" w:eastAsia="Times New Roman" w:hAnsiTheme="majorHAnsi" w:cstheme="majorHAnsi"/>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2F684F4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comparativo</w:t>
            </w:r>
            <w:proofErr w:type="gramEnd"/>
            <w:r w:rsidRPr="00342167">
              <w:rPr>
                <w:rFonts w:asciiTheme="majorHAnsi" w:eastAsia="Times New Roman" w:hAnsiTheme="majorHAnsi" w:cstheme="majorHAnsi"/>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4FB688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III - material que comprove a execução de cada item de despesa e a consecução de cada uma das metas (fotos, listas de presença, vídeos, entre outros) descrito no Plano de Trabalho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e</w:t>
            </w:r>
          </w:p>
          <w:p w14:paraId="28A8F07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indicação</w:t>
            </w:r>
            <w:proofErr w:type="gramEnd"/>
            <w:r w:rsidRPr="00342167">
              <w:rPr>
                <w:rFonts w:asciiTheme="majorHAnsi" w:eastAsia="Times New Roman" w:hAnsiTheme="majorHAnsi" w:cstheme="majorHAnsi"/>
                <w:sz w:val="24"/>
                <w:szCs w:val="24"/>
              </w:rPr>
              <w:t xml:space="preserve"> dos bens e serviços oferecidos como contrapartida, quando houver;</w:t>
            </w:r>
          </w:p>
          <w:p w14:paraId="741CC57C" w14:textId="7AF8A4CF"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documentos originais de comprovação do cumprimento do objeto deverão ser guardados pelo PONTO DE CULTURA pelo prazo de dez anos após a entrega da prestação de contas.</w:t>
            </w:r>
          </w:p>
          <w:p w14:paraId="0ED12D39"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saldos financeiros remanescentes, inclusive os provenientes das receitas de aplicações financeiras, não utilizados no objeto pactuado durante a vigência da parceria, deverão ser devolvidos ao Ente Público no prazo de trinta dias, após a data final da vigência.</w:t>
            </w:r>
          </w:p>
          <w:p w14:paraId="09C08AE6" w14:textId="2FD78F23"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 prazo de apresentação do Relatório de Execução do Objeto poderá ser prorrogado por até trinta dias, mediante solicitação fundamentada do PONTO DE CULTURA.</w:t>
            </w:r>
          </w:p>
          <w:p w14:paraId="3A9D4CF5" w14:textId="7B9B07F4"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Caso o Ente Público verifique que houve inadequação na execução do objeto, o PONTO DE CULTURA será notificado para apresentar Relatório de Execução Financeiro, no prazo de trinta dias, contendo:</w:t>
            </w:r>
          </w:p>
          <w:p w14:paraId="3F9E1D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relação de pagamentos, com indicação dos beneficiários desses pagamentos e identificação do item de despesa e meta relacionados a cada pagamento;</w:t>
            </w:r>
          </w:p>
          <w:p w14:paraId="2FE6864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extrato</w:t>
            </w:r>
            <w:proofErr w:type="gramEnd"/>
            <w:r w:rsidRPr="00342167">
              <w:rPr>
                <w:rFonts w:asciiTheme="majorHAnsi" w:eastAsia="Times New Roman" w:hAnsiTheme="majorHAnsi" w:cstheme="majorHAnsi"/>
                <w:sz w:val="24"/>
                <w:szCs w:val="24"/>
              </w:rPr>
              <w:t xml:space="preserve"> bancário da conta do TCC, incluindo toda a movimentação desde a abertura até a última movimentação, e conciliação bancária; e</w:t>
            </w:r>
          </w:p>
          <w:p w14:paraId="39B9AC8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comprovante de recolhimento do saldo remanescente de recursos, quando houver.</w:t>
            </w:r>
          </w:p>
          <w:p w14:paraId="231D92DD"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Ente Público considerará que houve inadequação na execução do objeto quando configurada uma das seguintes hipóteses:</w:t>
            </w:r>
          </w:p>
          <w:p w14:paraId="4097E28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quando for identificado o descumprimento injustificado do alcance das metas; ou</w:t>
            </w:r>
          </w:p>
          <w:p w14:paraId="1DD94DE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quando</w:t>
            </w:r>
            <w:proofErr w:type="gramEnd"/>
            <w:r w:rsidRPr="00342167">
              <w:rPr>
                <w:rFonts w:asciiTheme="majorHAnsi" w:eastAsia="Times New Roman" w:hAnsiTheme="majorHAnsi" w:cstheme="majorHAnsi"/>
                <w:sz w:val="24"/>
                <w:szCs w:val="24"/>
              </w:rPr>
              <w:t xml:space="preserve"> for aceita denúncia de irregularidade, mediante juízo de admissibilidade realizado pelo Ente Público</w:t>
            </w:r>
            <w:r>
              <w:rPr>
                <w:rFonts w:asciiTheme="majorHAnsi" w:eastAsia="Times New Roman" w:hAnsiTheme="majorHAnsi" w:cstheme="majorHAnsi"/>
                <w:sz w:val="24"/>
                <w:szCs w:val="24"/>
              </w:rPr>
              <w:t>.</w:t>
            </w:r>
          </w:p>
        </w:tc>
      </w:tr>
    </w:tbl>
    <w:p w14:paraId="2B6210A9"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04D322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C25E51B"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BENS REMANESCENTES</w:t>
            </w:r>
          </w:p>
        </w:tc>
      </w:tr>
      <w:tr w:rsidR="00B54A44" w:rsidRPr="00342167" w14:paraId="4CDE001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2D07C3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3392C7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bens patrimoniais de que trata o caput deverão ser gravados com cláusula de inalienabilidade enquanto viger a parceria, sendo que, na hipótese de extinção da Entidade durante a vigência do presente instrumento, a propriedade de tais bens será transferida ao Ente Público.</w:t>
            </w:r>
          </w:p>
          <w:p w14:paraId="436C4BD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§2º - Quando da extinção da parceria, os bens remanescentes permanecerão na propriedade da Entidade Cultural, na medida em que os bens sejam úteis à continuidade da execução de ações de interesse social pela organização.</w:t>
            </w:r>
          </w:p>
          <w:p w14:paraId="2CA74DA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Caso a prestação de contas final seja rejeitada, a titularidade dos bens remanescentes permanecerá com a Entidade Cultural, observados os seguintes procedimentos:</w:t>
            </w:r>
          </w:p>
          <w:p w14:paraId="295BE8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não</w:t>
            </w:r>
            <w:proofErr w:type="gramEnd"/>
            <w:r w:rsidRPr="00342167">
              <w:rPr>
                <w:rFonts w:asciiTheme="majorHAnsi" w:eastAsia="Times New Roman" w:hAnsiTheme="majorHAnsi" w:cstheme="majorHAnsi"/>
                <w:sz w:val="24"/>
                <w:szCs w:val="24"/>
              </w:rPr>
              <w:t xml:space="preserve"> será exigido ressarcimento do valor relativo ao bem adquirido quando a motivação da rejeição não estiver relacionada ao seu uso ou aquisição; ou</w:t>
            </w:r>
          </w:p>
          <w:p w14:paraId="45EE6E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valor pelo qual o bem remanescente foi adquirido deverá ser computado no cálculo do dano ao erário a ser ressarcido, quando a motivação da rejeição estiver relacionada ao seu uso ou aquisição. </w:t>
            </w:r>
          </w:p>
          <w:p w14:paraId="670D98B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Na hipótese de dissolução da Entidade Cultural durante a vigência da parceria, o valor pelo qual os bens remanescentes foram adquiridos deverá ser computado no cálculo do valor a ser ressarcido.</w:t>
            </w:r>
          </w:p>
          <w:p w14:paraId="0FA7982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A Entidade Cultural poderá realizar doação dos bens remanescentes a terceiros, inclusive beneficiários da política pública objeto da parceria, desde que demonstrada sua utilidade para realização ou continuidade de ações de interesse social.</w:t>
            </w:r>
          </w:p>
          <w:p w14:paraId="2B846EC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§6º -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1299952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§7º - A destinação dos bens remanescentes poderá ser alterada por meio da celebração de Termo Aditivo à parceria, após solicitação fundamentada de uma das partes.</w:t>
            </w:r>
          </w:p>
          <w:p w14:paraId="28FB544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§8º - No caso de término da execução do TCC antes da manifestação sobre eventual solicitação de uma das partes de alteração da destinação dos bens remanescentes, a custódia dos bens permanecerá sob a responsabilidade da Entidade Cultural até a decisão do pedido</w:t>
            </w:r>
            <w:r>
              <w:rPr>
                <w:rFonts w:asciiTheme="majorHAnsi" w:eastAsia="Times New Roman" w:hAnsiTheme="majorHAnsi" w:cstheme="majorHAnsi"/>
                <w:sz w:val="24"/>
                <w:szCs w:val="24"/>
              </w:rPr>
              <w:t>.</w:t>
            </w:r>
          </w:p>
        </w:tc>
      </w:tr>
    </w:tbl>
    <w:p w14:paraId="54C3717A"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A71B38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8E5296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E84F6E">
              <w:rPr>
                <w:rFonts w:asciiTheme="majorHAnsi" w:hAnsiTheme="majorHAnsi" w:cstheme="majorHAnsi"/>
                <w:b/>
                <w:sz w:val="24"/>
                <w:szCs w:val="24"/>
              </w:rPr>
              <w:t>DA PROPRIEDADE INTELECTUAL</w:t>
            </w:r>
          </w:p>
        </w:tc>
      </w:tr>
      <w:tr w:rsidR="00E84F6E" w:rsidRPr="00342167" w14:paraId="2F3A21C9"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700FF7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Caso as atividades realizadas pela ENTIDADE CULTURAL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imateriais, os quais ficarão gravados com cláusula de inalienabilidade durante a vigência da parceria.</w:t>
            </w:r>
          </w:p>
          <w:p w14:paraId="3C560FC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§1º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 xml:space="preserve">Durante a vigência da parceria, os ganhos econômicos auferidos pela ENTIDADE CULTURAL na exploração ou licença de uso dos bens passíveis de propriedade intelectual, gerados com os recursos </w:t>
            </w:r>
            <w:r w:rsidRPr="00342167">
              <w:rPr>
                <w:rFonts w:asciiTheme="majorHAnsi" w:hAnsiTheme="majorHAnsi" w:cstheme="majorHAnsi"/>
                <w:sz w:val="24"/>
                <w:szCs w:val="24"/>
              </w:rPr>
              <w:lastRenderedPageBreak/>
              <w:t>públicos provenientes do Termo de Colaboração, deverão ser aplicados no objeto do presente instrumento, sem prejuízo do disposto no parágrafo seguinte.</w:t>
            </w:r>
          </w:p>
          <w:p w14:paraId="4CA886C2"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§2º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A participação nos ganhos econômicos fica assegurada, nos termos da legislação específica, ao inventor, criador ou autor.</w:t>
            </w:r>
          </w:p>
          <w:p w14:paraId="78469A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§3º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permanecerão na titularidade da ENTIDADE CULTURAL, quando forem úteis à continuidade da execução de ações de interesse social pela organização, observado o disposto no parágrafo seguinte.</w:t>
            </w:r>
          </w:p>
          <w:p w14:paraId="4795275B"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§4º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4013AFB1"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§5º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A ENTIDADE CULTURAL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4E47E6C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9.610, de 19 de fevereiro de 1998, por quaisquer modalidades de utilização existentes ou que venham a ser inventadas, inclusive:</w:t>
            </w:r>
          </w:p>
          <w:p w14:paraId="376D331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a) a reprodução parcial ou integral;</w:t>
            </w:r>
          </w:p>
          <w:p w14:paraId="734DC82D"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b) a edição;</w:t>
            </w:r>
          </w:p>
          <w:p w14:paraId="0A0569D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 a adaptação, o arranjo musical e quaisquer outras transformações;</w:t>
            </w:r>
          </w:p>
          <w:p w14:paraId="0CBA7B48"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d) a tradução para qualquer idioma;</w:t>
            </w:r>
          </w:p>
          <w:p w14:paraId="69183DA3"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e) a inclusão em fonograma ou produção audiovisual;</w:t>
            </w:r>
          </w:p>
          <w:p w14:paraId="620197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7211173F"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 xml:space="preserve">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w:t>
            </w:r>
            <w:r w:rsidRPr="00342167">
              <w:rPr>
                <w:rFonts w:asciiTheme="majorHAnsi" w:hAnsiTheme="majorHAnsi" w:cstheme="majorHAnsi"/>
                <w:sz w:val="24"/>
                <w:szCs w:val="24"/>
              </w:rPr>
              <w:lastRenderedPageBreak/>
              <w:t>comunicação similares que venham a ser adotados; exposição de obras de artes plásticas e figurativas; e</w:t>
            </w:r>
          </w:p>
          <w:p w14:paraId="14B5C8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h) a inclusão em base de dados, o armazenamento em computador, a microfilmagem e as demais formas de arquivamento do gênero.</w:t>
            </w:r>
          </w:p>
          <w:p w14:paraId="1CE4E5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9.279, de 14 de maio de 1996, para a exploração de patente de invenção ou de modelo de utilidade e de registro de desenho industrial;</w:t>
            </w:r>
          </w:p>
          <w:p w14:paraId="1450729E"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III</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quanto aos direitos de que trata a Lei nº 9.456, de 25 de abril de 1997, pela utilização da cultivar protegida; e</w:t>
            </w:r>
          </w:p>
          <w:p w14:paraId="6D49D104"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IV</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9.609, de 19 de fevereiro de 1998, pela utilização de programas de computador.</w:t>
            </w:r>
          </w:p>
          <w:p w14:paraId="43E47A71"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hAnsiTheme="majorHAnsi" w:cstheme="majorHAnsi"/>
                <w:sz w:val="24"/>
                <w:szCs w:val="24"/>
              </w:rPr>
              <w:t>§6º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Pr>
                <w:rFonts w:asciiTheme="majorHAnsi" w:eastAsia="Times New Roman" w:hAnsiTheme="majorHAnsi" w:cstheme="majorHAnsi"/>
                <w:sz w:val="24"/>
                <w:szCs w:val="24"/>
              </w:rPr>
              <w:t>.</w:t>
            </w:r>
          </w:p>
        </w:tc>
      </w:tr>
    </w:tbl>
    <w:p w14:paraId="642EE29A"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0AAB4B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5B80BD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PRAZO DE VIGÊNCIA</w:t>
            </w:r>
          </w:p>
        </w:tc>
      </w:tr>
      <w:tr w:rsidR="00E84F6E" w:rsidRPr="00342167" w14:paraId="17A2E31D" w14:textId="77777777" w:rsidTr="00E84F6E">
        <w:trPr>
          <w:trHeight w:val="984"/>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FE364CA"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 prazo de vigência deste TCC será de </w:t>
            </w:r>
            <w:r w:rsidRPr="00A724DC">
              <w:rPr>
                <w:rFonts w:asciiTheme="majorHAnsi" w:eastAsia="Times New Roman" w:hAnsiTheme="majorHAnsi" w:cstheme="majorHAnsi"/>
                <w:sz w:val="24"/>
                <w:szCs w:val="24"/>
                <w:highlight w:val="yellow"/>
              </w:rPr>
              <w:t>12 (doze) meses</w:t>
            </w:r>
            <w:r w:rsidRPr="00342167">
              <w:rPr>
                <w:rFonts w:asciiTheme="majorHAnsi" w:eastAsia="Times New Roman" w:hAnsiTheme="majorHAnsi" w:cstheme="majorHAnsi"/>
                <w:sz w:val="24"/>
                <w:szCs w:val="24"/>
              </w:rPr>
              <w:t>, contados a partir da data de sua assinatura, podendo ser prorrogado pelo dobro do tempo pactuado, mediante acordo entre as partes, excetuadas as prorrogações de ofício por atraso na liberação dos recursos.</w:t>
            </w:r>
          </w:p>
          <w:p w14:paraId="719E5579"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A vigência da parceria poderá ser alterada mediante solicitação da entidade cultural, a ser apresentada à administração pública em, no mínimo, trinta dias antes do término de sua vigência.</w:t>
            </w:r>
          </w:p>
          <w:p w14:paraId="6241F6B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prorrogação de ofício da vigência do instrumento deve ser feita pela administração pública, antes do seu término, quando ela der causa a atraso na liberação dos recursos, limitada ao exato período do atraso verificado</w:t>
            </w:r>
            <w:r>
              <w:rPr>
                <w:rFonts w:asciiTheme="majorHAnsi" w:eastAsia="Times New Roman" w:hAnsiTheme="majorHAnsi" w:cstheme="majorHAnsi"/>
                <w:sz w:val="24"/>
                <w:szCs w:val="24"/>
              </w:rPr>
              <w:t>.</w:t>
            </w:r>
          </w:p>
        </w:tc>
      </w:tr>
    </w:tbl>
    <w:p w14:paraId="5EEF8316"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01F0B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584BBA2"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RESCISÃO</w:t>
            </w:r>
          </w:p>
        </w:tc>
      </w:tr>
      <w:tr w:rsidR="00E84F6E" w:rsidRPr="00342167" w14:paraId="462640AB"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1FA72DC" w14:textId="058D1E78"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É facultado ao Ente Público e ao PONTO DE CULTURA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0155098" w14:textId="11D69AC4"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§1º - O Ente Público deverá rescindir este TCC caso seja cancelada a certificação simplificada do Ponto de Cultura, respeitados os atos jurídicos perfeitos, na forma do art. 11 da Instrução Normativa/MinC nº 8/2016.</w:t>
            </w:r>
          </w:p>
          <w:p w14:paraId="3CC195A2"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69964D74" w14:textId="70FC1B61"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Havendo rescisão, o Ponto fica obrigado a prestar contas de tudo que fora executado até a data da rescisão, observado o prazo e regras da Seção 9</w:t>
            </w:r>
            <w:r>
              <w:rPr>
                <w:rFonts w:asciiTheme="majorHAnsi" w:eastAsia="Times New Roman" w:hAnsiTheme="majorHAnsi" w:cstheme="majorHAnsi"/>
                <w:sz w:val="24"/>
                <w:szCs w:val="24"/>
              </w:rPr>
              <w:t>.</w:t>
            </w:r>
          </w:p>
        </w:tc>
      </w:tr>
    </w:tbl>
    <w:p w14:paraId="448BBEAE"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FB23C21"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01EFBE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PUBLICAÇÃO</w:t>
            </w:r>
          </w:p>
        </w:tc>
      </w:tr>
      <w:tr w:rsidR="00E84F6E" w:rsidRPr="00342167" w14:paraId="398E1ADB" w14:textId="77777777" w:rsidTr="00E84F6E">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3B9CA2D"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publicará extrato deste TCC no meio oficial de publicidade da administração pública, após a assinatura, para que se inicie a produção de seus efeitos</w:t>
            </w:r>
            <w:r>
              <w:rPr>
                <w:rFonts w:asciiTheme="majorHAnsi" w:eastAsia="Times New Roman" w:hAnsiTheme="majorHAnsi" w:cstheme="majorHAnsi"/>
                <w:sz w:val="24"/>
                <w:szCs w:val="24"/>
              </w:rPr>
              <w:t>.</w:t>
            </w:r>
          </w:p>
        </w:tc>
      </w:tr>
    </w:tbl>
    <w:p w14:paraId="1BA91CCD"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6337A0D5"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1C2A4C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FORO</w:t>
            </w:r>
          </w:p>
        </w:tc>
      </w:tr>
      <w:tr w:rsidR="00E84F6E" w:rsidRPr="00342167" w14:paraId="7AF29E04" w14:textId="77777777" w:rsidTr="00046167">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821FCF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Os partícipes comprometem-se a submeter eventuais controvérsias decorrentes do presente ajuste à prévia tentativa de solução administrativa. As controvérsias que não possam ser resolvidas administrativamente serão submetidas ao foro da Justiça Federal</w:t>
            </w:r>
            <w:r>
              <w:rPr>
                <w:rFonts w:asciiTheme="majorHAnsi" w:eastAsia="Times New Roman" w:hAnsiTheme="majorHAnsi" w:cstheme="majorHAnsi"/>
                <w:sz w:val="24"/>
                <w:szCs w:val="24"/>
              </w:rPr>
              <w:t>.</w:t>
            </w:r>
          </w:p>
        </w:tc>
      </w:tr>
    </w:tbl>
    <w:p w14:paraId="48A4FD2F"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E84F6E" w14:paraId="7F6A6920" w14:textId="77777777" w:rsidTr="00046167">
        <w:trPr>
          <w:trHeight w:val="525"/>
        </w:trPr>
        <w:tc>
          <w:tcPr>
            <w:tcW w:w="9972" w:type="dxa"/>
            <w:gridSpan w:val="2"/>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C91C61E"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DATA E ASSINATURAS</w:t>
            </w:r>
          </w:p>
        </w:tc>
      </w:tr>
      <w:tr w:rsidR="00E84F6E" w:rsidRPr="00342167" w14:paraId="06C83BE7" w14:textId="77777777" w:rsidTr="00046167">
        <w:trPr>
          <w:trHeight w:val="851"/>
        </w:trPr>
        <w:tc>
          <w:tcPr>
            <w:tcW w:w="997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04FF71F"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E, por assim estarem plenamente de acordo, os partícipes obrigam-se ao total cumprimento dos termos do presente instrumento, o qual lido e achado conforme, foi assinado </w:t>
            </w:r>
            <w:r>
              <w:rPr>
                <w:rFonts w:asciiTheme="majorHAnsi" w:eastAsia="Times New Roman" w:hAnsiTheme="majorHAnsi" w:cstheme="majorHAnsi"/>
                <w:sz w:val="24"/>
                <w:szCs w:val="24"/>
              </w:rPr>
              <w:t xml:space="preserve">nesta data </w:t>
            </w:r>
            <w:r w:rsidRPr="00342167">
              <w:rPr>
                <w:rFonts w:asciiTheme="majorHAnsi" w:eastAsia="Times New Roman" w:hAnsiTheme="majorHAnsi" w:cstheme="majorHAnsi"/>
                <w:sz w:val="24"/>
                <w:szCs w:val="24"/>
              </w:rPr>
              <w:t xml:space="preserve">pelos partícipes no Sistema Eletrônico de Informações - SEI e registrado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para que produza seus jurídicos e legais efeitos, em Juízo ou fora dele</w:t>
            </w:r>
            <w:r>
              <w:rPr>
                <w:rFonts w:asciiTheme="majorHAnsi" w:eastAsia="Times New Roman" w:hAnsiTheme="majorHAnsi" w:cstheme="majorHAnsi"/>
                <w:sz w:val="24"/>
                <w:szCs w:val="24"/>
              </w:rPr>
              <w:t>.</w:t>
            </w:r>
          </w:p>
        </w:tc>
      </w:tr>
      <w:tr w:rsidR="00E84F6E" w:rsidRPr="00342167" w14:paraId="199B4EDC" w14:textId="77777777" w:rsidTr="00E84F6E">
        <w:trPr>
          <w:trHeight w:val="851"/>
        </w:trPr>
        <w:tc>
          <w:tcPr>
            <w:tcW w:w="481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AAEC603"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2DEF4AAA"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NOME</w:t>
            </w:r>
          </w:p>
          <w:p w14:paraId="501032F9"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p w14:paraId="188064C8"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da entidade cultural</w:t>
            </w:r>
          </w:p>
        </w:tc>
        <w:tc>
          <w:tcPr>
            <w:tcW w:w="5160" w:type="dxa"/>
            <w:tcBorders>
              <w:top w:val="single" w:sz="4" w:space="0" w:color="auto"/>
              <w:left w:val="single" w:sz="4" w:space="0" w:color="auto"/>
              <w:bottom w:val="single" w:sz="4" w:space="0" w:color="auto"/>
              <w:right w:val="single" w:sz="4" w:space="0" w:color="auto"/>
            </w:tcBorders>
            <w:shd w:val="clear" w:color="auto" w:fill="FFFFFF"/>
          </w:tcPr>
          <w:p w14:paraId="10A71CD5"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381E9B24" w14:textId="77777777" w:rsidR="0097339C" w:rsidRPr="00342167" w:rsidRDefault="0097339C" w:rsidP="0097339C">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NOME</w:t>
            </w:r>
          </w:p>
          <w:p w14:paraId="0932872D" w14:textId="77777777" w:rsidR="0097339C" w:rsidRPr="00342167" w:rsidRDefault="0097339C" w:rsidP="0097339C">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p w14:paraId="44BCC9EC" w14:textId="56E66704" w:rsidR="00E84F6E" w:rsidRPr="00342167" w:rsidRDefault="00E84F6E" w:rsidP="0097339C">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do órgão ou entidade pública</w:t>
            </w:r>
          </w:p>
        </w:tc>
      </w:tr>
    </w:tbl>
    <w:p w14:paraId="762D0584" w14:textId="77777777" w:rsidR="00E84F6E" w:rsidRDefault="00E84F6E">
      <w:pPr>
        <w:ind w:left="0" w:hanging="2"/>
      </w:pPr>
    </w:p>
    <w:p w14:paraId="3839909D" w14:textId="77777777" w:rsidR="000D32AE" w:rsidRPr="00342167" w:rsidRDefault="000D32AE" w:rsidP="00342167">
      <w:pPr>
        <w:spacing w:before="120" w:after="120" w:line="240" w:lineRule="auto"/>
        <w:ind w:leftChars="0" w:left="0" w:firstLineChars="0" w:firstLine="0"/>
        <w:jc w:val="both"/>
        <w:rPr>
          <w:rFonts w:asciiTheme="majorHAnsi" w:hAnsiTheme="majorHAnsi" w:cstheme="majorHAnsi"/>
          <w:sz w:val="24"/>
          <w:szCs w:val="24"/>
        </w:rPr>
      </w:pPr>
    </w:p>
    <w:sectPr w:rsidR="000D32AE" w:rsidRPr="00342167">
      <w:headerReference w:type="even" r:id="rId9"/>
      <w:headerReference w:type="default" r:id="rId10"/>
      <w:footerReference w:type="even" r:id="rId11"/>
      <w:footerReference w:type="default" r:id="rId12"/>
      <w:headerReference w:type="first" r:id="rId13"/>
      <w:footerReference w:type="first" r:id="rId14"/>
      <w:pgSz w:w="12240" w:h="15840"/>
      <w:pgMar w:top="1984" w:right="1133" w:bottom="1133" w:left="1133"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6CB2" w14:textId="77777777" w:rsidR="00A67E0C" w:rsidRDefault="00A67E0C">
      <w:pPr>
        <w:spacing w:after="0" w:line="240" w:lineRule="auto"/>
        <w:ind w:left="0" w:hanging="2"/>
      </w:pPr>
      <w:r>
        <w:separator/>
      </w:r>
    </w:p>
  </w:endnote>
  <w:endnote w:type="continuationSeparator" w:id="0">
    <w:p w14:paraId="4FEE2034" w14:textId="77777777" w:rsidR="00A67E0C" w:rsidRDefault="00A67E0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095" w14:textId="77777777" w:rsidR="00342167" w:rsidRDefault="0034216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257584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9F511E8" w14:textId="77777777" w:rsidR="009706EA" w:rsidRPr="009706EA" w:rsidRDefault="009706EA">
            <w:pPr>
              <w:pStyle w:val="Rodap"/>
              <w:ind w:left="0" w:hanging="2"/>
              <w:jc w:val="right"/>
              <w:rPr>
                <w:sz w:val="16"/>
                <w:szCs w:val="16"/>
              </w:rPr>
            </w:pPr>
            <w:r w:rsidRPr="009706EA">
              <w:rPr>
                <w:sz w:val="16"/>
                <w:szCs w:val="16"/>
              </w:rPr>
              <w:t xml:space="preserve">Página </w:t>
            </w:r>
            <w:r w:rsidRPr="009706EA">
              <w:rPr>
                <w:b/>
                <w:bCs/>
                <w:sz w:val="16"/>
                <w:szCs w:val="16"/>
              </w:rPr>
              <w:fldChar w:fldCharType="begin"/>
            </w:r>
            <w:r w:rsidRPr="009706EA">
              <w:rPr>
                <w:b/>
                <w:bCs/>
                <w:sz w:val="16"/>
                <w:szCs w:val="16"/>
              </w:rPr>
              <w:instrText>PAGE</w:instrText>
            </w:r>
            <w:r w:rsidRPr="009706EA">
              <w:rPr>
                <w:b/>
                <w:bCs/>
                <w:sz w:val="16"/>
                <w:szCs w:val="16"/>
              </w:rPr>
              <w:fldChar w:fldCharType="separate"/>
            </w:r>
            <w:r w:rsidRPr="009706EA">
              <w:rPr>
                <w:b/>
                <w:bCs/>
                <w:sz w:val="16"/>
                <w:szCs w:val="16"/>
              </w:rPr>
              <w:t>2</w:t>
            </w:r>
            <w:r w:rsidRPr="009706EA">
              <w:rPr>
                <w:b/>
                <w:bCs/>
                <w:sz w:val="16"/>
                <w:szCs w:val="16"/>
              </w:rPr>
              <w:fldChar w:fldCharType="end"/>
            </w:r>
            <w:r w:rsidRPr="009706EA">
              <w:rPr>
                <w:sz w:val="16"/>
                <w:szCs w:val="16"/>
              </w:rPr>
              <w:t xml:space="preserve"> de </w:t>
            </w:r>
            <w:r w:rsidRPr="009706EA">
              <w:rPr>
                <w:b/>
                <w:bCs/>
                <w:sz w:val="16"/>
                <w:szCs w:val="16"/>
              </w:rPr>
              <w:fldChar w:fldCharType="begin"/>
            </w:r>
            <w:r w:rsidRPr="009706EA">
              <w:rPr>
                <w:b/>
                <w:bCs/>
                <w:sz w:val="16"/>
                <w:szCs w:val="16"/>
              </w:rPr>
              <w:instrText>NUMPAGES</w:instrText>
            </w:r>
            <w:r w:rsidRPr="009706EA">
              <w:rPr>
                <w:b/>
                <w:bCs/>
                <w:sz w:val="16"/>
                <w:szCs w:val="16"/>
              </w:rPr>
              <w:fldChar w:fldCharType="separate"/>
            </w:r>
            <w:r w:rsidRPr="009706EA">
              <w:rPr>
                <w:b/>
                <w:bCs/>
                <w:sz w:val="16"/>
                <w:szCs w:val="16"/>
              </w:rPr>
              <w:t>2</w:t>
            </w:r>
            <w:r w:rsidRPr="009706EA">
              <w:rPr>
                <w:b/>
                <w:bCs/>
                <w:sz w:val="16"/>
                <w:szCs w:val="16"/>
              </w:rPr>
              <w:fldChar w:fldCharType="end"/>
            </w:r>
          </w:p>
        </w:sdtContent>
      </w:sdt>
    </w:sdtContent>
  </w:sdt>
  <w:p w14:paraId="39BCB611" w14:textId="77777777" w:rsidR="00342167" w:rsidRDefault="00342167">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551" w14:textId="77777777" w:rsidR="00342167" w:rsidRDefault="0034216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3F95" w14:textId="77777777" w:rsidR="00A67E0C" w:rsidRDefault="00A67E0C">
      <w:pPr>
        <w:spacing w:after="0" w:line="240" w:lineRule="auto"/>
        <w:ind w:left="0" w:hanging="2"/>
      </w:pPr>
      <w:r>
        <w:separator/>
      </w:r>
    </w:p>
  </w:footnote>
  <w:footnote w:type="continuationSeparator" w:id="0">
    <w:p w14:paraId="1C7D02E7" w14:textId="77777777" w:rsidR="00A67E0C" w:rsidRDefault="00A67E0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A95" w14:textId="77777777" w:rsidR="00342167" w:rsidRDefault="0034216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82ED" w14:textId="77777777" w:rsidR="000D32AE" w:rsidRDefault="000D32A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FF0" w14:textId="77777777" w:rsidR="00342167" w:rsidRDefault="00342167">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A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15:restartNumberingAfterBreak="0">
    <w:nsid w:val="05140849"/>
    <w:multiLevelType w:val="hybridMultilevel"/>
    <w:tmpl w:val="365A8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C85DBF"/>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0A4A76C0"/>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0BF26A7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11EB1BDE"/>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159E1315"/>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2B3424E3"/>
    <w:multiLevelType w:val="hybridMultilevel"/>
    <w:tmpl w:val="A484F84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0F9"/>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2F603FE8"/>
    <w:multiLevelType w:val="hybridMultilevel"/>
    <w:tmpl w:val="C7C6705A"/>
    <w:lvl w:ilvl="0" w:tplc="8410B9C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4E36CD"/>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62F9249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2" w15:restartNumberingAfterBreak="0">
    <w:nsid w:val="6E4B025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6E7A0104"/>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7D3A5F2D"/>
    <w:multiLevelType w:val="hybridMultilevel"/>
    <w:tmpl w:val="F0D6DC32"/>
    <w:lvl w:ilvl="0" w:tplc="ECC4A0DC">
      <w:start w:val="1"/>
      <w:numFmt w:val="upperRoman"/>
      <w:lvlText w:val="%1-"/>
      <w:lvlJc w:val="left"/>
      <w:pPr>
        <w:ind w:left="360" w:hanging="360"/>
      </w:pPr>
      <w:rPr>
        <w:rFonts w:hint="default"/>
      </w:rPr>
    </w:lvl>
    <w:lvl w:ilvl="1" w:tplc="4AB0A67E">
      <w:start w:val="1"/>
      <w:numFmt w:val="upperRoman"/>
      <w:lvlText w:val="%2-"/>
      <w:lvlJc w:val="left"/>
      <w:pPr>
        <w:ind w:left="1440" w:hanging="72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996252820">
    <w:abstractNumId w:val="4"/>
  </w:num>
  <w:num w:numId="2" w16cid:durableId="1333682504">
    <w:abstractNumId w:val="7"/>
  </w:num>
  <w:num w:numId="3" w16cid:durableId="99573044">
    <w:abstractNumId w:val="0"/>
  </w:num>
  <w:num w:numId="4" w16cid:durableId="985939675">
    <w:abstractNumId w:val="11"/>
  </w:num>
  <w:num w:numId="5" w16cid:durableId="413861487">
    <w:abstractNumId w:val="10"/>
  </w:num>
  <w:num w:numId="6" w16cid:durableId="526261140">
    <w:abstractNumId w:val="8"/>
  </w:num>
  <w:num w:numId="7" w16cid:durableId="535243001">
    <w:abstractNumId w:val="1"/>
  </w:num>
  <w:num w:numId="8" w16cid:durableId="691414584">
    <w:abstractNumId w:val="2"/>
  </w:num>
  <w:num w:numId="9" w16cid:durableId="863132405">
    <w:abstractNumId w:val="6"/>
  </w:num>
  <w:num w:numId="10" w16cid:durableId="60838242">
    <w:abstractNumId w:val="3"/>
  </w:num>
  <w:num w:numId="11" w16cid:durableId="747001773">
    <w:abstractNumId w:val="13"/>
  </w:num>
  <w:num w:numId="12" w16cid:durableId="1874222050">
    <w:abstractNumId w:val="12"/>
  </w:num>
  <w:num w:numId="13" w16cid:durableId="1558205776">
    <w:abstractNumId w:val="5"/>
  </w:num>
  <w:num w:numId="14" w16cid:durableId="1342852508">
    <w:abstractNumId w:val="9"/>
  </w:num>
  <w:num w:numId="15" w16cid:durableId="555549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AE"/>
    <w:rsid w:val="000644BB"/>
    <w:rsid w:val="00080A1F"/>
    <w:rsid w:val="000B3847"/>
    <w:rsid w:val="000D32AE"/>
    <w:rsid w:val="000D3BAC"/>
    <w:rsid w:val="00186A1A"/>
    <w:rsid w:val="002A7651"/>
    <w:rsid w:val="00342167"/>
    <w:rsid w:val="004B2CE9"/>
    <w:rsid w:val="005F71AC"/>
    <w:rsid w:val="00616153"/>
    <w:rsid w:val="006A68FA"/>
    <w:rsid w:val="006F1C3E"/>
    <w:rsid w:val="0075378E"/>
    <w:rsid w:val="007F18BD"/>
    <w:rsid w:val="008036F7"/>
    <w:rsid w:val="008674B6"/>
    <w:rsid w:val="008B3976"/>
    <w:rsid w:val="008F775D"/>
    <w:rsid w:val="0096261C"/>
    <w:rsid w:val="009706EA"/>
    <w:rsid w:val="0097339C"/>
    <w:rsid w:val="00984A4E"/>
    <w:rsid w:val="00A11C97"/>
    <w:rsid w:val="00A67E0C"/>
    <w:rsid w:val="00A724DC"/>
    <w:rsid w:val="00B54A44"/>
    <w:rsid w:val="00C73B35"/>
    <w:rsid w:val="00D35645"/>
    <w:rsid w:val="00DE4439"/>
    <w:rsid w:val="00E6396A"/>
    <w:rsid w:val="00E84F6E"/>
    <w:rsid w:val="00EA2EAC"/>
    <w:rsid w:val="00EC1C86"/>
    <w:rsid w:val="00F8127A"/>
    <w:rsid w:val="00FF1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DBB"/>
  <w15:docId w15:val="{4BD5C1A8-2946-4B8E-93EF-79C8BF8B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bQFb6pxy2K5yYcYw8QMwKK4fA==">CgMxLjA4AHIhMWdwanhCWUlzY3BhWUtIZXZyR0JFRjdINWprV29XQ1Js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4972</Words>
  <Characters>26854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Guimaraes Goulart</dc:creator>
  <cp:lastModifiedBy>Iara da Costa Zannon</cp:lastModifiedBy>
  <cp:revision>6</cp:revision>
  <dcterms:created xsi:type="dcterms:W3CDTF">2023-12-06T13:23:00Z</dcterms:created>
  <dcterms:modified xsi:type="dcterms:W3CDTF">2023-12-06T13:40:00Z</dcterms:modified>
</cp:coreProperties>
</file>