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F607B" w:rsidR="003F0A79" w:rsidP="4DA1FF02" w:rsidRDefault="00B1033D" w14:paraId="00000001" w14:textId="3BCC661A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:rsidRPr="000F607B" w:rsidR="003F0A79" w:rsidRDefault="00B1033D" w14:paraId="00000002" w14:textId="77777777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1456AB" w:rsidTr="001456AB" w14:paraId="0B2DCE3A" w14:textId="77777777">
        <w:tc>
          <w:tcPr>
            <w:tcW w:w="9019" w:type="dxa"/>
          </w:tcPr>
          <w:p w:rsidRPr="000F607B" w:rsidR="001456AB" w:rsidP="001456AB" w:rsidRDefault="001456AB" w14:paraId="57C91F69" w14:textId="7777777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:rsidRPr="000F607B" w:rsidR="007B4602" w:rsidP="001456AB" w:rsidRDefault="007B4602" w14:paraId="74FED99A" w14:textId="2578147F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:rsidRPr="000F607B" w:rsidR="001456AB" w:rsidP="001456AB" w:rsidRDefault="001456AB" w14:paraId="59C6E053" w14:textId="780D0405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:rsidRPr="000F607B" w:rsidR="007B4602" w:rsidP="001456AB" w:rsidRDefault="007B4602" w14:paraId="52F4FE5B" w14:textId="6B69C333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:rsidRPr="000F607B" w:rsidR="001456AB" w:rsidP="001456AB" w:rsidRDefault="001456AB" w14:paraId="6BC54D27" w14:textId="593EC11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Pr="00136773"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:rsidRPr="000F607B" w:rsidR="00BA0F70" w:rsidRDefault="00BA0F70" w14:paraId="0A112602" w14:textId="77777777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:rsidRPr="000F607B" w:rsidR="003F0A79" w:rsidRDefault="00B1033D" w14:paraId="00000003" w14:textId="28A66E7F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000F607B">
        <w:rPr>
          <w:rFonts w:ascii="Calibri" w:hAnsi="Calibri" w:cs="Calibri"/>
          <w:sz w:val="24"/>
          <w:szCs w:val="24"/>
        </w:rPr>
        <w:t>NÚMERO]/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000F607B">
        <w:rPr>
          <w:rFonts w:ascii="Calibri" w:hAnsi="Calibri" w:cs="Calibri"/>
          <w:color w:val="FF0000"/>
          <w:sz w:val="24"/>
          <w:szCs w:val="24"/>
        </w:rPr>
        <w:t>nº XX/202</w:t>
      </w:r>
      <w:r w:rsidRPr="000F607B" w:rsidR="00DD3248">
        <w:rPr>
          <w:rFonts w:ascii="Calibri" w:hAnsi="Calibri" w:cs="Calibri"/>
          <w:color w:val="FF0000"/>
          <w:sz w:val="24"/>
          <w:szCs w:val="24"/>
        </w:rPr>
        <w:t>4</w:t>
      </w:r>
      <w:r w:rsidRPr="000F607B">
        <w:rPr>
          <w:rFonts w:ascii="Calibri" w:hAnsi="Calibri" w:cs="Calibri"/>
          <w:i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i/>
          <w:sz w:val="24"/>
          <w:szCs w:val="24"/>
        </w:rPr>
        <w:t>–,</w:t>
      </w:r>
      <w:r w:rsidRPr="000F607B">
        <w:rPr>
          <w:rFonts w:ascii="Calibri" w:hAnsi="Calibri" w:cs="Calibri"/>
          <w:sz w:val="24"/>
          <w:szCs w:val="24"/>
        </w:rPr>
        <w:t xml:space="preserve"> NOS TERMOS DA LEI Nº </w:t>
      </w:r>
      <w:r w:rsidRPr="000F607B" w:rsidR="00DD3248">
        <w:rPr>
          <w:rFonts w:ascii="Calibri" w:hAnsi="Calibri" w:cs="Calibri"/>
          <w:sz w:val="24"/>
          <w:szCs w:val="24"/>
        </w:rPr>
        <w:t>14.399</w:t>
      </w:r>
      <w:r w:rsidRPr="000F607B">
        <w:rPr>
          <w:rFonts w:ascii="Calibri" w:hAnsi="Calibri" w:cs="Calibri"/>
          <w:sz w:val="24"/>
          <w:szCs w:val="24"/>
        </w:rPr>
        <w:t>/2022 (</w:t>
      </w:r>
      <w:r w:rsidRPr="000F607B" w:rsidR="00DD3248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 xml:space="preserve">), </w:t>
      </w:r>
      <w:r w:rsidRPr="00136773" w:rsidR="008C38B3">
        <w:rPr>
          <w:rFonts w:ascii="Calibri" w:hAnsi="Calibri" w:cs="Calibri"/>
          <w:sz w:val="24"/>
          <w:szCs w:val="24"/>
        </w:rPr>
        <w:t xml:space="preserve">DA LEI Nº </w:t>
      </w:r>
      <w:r w:rsidR="00136773">
        <w:rPr>
          <w:rFonts w:ascii="Calibri" w:hAnsi="Calibri" w:cs="Calibri"/>
          <w:sz w:val="24"/>
          <w:szCs w:val="24"/>
        </w:rPr>
        <w:t>14.903/2024</w:t>
      </w:r>
      <w:r w:rsidR="008C38B3">
        <w:rPr>
          <w:rFonts w:ascii="Calibri" w:hAnsi="Calibri" w:cs="Calibri"/>
          <w:sz w:val="24"/>
          <w:szCs w:val="24"/>
        </w:rPr>
        <w:t xml:space="preserve">, </w:t>
      </w:r>
      <w:r w:rsidRPr="000F607B">
        <w:rPr>
          <w:rFonts w:ascii="Calibri" w:hAnsi="Calibri" w:cs="Calibri"/>
          <w:sz w:val="24"/>
          <w:szCs w:val="24"/>
        </w:rPr>
        <w:t>DO DECRETO N. 11.</w:t>
      </w:r>
      <w:r w:rsidRPr="000F607B" w:rsidR="00DD3248">
        <w:rPr>
          <w:rFonts w:ascii="Calibri" w:hAnsi="Calibri" w:cs="Calibri"/>
          <w:sz w:val="24"/>
          <w:szCs w:val="24"/>
        </w:rPr>
        <w:t>740</w:t>
      </w:r>
      <w:r w:rsidRPr="000F607B">
        <w:rPr>
          <w:rFonts w:ascii="Calibri" w:hAnsi="Calibri" w:cs="Calibri"/>
          <w:sz w:val="24"/>
          <w:szCs w:val="24"/>
        </w:rPr>
        <w:t xml:space="preserve">/2023 (DECRETO </w:t>
      </w:r>
      <w:r w:rsidRPr="000F607B" w:rsidR="00DD3248">
        <w:rPr>
          <w:rFonts w:ascii="Calibri" w:hAnsi="Calibri" w:cs="Calibri"/>
          <w:sz w:val="24"/>
          <w:szCs w:val="24"/>
        </w:rPr>
        <w:t>PNAB</w:t>
      </w:r>
      <w:r w:rsidRPr="000F607B">
        <w:rPr>
          <w:rFonts w:ascii="Calibri" w:hAnsi="Calibri" w:cs="Calibri"/>
          <w:sz w:val="24"/>
          <w:szCs w:val="24"/>
        </w:rPr>
        <w:t>)</w:t>
      </w:r>
      <w:r w:rsidR="000074AF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Pr="000F607B" w:rsidR="003F0A79" w:rsidRDefault="003F0A79" w14:paraId="0000000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Pr="000F607B" w:rsidR="003F0A79" w:rsidRDefault="00B1033D" w14:paraId="00000005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:rsidRPr="000F607B" w:rsidR="003F0A79" w:rsidRDefault="00B1033D" w14:paraId="0000000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Pr="000F607B" w:rsidR="003F0A79" w:rsidRDefault="00B1033D" w14:paraId="00000007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:rsidRPr="000F607B" w:rsidR="00DD3248" w:rsidP="00DD3248" w:rsidRDefault="00B1033D" w14:paraId="63794A05" w14:textId="601BDA2C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CA142FB" w:rsidR="00B1033D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Pr="3CA142FB" w:rsidR="7B9C11D8">
        <w:rPr>
          <w:rFonts w:ascii="Calibri" w:hAnsi="Calibri" w:cs="Calibri"/>
          <w:sz w:val="24"/>
          <w:szCs w:val="24"/>
        </w:rPr>
        <w:t xml:space="preserve"> apoio a espaços culturais</w:t>
      </w:r>
      <w:r w:rsidRPr="3CA142FB" w:rsidR="00B1033D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Pr="3CA142FB" w:rsidR="00DD3248">
        <w:rPr>
          <w:rFonts w:ascii="Calibri" w:hAnsi="Calibri" w:cs="Calibri"/>
          <w:sz w:val="24"/>
          <w:szCs w:val="24"/>
        </w:rPr>
        <w:t>LEI Nº 14.399/2022 (PNAB),</w:t>
      </w:r>
      <w:r w:rsidRPr="3CA142FB" w:rsidR="00030B58">
        <w:rPr>
          <w:rFonts w:ascii="Calibri" w:hAnsi="Calibri" w:cs="Calibri"/>
          <w:sz w:val="24"/>
          <w:szCs w:val="24"/>
        </w:rPr>
        <w:t xml:space="preserve"> da </w:t>
      </w:r>
      <w:r w:rsidRPr="3CA142FB" w:rsidR="00030B58">
        <w:rPr>
          <w:rFonts w:ascii="Calibri" w:hAnsi="Calibri" w:cs="Calibri"/>
          <w:sz w:val="24"/>
          <w:szCs w:val="24"/>
        </w:rPr>
        <w:t xml:space="preserve">LEI Nº </w:t>
      </w:r>
      <w:r w:rsidRPr="3CA142FB" w:rsidR="00136773">
        <w:rPr>
          <w:rFonts w:ascii="Calibri" w:hAnsi="Calibri" w:cs="Calibri"/>
          <w:sz w:val="24"/>
          <w:szCs w:val="24"/>
        </w:rPr>
        <w:t>14.903/2024</w:t>
      </w:r>
      <w:r w:rsidRPr="3CA142FB" w:rsidR="00C96036">
        <w:rPr>
          <w:rFonts w:ascii="Calibri" w:hAnsi="Calibri" w:cs="Calibri"/>
          <w:sz w:val="24"/>
          <w:szCs w:val="24"/>
        </w:rPr>
        <w:t xml:space="preserve"> (Ma</w:t>
      </w:r>
      <w:r w:rsidRPr="3CA142FB" w:rsidR="009575E9">
        <w:rPr>
          <w:rFonts w:ascii="Calibri" w:hAnsi="Calibri" w:cs="Calibri"/>
          <w:sz w:val="24"/>
          <w:szCs w:val="24"/>
        </w:rPr>
        <w:t>rco regulatório do fomento à cultura)</w:t>
      </w:r>
      <w:r w:rsidRPr="3CA142FB" w:rsidR="00030B58">
        <w:rPr>
          <w:rFonts w:ascii="Calibri" w:hAnsi="Calibri" w:cs="Calibri"/>
          <w:sz w:val="24"/>
          <w:szCs w:val="24"/>
        </w:rPr>
        <w:t>,</w:t>
      </w:r>
      <w:r w:rsidRPr="3CA142FB" w:rsidR="00DD3248">
        <w:rPr>
          <w:rFonts w:ascii="Calibri" w:hAnsi="Calibri" w:cs="Calibri"/>
          <w:sz w:val="24"/>
          <w:szCs w:val="24"/>
        </w:rPr>
        <w:t xml:space="preserve"> </w:t>
      </w:r>
      <w:r w:rsidRPr="3CA142FB" w:rsidR="009E10B0">
        <w:rPr>
          <w:rFonts w:ascii="Calibri" w:hAnsi="Calibri" w:cs="Calibri"/>
          <w:sz w:val="24"/>
          <w:szCs w:val="24"/>
        </w:rPr>
        <w:t>do</w:t>
      </w:r>
      <w:r w:rsidRPr="3CA142FB" w:rsidR="00DD324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Pr="3CA142FB" w:rsidR="009E10B0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:rsidRPr="000F607B" w:rsidR="003F0A79" w:rsidRDefault="00B1033D" w14:paraId="00000009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:rsidRPr="000F607B" w:rsidR="003F0A79" w:rsidRDefault="00B1033D" w14:paraId="0000000A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Pr="000F607B" w:rsidR="003F0A79" w:rsidRDefault="00B1033D" w14:paraId="0000000B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4. RECURSOS FINANCEIROS </w:t>
      </w:r>
    </w:p>
    <w:p w:rsidRPr="000F607B" w:rsidR="003F0A79" w:rsidRDefault="00B1033D" w14:paraId="0000000C" w14:textId="2D2B9F5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:rsidRPr="000F607B" w:rsidR="003F0A79" w:rsidRDefault="00B1033D" w14:paraId="0000000D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:rsidRPr="000F607B" w:rsidR="003F0A79" w:rsidRDefault="00B1033D" w14:paraId="0000000E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:rsidRPr="000F607B" w:rsidR="003F0A79" w:rsidRDefault="00B1033D" w14:paraId="0000000F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:rsidRPr="000F607B" w:rsidR="003F0A79" w:rsidRDefault="00B1033D" w14:paraId="00000010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:rsidRPr="000F607B" w:rsidR="003F0A79" w:rsidRDefault="00B1033D" w14:paraId="00000011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:rsidRPr="000F607B" w:rsidR="003F0A79" w:rsidRDefault="00B1033D" w14:paraId="00000012" w14:textId="5E9518B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Pr="000F607B" w:rsidR="5A798C6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:rsidRPr="000F607B" w:rsidR="003F0A79" w:rsidRDefault="00B1033D" w14:paraId="0000001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:rsidRPr="000F607B" w:rsidR="003F0A79" w:rsidRDefault="00B1033D" w14:paraId="0000001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:rsidRPr="000F607B" w:rsidR="003F0A79" w:rsidRDefault="00B1033D" w14:paraId="00000015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:rsidRPr="000F607B" w:rsidR="003F0A79" w:rsidRDefault="00B1033D" w14:paraId="0000001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:rsidRPr="000F607B" w:rsidR="003F0A79" w:rsidRDefault="00B1033D" w14:paraId="00000017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:rsidRPr="000F607B" w:rsidR="003F0A79" w:rsidRDefault="00B1033D" w14:paraId="00000018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:rsidRPr="000F607B" w:rsidR="003F0A79" w:rsidRDefault="00B1033D" w14:paraId="00000019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:rsidRPr="000F607B" w:rsidR="003F0A79" w:rsidRDefault="00B1033D" w14:paraId="0000001A" w14:textId="4FD8C17B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:rsidRPr="000F607B" w:rsidR="003F0A79" w:rsidRDefault="00B1033D" w14:paraId="0000001B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:rsidRPr="000F607B" w:rsidR="003F0A79" w:rsidRDefault="00B1033D" w14:paraId="0000001C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:rsidRPr="000F607B" w:rsidR="003F0A79" w:rsidRDefault="00B1033D" w14:paraId="0000001D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:rsidRPr="000F607B" w:rsidR="003F0A79" w:rsidRDefault="00B1033D" w14:paraId="0000001E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:rsidRPr="000F607B" w:rsidR="003F0A79" w:rsidRDefault="00B1033D" w14:paraId="0000001F" w14:textId="7DD3170A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Pr="000F607B" w:rsidR="00DD3248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Pr="000F607B" w:rsidR="007B4602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:rsidRPr="000F607B" w:rsidR="003F0A79" w:rsidRDefault="00B1033D" w14:paraId="0000002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:rsidRPr="000F607B" w:rsidR="003F0A79" w:rsidRDefault="00B1033D" w14:paraId="00000021" w14:textId="21B9C3B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Pr="000F607B" w:rsidR="0A52AC75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Pr="000F607B" w:rsidR="00DD3248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:rsidRPr="000F607B" w:rsidR="00DD3248" w:rsidP="00DD3248" w:rsidRDefault="00B1033D" w14:paraId="351FAD10" w14:textId="0FFDF2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Pr="000F607B" w:rsidR="00766C10">
        <w:rPr>
          <w:rFonts w:ascii="Calibri" w:hAnsi="Calibri" w:cs="Calibri"/>
          <w:sz w:val="24"/>
          <w:szCs w:val="24"/>
        </w:rPr>
        <w:t>;</w:t>
      </w:r>
    </w:p>
    <w:p w:rsidRPr="000F607B" w:rsidR="00766C10" w:rsidP="00766C10" w:rsidRDefault="00766C10" w14:paraId="11AF24F5" w14:textId="5F909454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Pr="000F607B" w:rsidR="007B4602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Pr="000F607B" w:rsidR="00CD2641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Pr="000F607B" w:rsidR="007B4602">
        <w:rPr>
          <w:rFonts w:ascii="Calibri" w:hAnsi="Calibri" w:cs="Calibri"/>
          <w:sz w:val="24"/>
          <w:szCs w:val="24"/>
        </w:rPr>
        <w:t>, caso seja agente cultural pessoa jurídica</w:t>
      </w:r>
      <w:r w:rsidRPr="000F607B" w:rsidR="00CD2641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7B4602" w:rsidTr="007B4602" w14:paraId="56707279" w14:textId="77777777">
        <w:tc>
          <w:tcPr>
            <w:tcW w:w="9019" w:type="dxa"/>
          </w:tcPr>
          <w:p w:rsidRPr="000F607B" w:rsidR="007B4602" w:rsidP="007B4602" w:rsidRDefault="007B4602" w14:paraId="13CA6424" w14:textId="6FCAF52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:rsidRPr="000F607B" w:rsidR="007B4602" w:rsidP="00DD3248" w:rsidRDefault="007B4602" w14:paraId="6EBFD633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Pr="000F607B" w:rsidR="003F0A79" w:rsidRDefault="00B1033D" w14:paraId="00000024" w14:textId="76297D0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Pr="000F607B" w:rsidR="007B4602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7B4602" w:rsidTr="007B4602" w14:paraId="4AECEDDB" w14:textId="77777777">
        <w:tc>
          <w:tcPr>
            <w:tcW w:w="9019" w:type="dxa"/>
          </w:tcPr>
          <w:p w:rsidRPr="000F607B" w:rsidR="007B4602" w:rsidP="007B4602" w:rsidRDefault="007B4602" w14:paraId="760F7AF5" w14:textId="019B463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:rsidRPr="000F607B" w:rsidR="007B4602" w:rsidP="007B4602" w:rsidRDefault="007B4602" w14:paraId="4AB9685E" w14:textId="5BF1FBE5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0167F0" w:rsidP="000167F0" w:rsidRDefault="00B1033D" w14:paraId="07635F3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:rsidRPr="000167F0" w:rsidR="000167F0" w:rsidP="000167F0" w:rsidRDefault="00B1033D" w14:paraId="20B05B09" w14:textId="0A87661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Pr="00D62ABC" w:rsid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Pr="000167F0" w:rsidR="000167F0">
        <w:rPr>
          <w:rFonts w:ascii="Calibri" w:hAnsi="Calibri" w:cs="Calibri"/>
          <w:sz w:val="24"/>
          <w:szCs w:val="24"/>
        </w:rPr>
        <w:t>no qual concluirá:</w:t>
      </w:r>
    </w:p>
    <w:p w:rsidRPr="000167F0" w:rsidR="000167F0" w:rsidP="000167F0" w:rsidRDefault="000167F0" w14:paraId="28A1352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:rsidRPr="000167F0" w:rsidR="000167F0" w:rsidP="000167F0" w:rsidRDefault="000167F0" w14:paraId="4B80B437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:rsidRPr="000F607B" w:rsidR="003F0A79" w:rsidP="000167F0" w:rsidRDefault="00B1033D" w14:paraId="0000002A" w14:textId="37BB0F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:rsidR="00D64AF8" w:rsidP="00D64AF8" w:rsidRDefault="00D64AF8" w14:paraId="11F5231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:rsidRPr="0091556D" w:rsidR="00D64AF8" w:rsidP="00D64AF8" w:rsidRDefault="00D64AF8" w14:paraId="044F5AC2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:rsidR="00D64AF8" w:rsidP="00D64AF8" w:rsidRDefault="00D64AF8" w14:paraId="7359898F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D64AF8" w:rsidP="00D64AF8" w:rsidRDefault="00D64AF8" w14:paraId="4CFF1EEC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:rsidR="00D64AF8" w:rsidP="00D64AF8" w:rsidRDefault="00D64AF8" w14:paraId="725213D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64AF8" w:rsidP="00D64AF8" w:rsidRDefault="00D64AF8" w14:paraId="51CFB2E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D64AF8" w:rsidP="00D64AF8" w:rsidRDefault="00D64AF8" w14:paraId="280E8682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Pr="00405406" w:rsidR="00405406" w:rsidP="00405406" w:rsidRDefault="00405406" w14:paraId="25FA2AF0" w14:textId="4B74662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Pr="000167F0" w:rsidR="00750198">
        <w:rPr>
          <w:rFonts w:ascii="Calibri" w:hAnsi="Calibri" w:cs="Calibri"/>
          <w:sz w:val="24"/>
          <w:szCs w:val="24"/>
        </w:rPr>
        <w:t>Relatório de Objeto da Execução Cultural</w:t>
      </w:r>
      <w:r w:rsidRPr="000F607B" w:rsidR="00750198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:rsidRPr="000F607B" w:rsidR="003F0A79" w:rsidRDefault="00B1033D" w14:paraId="0000002F" w14:textId="15D4F650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:rsidRPr="00405406" w:rsidR="007B4602" w:rsidP="00405406" w:rsidRDefault="007B4602" w14:paraId="7BA2B3DA" w14:textId="22148E98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7B4602" w:rsidTr="007B4602" w14:paraId="20484B20" w14:textId="77777777">
        <w:tc>
          <w:tcPr>
            <w:tcW w:w="9019" w:type="dxa"/>
          </w:tcPr>
          <w:p w:rsidRPr="000F607B" w:rsidR="007B4602" w:rsidP="007B4602" w:rsidRDefault="007B4602" w14:paraId="3D7DDB06" w14:textId="18E58F3F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:rsidRPr="000F607B" w:rsidR="007B4602" w:rsidRDefault="007B4602" w14:paraId="77755B2E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Pr="000F607B" w:rsidR="003F0A79" w:rsidRDefault="00B1033D" w14:paraId="00000030" w14:textId="7C8FD33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:rsidRPr="000F607B" w:rsidR="003F0A79" w:rsidRDefault="00B1033D" w14:paraId="00000034" w14:textId="68964C3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Pr="000F607B" w:rsidR="00C74DB2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:rsidRPr="000F607B" w:rsidR="003F0A79" w:rsidRDefault="00B1033D" w14:paraId="00000035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:rsidRPr="000F607B" w:rsidR="003F0A79" w:rsidRDefault="00B1033D" w14:paraId="0000003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:rsidR="00E23903" w:rsidP="00E23903" w:rsidRDefault="00B1033D" w14:paraId="34025F1A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Pr="00DB6F7D" w:rsidR="003F0A79" w:rsidP="00E23903" w:rsidRDefault="00B1033D" w14:paraId="00000038" w14:textId="5B386A1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Pr="00DB6F7D" w:rsidR="00E23903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Pr="00DB6F7D" w:rsidR="00E23903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Pr="00DB6F7D" w:rsidR="00E23903">
        <w:rPr>
          <w:rFonts w:ascii="Calibri" w:hAnsi="Calibri" w:cs="Calibri"/>
          <w:sz w:val="24"/>
          <w:szCs w:val="24"/>
        </w:rPr>
        <w:t>concluirá:</w:t>
      </w:r>
    </w:p>
    <w:p w:rsidRPr="00DB6F7D" w:rsidR="00DB6F7D" w:rsidP="00B01CE2" w:rsidRDefault="00DB6F7D" w14:paraId="4C4AEBFE" w14:textId="32BAF74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:rsidRPr="00DB6F7D" w:rsidR="00DB6F7D" w:rsidP="00B01CE2" w:rsidRDefault="00DB6F7D" w14:paraId="2AA3C8DB" w14:textId="197732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:rsidRPr="00DB6F7D" w:rsidR="00DB6F7D" w:rsidP="00B01CE2" w:rsidRDefault="00DB6F7D" w14:paraId="38345601" w14:textId="2AD2A6F4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:rsidRPr="000F607B" w:rsidR="003F0A79" w:rsidRDefault="00B1033D" w14:paraId="0000003B" w14:textId="791B552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:rsidR="0014710F" w:rsidP="0091556D" w:rsidRDefault="0014710F" w14:paraId="0F20C91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:rsidRPr="0091556D" w:rsidR="0091556D" w:rsidP="0091556D" w:rsidRDefault="0014710F" w14:paraId="4501098A" w14:textId="77CE2B9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 w:rsid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 w:rsid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 w:rsid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Pr="0091556D" w:rsid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:rsidR="0070148C" w:rsidP="0070148C" w:rsidRDefault="0091556D" w14:paraId="44D86294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="0070148C" w:rsidP="0070148C" w:rsidRDefault="0070148C" w14:paraId="0D2B6D91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:rsidR="00886A59" w:rsidP="0070148C" w:rsidRDefault="0070148C" w14:paraId="3163CC61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886A59" w:rsidP="0070148C" w:rsidRDefault="0070148C" w14:paraId="2B532EF8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70148C" w:rsidP="00886A59" w:rsidRDefault="0070148C" w14:paraId="101C3AC3" w14:textId="084E521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Pr="000F607B" w:rsidR="003F0A79" w:rsidP="0070148C" w:rsidRDefault="00B1033D" w14:paraId="0000003F" w14:textId="2E8EF43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Pr="00DB6F7D" w:rsidR="002E6613">
        <w:rPr>
          <w:rFonts w:ascii="Calibri" w:hAnsi="Calibri" w:cs="Calibri"/>
          <w:sz w:val="24"/>
          <w:szCs w:val="24"/>
        </w:rPr>
        <w:t>Relatório Financeiro da Execução Cultural</w:t>
      </w:r>
      <w:r w:rsidRPr="000F607B" w:rsidR="002E6613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Pr="000F607B" w:rsidR="00D4053C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:rsidRPr="000F607B" w:rsidR="003F0A79" w:rsidRDefault="00B1033D" w14:paraId="00000040" w14:textId="2C48F18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:rsidRPr="000F607B" w:rsidR="003F0A79" w:rsidRDefault="00B1033D" w14:paraId="00000041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:rsidRPr="000F607B" w:rsidR="003F0A79" w:rsidRDefault="00B1033D" w14:paraId="00000042" w14:textId="37670D9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Pr="00DB6F7D" w:rsidR="009A0110">
        <w:rPr>
          <w:rFonts w:ascii="Calibri" w:hAnsi="Calibri" w:cs="Calibri"/>
          <w:sz w:val="24"/>
          <w:szCs w:val="24"/>
        </w:rPr>
        <w:t>Relatório Financeiro da Execução Cultural</w:t>
      </w:r>
      <w:r w:rsidRPr="000F607B" w:rsidR="009A0110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:rsidRPr="000F607B" w:rsidR="003F0A79" w:rsidRDefault="00B1033D" w14:paraId="00000046" w14:textId="7CBC9A9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:rsidRPr="000F607B" w:rsidR="003F0A79" w:rsidRDefault="00B1033D" w14:paraId="00000047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:rsidRPr="000F607B" w:rsidR="003F0A79" w:rsidRDefault="00B1033D" w14:paraId="00000048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:rsidRPr="000F607B" w:rsidR="003F0A79" w:rsidRDefault="00B1033D" w14:paraId="00000049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:rsidRPr="000F607B" w:rsidR="003F0A79" w:rsidRDefault="00B1033D" w14:paraId="0000004A" w14:textId="47560A6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:rsidRPr="000F607B" w:rsidR="003F0A79" w:rsidRDefault="00B1033D" w14:paraId="0000004B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:rsidRPr="000F607B" w:rsidR="003F0A79" w:rsidP="009F4C5C" w:rsidRDefault="00B1033D" w14:paraId="0000004D" w14:textId="0AB8082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:rsidRPr="000F607B" w:rsidR="003F0A79" w:rsidRDefault="00B1033D" w14:paraId="0000004E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:rsidRPr="000F607B" w:rsidR="003F0A79" w:rsidRDefault="00B1033D" w14:paraId="0000004F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:rsidRPr="000F607B" w:rsidR="003F0A79" w:rsidRDefault="00B1033D" w14:paraId="0000005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:rsidRPr="000F607B" w:rsidR="003F0A79" w:rsidRDefault="00B1033D" w14:paraId="00000051" w14:textId="325F0CC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Pr="000F607B" w:rsidR="007B4602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:rsidRPr="000F607B" w:rsidR="003F0A79" w:rsidRDefault="00B1033D" w14:paraId="00000052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:rsidRPr="000F607B" w:rsidR="003F0A79" w:rsidRDefault="00B1033D" w14:paraId="00000053" w14:textId="2627DD2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:rsidRPr="000F607B" w:rsidR="003F0A79" w:rsidRDefault="00B1033D" w14:paraId="00000054" w14:textId="247380A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Pr="000F607B" w:rsid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:rsidRPr="000F607B" w:rsidR="003F0A79" w:rsidRDefault="00B1033D" w14:paraId="00000055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:rsidRPr="000F607B" w:rsidR="003F0A79" w:rsidRDefault="00B1033D" w14:paraId="00000056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:rsidRPr="000F607B" w:rsidR="003F0A79" w:rsidRDefault="00B1033D" w14:paraId="00000057" w14:textId="77777777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:rsidRPr="000F607B" w:rsidR="003F0A79" w:rsidRDefault="00B1033D" w14:paraId="00000058" w14:textId="48A7937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Pr="000F607B" w:rsidR="00D4053C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:rsidRPr="000F607B" w:rsidR="00D4053C" w:rsidP="00D4053C" w:rsidRDefault="00D4053C" w14:paraId="7A20CD15" w14:textId="612C9F5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:rsidRPr="000F607B" w:rsidR="00D4053C" w:rsidRDefault="00D4053C" w14:paraId="7F4D9097" w14:textId="6D5E1607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:rsidRPr="000F607B" w:rsidR="00D4053C" w:rsidRDefault="00D4053C" w14:paraId="3F6929C4" w14:textId="55DECAF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Pr="000F607B" w:rsidR="000F607B" w:rsidTr="000F607B" w14:paraId="14DE5858" w14:textId="77777777">
        <w:tc>
          <w:tcPr>
            <w:tcW w:w="9019" w:type="dxa"/>
          </w:tcPr>
          <w:p w:rsidRPr="000F607B" w:rsidR="000F607B" w:rsidP="000F607B" w:rsidRDefault="000F607B" w14:paraId="57DEAEA2" w14:textId="4DAF8160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lastRenderedPageBreak/>
              <w:t xml:space="preserve">ADMINISTRAÇÃO PÚBLICA. OS BENS PODEM FICAR COM O AGENTE CULTURAL NAS HIPÓTESES TRATADAS NO ART. </w:t>
            </w:r>
            <w:r w:rsidRPr="00022DAC" w:rsid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Pr="00665BA8" w:rsid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Pr="00665BA8" w:rsid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Pr="00665BA8" w:rsidR="00022DAC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:rsidRPr="000F607B" w:rsidR="000F607B" w:rsidRDefault="000F607B" w14:paraId="271D9903" w14:textId="77777777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:rsidRPr="000F607B" w:rsidR="003F0A79" w:rsidRDefault="00B1033D" w14:paraId="0000005B" w14:textId="6B1887C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Pr="000F607B" w:rsidR="000E40BF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:rsidRPr="000F607B" w:rsidR="000E40BF" w:rsidP="000E40BF" w:rsidRDefault="000E40BF" w14:paraId="619D6EC0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:rsidRPr="000F607B" w:rsidR="000E40BF" w:rsidP="000E40BF" w:rsidRDefault="000E40BF" w14:paraId="0D4AEF7D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:rsidRPr="000F607B" w:rsidR="000E40BF" w:rsidP="000E40BF" w:rsidRDefault="000E40BF" w14:paraId="3E5B0673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:rsidRPr="000F607B" w:rsidR="000E40BF" w:rsidP="000E40BF" w:rsidRDefault="000E40BF" w14:paraId="401B4B85" w14:textId="77777777">
      <w:pPr>
        <w:spacing w:after="100"/>
        <w:ind w:left="100"/>
        <w:jc w:val="both"/>
        <w:rPr>
          <w:rFonts w:ascii="Calibri" w:hAnsi="Calibri" w:cs="Calibri" w:eastAsiaTheme="min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hAnsi="Calibri" w:cs="Calibri" w:eastAsiaTheme="min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:rsidRPr="000F607B" w:rsidR="000E40BF" w:rsidP="000E40BF" w:rsidRDefault="000E40BF" w14:paraId="0AA9437E" w14:textId="77777777">
      <w:pPr>
        <w:spacing w:after="100"/>
        <w:ind w:left="100"/>
        <w:jc w:val="both"/>
        <w:rPr>
          <w:rFonts w:ascii="Calibri" w:hAnsi="Calibri" w:cs="Calibri" w:eastAsiaTheme="min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hAnsi="Calibri" w:cs="Calibri" w:eastAsiaTheme="minorHAnsi"/>
          <w:sz w:val="24"/>
          <w:szCs w:val="24"/>
        </w:rPr>
        <w:t xml:space="preserve"> </w:t>
      </w:r>
      <w:proofErr w:type="gramStart"/>
      <w:r w:rsidRPr="000F607B">
        <w:rPr>
          <w:rFonts w:ascii="Calibri" w:hAnsi="Calibri" w:cs="Calibri" w:eastAsiaTheme="minorHAnsi"/>
          <w:sz w:val="24"/>
          <w:szCs w:val="24"/>
        </w:rPr>
        <w:t>rescindido</w:t>
      </w:r>
      <w:proofErr w:type="gramEnd"/>
      <w:r w:rsidRPr="000F607B">
        <w:rPr>
          <w:rFonts w:ascii="Calibri" w:hAnsi="Calibri" w:cs="Calibri" w:eastAsiaTheme="minorHAns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:rsidRPr="000F607B" w:rsidR="000E40BF" w:rsidP="000E40BF" w:rsidRDefault="000E40BF" w14:paraId="29C8D9B0" w14:textId="6F25B65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:rsidRPr="000F607B" w:rsidR="000E40BF" w:rsidP="000E40BF" w:rsidRDefault="000E40BF" w14:paraId="5E08A938" w14:textId="625C318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:rsidRPr="000F607B" w:rsidR="000E40BF" w:rsidP="000E40BF" w:rsidRDefault="000E40BF" w14:paraId="47E5F4F2" w14:textId="44E21F9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:rsidRPr="000F607B" w:rsidR="000E40BF" w:rsidP="000E40BF" w:rsidRDefault="000E40BF" w14:paraId="08E365D6" w14:textId="1058680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:rsidRPr="000F607B" w:rsidR="000E40BF" w:rsidP="000E40BF" w:rsidRDefault="000E40BF" w14:paraId="5ADC1A1D" w14:textId="168A95B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:rsidRPr="000F607B" w:rsidR="000E40BF" w:rsidP="000E40BF" w:rsidRDefault="000E40BF" w14:paraId="049A580F" w14:textId="783584C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:rsidRPr="000F607B" w:rsidR="000E40BF" w:rsidP="000E40BF" w:rsidRDefault="000E40BF" w14:paraId="0D7857BD" w14:textId="78B7E5B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:rsidRPr="000F607B" w:rsidR="000E40BF" w:rsidP="000E40BF" w:rsidRDefault="000E40BF" w14:paraId="2F6EAC2B" w14:textId="03CC2B1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:rsidRPr="000F607B" w:rsidR="000E40BF" w:rsidP="000D05DE" w:rsidRDefault="000E40BF" w14:paraId="345691A4" w14:textId="3E95D6C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Pr="000F607B" w:rsidR="00C16518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:rsidRPr="000F607B" w:rsidR="000E40BF" w:rsidP="000D05DE" w:rsidRDefault="000E40BF" w14:paraId="474080D1" w14:textId="4001BAE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Pr="000F607B" w:rsidR="00C16518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:rsidRPr="000F607B" w:rsidR="000E40BF" w:rsidP="000D05DE" w:rsidRDefault="000E40BF" w14:paraId="48211513" w14:textId="760DD8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Pr="000F607B" w:rsidR="00C16518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Pr="000F607B" w:rsidR="000F607B">
        <w:rPr>
          <w:rFonts w:ascii="Calibri" w:hAnsi="Calibri" w:cs="Calibri"/>
          <w:sz w:val="24"/>
          <w:szCs w:val="24"/>
        </w:rPr>
        <w:t>negociada</w:t>
      </w:r>
      <w:r w:rsidRPr="000F607B" w:rsidR="000D05DE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:rsidRPr="000F607B" w:rsidR="003F0A79" w:rsidRDefault="00B1033D" w14:paraId="00000066" w14:textId="7426E8DC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:rsidRPr="000F607B" w:rsidR="003F0A79" w:rsidRDefault="00B1033D" w14:paraId="00000067" w14:textId="51D61875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:rsidRPr="000F607B" w:rsidR="003F0A79" w:rsidRDefault="00B1033D" w14:paraId="00000068" w14:textId="3101CDD2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:rsidRPr="000F607B" w:rsidR="003F0A79" w:rsidRDefault="00B1033D" w14:paraId="00000069" w14:textId="50FD9871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Pr="000F607B" w:rsidR="000D05DE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:rsidRPr="000F607B" w:rsidR="003F0A79" w:rsidRDefault="00B1033D" w14:paraId="0000006A" w14:textId="1BE7BB44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:rsidRPr="000F607B" w:rsidR="003F0A79" w:rsidRDefault="00B1033D" w14:paraId="0000006B" w14:textId="5D6DE42A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:rsidRPr="000F607B" w:rsidR="003F0A79" w:rsidRDefault="00B1033D" w14:paraId="0000006C" w14:textId="615B6309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:rsidRPr="000F607B" w:rsidR="003F0A79" w:rsidRDefault="00B1033D" w14:paraId="0000006D" w14:textId="54D9355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:rsidRPr="000F607B" w:rsidR="003F0A79" w:rsidRDefault="003F0A79" w14:paraId="0000006E" w14:textId="7777777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:rsidRPr="000F607B" w:rsidR="003F0A79" w:rsidRDefault="00B1033D" w14:paraId="0000006F" w14:textId="77777777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:rsidRPr="000F607B" w:rsidR="003F0A79" w:rsidRDefault="00B1033D" w14:paraId="00000070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:rsidRPr="000F607B" w:rsidR="003F0A79" w:rsidRDefault="00B1033D" w14:paraId="00000071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:rsidRPr="000F607B" w:rsidR="003F0A79" w:rsidRDefault="00B1033D" w14:paraId="00000072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:rsidRPr="000F607B" w:rsidR="003F0A79" w:rsidP="00A55076" w:rsidRDefault="003F0A79" w14:paraId="00000073" w14:textId="77777777">
      <w:pPr>
        <w:rPr>
          <w:rFonts w:ascii="Calibri" w:hAnsi="Calibri" w:cs="Calibri"/>
          <w:sz w:val="24"/>
          <w:szCs w:val="24"/>
        </w:rPr>
      </w:pPr>
    </w:p>
    <w:p w:rsidRPr="000F607B" w:rsidR="003F0A79" w:rsidRDefault="00B1033D" w14:paraId="00000074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:rsidRPr="000F607B" w:rsidR="003F0A79" w:rsidRDefault="00B1033D" w14:paraId="00000075" w14:textId="77777777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Pr="000F607B" w:rsidR="003F0A79">
      <w:headerReference w:type="default" r:id="rId10"/>
      <w:footerReference w:type="default" r:id="rId11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0530" w:rsidP="00264109" w:rsidRDefault="00B50530" w14:paraId="516A9B55" w14:textId="77777777">
      <w:pPr>
        <w:spacing w:line="240" w:lineRule="auto"/>
      </w:pPr>
      <w:r>
        <w:separator/>
      </w:r>
    </w:p>
  </w:endnote>
  <w:endnote w:type="continuationSeparator" w:id="0">
    <w:p w:rsidR="00B50530" w:rsidP="00264109" w:rsidRDefault="00B50530" w14:paraId="07F41D5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92B68" w:rsidR="00264109" w:rsidP="00264109" w:rsidRDefault="00264109" w14:paraId="4B8D8D4B" w14:textId="77777777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[INSERIR LOGOMARCA DO GOVERNO LOCAL.</w:t>
    </w:r>
  </w:p>
  <w:p w:rsidRPr="00792B68" w:rsidR="00264109" w:rsidRDefault="00264109" w14:paraId="51A1237B" w14:textId="10648C8B">
    <w:pPr>
      <w:pStyle w:val="Rodap"/>
      <w:rPr>
        <w:rFonts w:asciiTheme="majorHAnsi" w:hAnsiTheme="majorHAnsi" w:cstheme="majorHAnsi"/>
        <w:color w:val="FF0000"/>
      </w:rPr>
    </w:pPr>
    <w:r w:rsidRPr="00792B68">
      <w:rPr>
        <w:rFonts w:asciiTheme="majorHAnsi" w:hAnsiTheme="majorHAnsi" w:cstheme="majorHAnsi"/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0530" w:rsidP="00264109" w:rsidRDefault="00B50530" w14:paraId="26265600" w14:textId="77777777">
      <w:pPr>
        <w:spacing w:line="240" w:lineRule="auto"/>
      </w:pPr>
      <w:r>
        <w:separator/>
      </w:r>
    </w:p>
  </w:footnote>
  <w:footnote w:type="continuationSeparator" w:id="0">
    <w:p w:rsidR="00B50530" w:rsidP="00264109" w:rsidRDefault="00B50530" w14:paraId="3F21AD4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64109" w:rsidRDefault="00264109" w14:paraId="1DA6C032" w14:textId="0D5E6C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FC18F6B"/>
    <w:rsid w:val="1A2C6004"/>
    <w:rsid w:val="20E55DCC"/>
    <w:rsid w:val="219A1C3C"/>
    <w:rsid w:val="299C95D9"/>
    <w:rsid w:val="2E66BF08"/>
    <w:rsid w:val="3BB54F73"/>
    <w:rsid w:val="3CA142FB"/>
    <w:rsid w:val="3DFF980D"/>
    <w:rsid w:val="4DA1FF02"/>
    <w:rsid w:val="4FC72ED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table" w:styleId="TableNormal1" w:customStyle="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" w:customStyle="1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1456AB"/>
  </w:style>
  <w:style w:type="character" w:styleId="eop" w:customStyle="1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4109"/>
  </w:style>
  <w:style w:type="paragraph" w:styleId="dou-paragraph" w:customStyle="1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MTUR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Laís Alves Valente</lastModifiedBy>
  <revision>66</revision>
  <lastPrinted>2024-05-20T16:45:00.0000000Z</lastPrinted>
  <dcterms:created xsi:type="dcterms:W3CDTF">2024-04-04T15:18:00.0000000Z</dcterms:created>
  <dcterms:modified xsi:type="dcterms:W3CDTF">2024-07-01T17:22:41.5009184Z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