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715F" w:rsidR="00C77AB5" w:rsidP="47FE7A71" w:rsidRDefault="00C77AB5" w14:paraId="76EAE358" w14:textId="69A4C8F7" w14:noSpellErr="1">
      <w:pPr>
        <w:spacing w:after="0" w:line="240" w:lineRule="auto"/>
        <w:rPr>
          <w:rFonts w:ascii="Impact" w:hAnsi="Impact" w:eastAsia="Impact" w:cs="Impact" w:asciiTheme="majorAscii" w:hAnsiTheme="majorAscii" w:eastAsiaTheme="majorAscii" w:cstheme="majorAscii"/>
          <w:b w:val="0"/>
          <w:bCs w:val="0"/>
          <w:color w:val="0070C0"/>
          <w:sz w:val="32"/>
          <w:szCs w:val="32"/>
          <w:lang w:val="pt-PT"/>
        </w:rPr>
      </w:pPr>
      <w:r w:rsidRPr="47FE7A71" w:rsidR="47FE7A71">
        <w:rPr>
          <w:rFonts w:ascii="Impact" w:hAnsi="Impact" w:eastAsia="Impact" w:cs="Impact" w:asciiTheme="majorAscii" w:hAnsiTheme="majorAscii" w:eastAsiaTheme="majorAscii" w:cstheme="majorAscii"/>
          <w:b w:val="0"/>
          <w:bCs w:val="0"/>
          <w:color w:val="0070C0"/>
          <w:sz w:val="32"/>
          <w:szCs w:val="32"/>
          <w:lang w:val="pt-PT"/>
        </w:rPr>
        <w:t>S</w:t>
      </w:r>
      <w:r w:rsidRPr="47FE7A71" w:rsidR="47FE7A71">
        <w:rPr>
          <w:rFonts w:ascii="Impact" w:hAnsi="Impact" w:eastAsia="Impact" w:cs="Impact" w:asciiTheme="majorAscii" w:hAnsiTheme="majorAscii" w:eastAsiaTheme="majorAscii" w:cstheme="majorAscii"/>
          <w:b w:val="0"/>
          <w:bCs w:val="0"/>
          <w:color w:val="0070C0"/>
          <w:sz w:val="32"/>
          <w:szCs w:val="32"/>
          <w:lang w:val="pt-PT"/>
        </w:rPr>
        <w:t xml:space="preserve">ubsecretaria de Espaços e Equipamentos Culturais </w:t>
      </w:r>
      <w:r w:rsidRPr="47FE7A71" w:rsidR="47FE7A71">
        <w:rPr>
          <w:rFonts w:ascii="Impact" w:hAnsi="Impact" w:eastAsia="Impact" w:cs="Impact" w:asciiTheme="majorAscii" w:hAnsiTheme="majorAscii" w:eastAsiaTheme="majorAscii" w:cstheme="majorAscii"/>
          <w:b w:val="0"/>
          <w:bCs w:val="0"/>
          <w:color w:val="0070C0"/>
          <w:sz w:val="32"/>
          <w:szCs w:val="32"/>
          <w:lang w:val="pt-PT"/>
        </w:rPr>
        <w:t>(S</w:t>
      </w:r>
      <w:r w:rsidRPr="47FE7A71" w:rsidR="47FE7A71">
        <w:rPr>
          <w:rFonts w:ascii="Impact" w:hAnsi="Impact" w:eastAsia="Impact" w:cs="Impact" w:asciiTheme="majorAscii" w:hAnsiTheme="majorAscii" w:eastAsiaTheme="majorAscii" w:cstheme="majorAscii"/>
          <w:b w:val="0"/>
          <w:bCs w:val="0"/>
          <w:color w:val="0070C0"/>
          <w:sz w:val="32"/>
          <w:szCs w:val="32"/>
          <w:lang w:val="pt-PT"/>
        </w:rPr>
        <w:t>EEC</w:t>
      </w:r>
      <w:r w:rsidRPr="47FE7A71" w:rsidR="47FE7A71">
        <w:rPr>
          <w:rFonts w:ascii="Impact" w:hAnsi="Impact" w:eastAsia="Impact" w:cs="Impact" w:asciiTheme="majorAscii" w:hAnsiTheme="majorAscii" w:eastAsiaTheme="majorAscii" w:cstheme="majorAscii"/>
          <w:b w:val="0"/>
          <w:bCs w:val="0"/>
          <w:color w:val="0070C0"/>
          <w:sz w:val="32"/>
          <w:szCs w:val="32"/>
          <w:lang w:val="pt-PT"/>
        </w:rPr>
        <w:t>)</w:t>
      </w:r>
    </w:p>
    <w:p w:rsidR="47FE7A71" w:rsidP="47FE7A71" w:rsidRDefault="47FE7A71" w14:paraId="6171DBBB" w14:textId="2570B4D1">
      <w:pPr>
        <w:spacing w:after="0" w:line="240" w:lineRule="auto"/>
        <w:rPr>
          <w:rFonts w:ascii="Impact" w:hAnsi="Impact" w:eastAsia="Impact" w:cs="Impact" w:asciiTheme="majorAscii" w:hAnsiTheme="majorAscii" w:eastAsiaTheme="majorAscii" w:cstheme="majorAscii"/>
          <w:b w:val="0"/>
          <w:bCs w:val="0"/>
          <w:color w:val="0070C0"/>
          <w:sz w:val="32"/>
          <w:szCs w:val="32"/>
          <w:lang w:val="pt-PT"/>
        </w:rPr>
      </w:pPr>
    </w:p>
    <w:p w:rsidRPr="00F2715F" w:rsidR="00C77AB5" w:rsidP="47FE7A71" w:rsidRDefault="00C77AB5" w14:paraId="2C2093EB" w14:textId="77777777" w14:noSpellErr="1">
      <w:pPr>
        <w:pStyle w:val="Ttulo1"/>
        <w:spacing w:after="0" w:line="240" w:lineRule="auto"/>
        <w:rPr>
          <w:rFonts w:ascii="Impact" w:hAnsi="Impact" w:eastAsia="Impact" w:cs="Impact" w:asciiTheme="majorAscii" w:hAnsiTheme="majorAscii" w:eastAsiaTheme="majorAscii" w:cstheme="majorAscii"/>
          <w:b w:val="0"/>
          <w:bCs w:val="0"/>
          <w:color w:val="0070C0"/>
        </w:rPr>
      </w:pPr>
      <w:r w:rsidRPr="47FE7A71" w:rsidR="47FE7A71">
        <w:rPr>
          <w:rFonts w:ascii="Impact" w:hAnsi="Impact" w:eastAsia="Impact" w:cs="Impact" w:asciiTheme="majorAscii" w:hAnsiTheme="majorAscii" w:eastAsiaTheme="majorAscii" w:cstheme="majorAscii"/>
          <w:b w:val="0"/>
          <w:bCs w:val="0"/>
          <w:color w:val="0070C0"/>
        </w:rPr>
        <w:t>Quem somos?</w:t>
      </w:r>
    </w:p>
    <w:p w:rsidR="00C77AB5" w:rsidP="00F2715F" w:rsidRDefault="00514B47" w14:paraId="780CBC42" w14:textId="435F88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-BR"/>
        </w:rPr>
      </w:pPr>
      <w:r w:rsidRPr="00F2715F">
        <w:rPr>
          <w:rFonts w:ascii="Calibri" w:hAnsi="Calibri" w:cs="Calibri"/>
          <w:lang w:val="pt-BR"/>
        </w:rPr>
        <w:t>A Subsecretaria de Espaços e Equipamentos Culturais (SEEC) é responsável por coordenar a implementação de espaços e equipamentos culturais no País, bem como promover programas, projetos e ações em parceria com estados e municípios para a gestão, implantação, ampliação e melhoria da infraestrutura cultural, sendo constituída por três coordenações-gerais: a Coordenação-Geral de Articulação e Parceria (CGAP), a Coordenação-Geral de Desenvolvimento de Projetos (CGDP) e a Coordenação-Geral de Monitoramento de Empreendimentos (CGME).</w:t>
      </w:r>
    </w:p>
    <w:p w:rsidRPr="00F2715F" w:rsidR="00F2715F" w:rsidP="00F2715F" w:rsidRDefault="00F2715F" w14:paraId="6C0B926F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-BR"/>
        </w:rPr>
      </w:pPr>
    </w:p>
    <w:p w:rsidRPr="00F2715F" w:rsidR="00C77AB5" w:rsidP="47FE7A71" w:rsidRDefault="5731C505" w14:paraId="1B9F2F48" w14:textId="237CCB6B" w14:noSpellErr="1">
      <w:pPr>
        <w:pStyle w:val="Ttulo1"/>
        <w:spacing w:after="0" w:line="240" w:lineRule="auto"/>
        <w:rPr>
          <w:rFonts w:ascii="Impact" w:hAnsi="Impact" w:eastAsia="Impact" w:cs="Impact" w:asciiTheme="majorAscii" w:hAnsiTheme="majorAscii" w:eastAsiaTheme="majorAscii" w:cstheme="majorAscii"/>
          <w:b w:val="0"/>
          <w:bCs w:val="0"/>
          <w:color w:val="0070C0"/>
        </w:rPr>
      </w:pPr>
      <w:r w:rsidRPr="47FE7A71" w:rsidR="47FE7A71">
        <w:rPr>
          <w:rFonts w:ascii="Impact" w:hAnsi="Impact" w:eastAsia="Impact" w:cs="Impact" w:asciiTheme="majorAscii" w:hAnsiTheme="majorAscii" w:eastAsiaTheme="majorAscii" w:cstheme="majorAscii"/>
          <w:b w:val="0"/>
          <w:bCs w:val="0"/>
          <w:color w:val="0070C0"/>
        </w:rPr>
        <w:t>Nossa atuação em 2024, referente às iniciativas estratégicas</w:t>
      </w:r>
    </w:p>
    <w:p w:rsidRPr="00514B47" w:rsidR="00514B47" w:rsidP="00F2715F" w:rsidRDefault="00514B47" w14:paraId="267FE4F7" w14:textId="77777777">
      <w:pPr>
        <w:spacing w:after="0" w:line="240" w:lineRule="auto"/>
        <w:rPr>
          <w:rFonts w:ascii="Calibri" w:hAnsi="Calibri" w:cs="Calibri"/>
          <w:lang w:val="pt-BR"/>
        </w:rPr>
      </w:pPr>
      <w:r w:rsidRPr="00514B47">
        <w:rPr>
          <w:rFonts w:ascii="Calibri" w:hAnsi="Calibri" w:cs="Calibri"/>
          <w:lang w:val="pt-BR"/>
        </w:rPr>
        <w:t xml:space="preserve">As ações deste ano consolidaram a Rede do Programa Territórios da Cultura, criada em 2023 por meio da </w:t>
      </w:r>
      <w:hyperlink w:history="1" r:id="rId10">
        <w:r w:rsidRPr="00514B47">
          <w:rPr>
            <w:rStyle w:val="Hyperlink"/>
            <w:rFonts w:ascii="Calibri" w:hAnsi="Calibri" w:cs="Calibri"/>
            <w:lang w:val="pt-BR"/>
          </w:rPr>
          <w:t>Portaria MinC nº 68</w:t>
        </w:r>
      </w:hyperlink>
      <w:r w:rsidRPr="00514B47">
        <w:rPr>
          <w:rFonts w:ascii="Calibri" w:hAnsi="Calibri" w:cs="Calibri"/>
          <w:u w:val="single"/>
          <w:lang w:val="pt-BR"/>
        </w:rPr>
        <w:t>/2023</w:t>
      </w:r>
      <w:r w:rsidRPr="00514B47">
        <w:rPr>
          <w:rFonts w:ascii="Calibri" w:hAnsi="Calibri" w:cs="Calibri"/>
          <w:lang w:val="pt-BR"/>
        </w:rPr>
        <w:t>, com o objetivo de estabelecer uma relação sistêmica entre os equipamentos culturais financiados pelo Ministério da Cultura.</w:t>
      </w:r>
    </w:p>
    <w:p w:rsidR="00F2715F" w:rsidP="00F2715F" w:rsidRDefault="00F2715F" w14:paraId="2A053EC1" w14:textId="77777777">
      <w:pPr>
        <w:spacing w:after="0" w:line="240" w:lineRule="auto"/>
        <w:rPr>
          <w:rFonts w:ascii="Calibri" w:hAnsi="Calibri" w:cs="Calibri"/>
          <w:lang w:val="pt-BR"/>
        </w:rPr>
      </w:pPr>
    </w:p>
    <w:p w:rsidR="00514B47" w:rsidP="00F2715F" w:rsidRDefault="00514B47" w14:paraId="137F9FE4" w14:textId="00F74B02">
      <w:pPr>
        <w:spacing w:after="0" w:line="240" w:lineRule="auto"/>
        <w:rPr>
          <w:rFonts w:ascii="Calibri" w:hAnsi="Calibri" w:cs="Calibri"/>
          <w:lang w:val="pt-BR"/>
        </w:rPr>
      </w:pPr>
      <w:r w:rsidRPr="00514B47">
        <w:rPr>
          <w:rFonts w:ascii="Calibri" w:hAnsi="Calibri" w:cs="Calibri"/>
          <w:lang w:val="pt-BR"/>
        </w:rPr>
        <w:t xml:space="preserve">O programa visa integrar e expandir uma rede de espaços culturais em territórios periféricos, descentralizando a oferta cultural e fortalecendo a participação comunitária. Entre os formatos do programa estão os </w:t>
      </w:r>
      <w:proofErr w:type="spellStart"/>
      <w:r w:rsidRPr="00514B47">
        <w:rPr>
          <w:rFonts w:ascii="Calibri" w:hAnsi="Calibri" w:cs="Calibri"/>
          <w:lang w:val="pt-BR"/>
        </w:rPr>
        <w:t>CEUs</w:t>
      </w:r>
      <w:proofErr w:type="spellEnd"/>
      <w:r w:rsidRPr="00514B47">
        <w:rPr>
          <w:rFonts w:ascii="Calibri" w:hAnsi="Calibri" w:cs="Calibri"/>
          <w:lang w:val="pt-BR"/>
        </w:rPr>
        <w:t xml:space="preserve"> da Cultura, </w:t>
      </w:r>
      <w:proofErr w:type="spellStart"/>
      <w:r w:rsidRPr="00514B47">
        <w:rPr>
          <w:rFonts w:ascii="Calibri" w:hAnsi="Calibri" w:cs="Calibri"/>
          <w:lang w:val="pt-BR"/>
        </w:rPr>
        <w:t>MovCEUs</w:t>
      </w:r>
      <w:proofErr w:type="spellEnd"/>
      <w:r w:rsidRPr="00514B47">
        <w:rPr>
          <w:rFonts w:ascii="Calibri" w:hAnsi="Calibri" w:cs="Calibri"/>
          <w:lang w:val="pt-BR"/>
        </w:rPr>
        <w:t xml:space="preserve"> e </w:t>
      </w:r>
      <w:proofErr w:type="spellStart"/>
      <w:r w:rsidRPr="00514B47">
        <w:rPr>
          <w:rFonts w:ascii="Calibri" w:hAnsi="Calibri" w:cs="Calibri"/>
          <w:lang w:val="pt-BR"/>
        </w:rPr>
        <w:t>CEUs</w:t>
      </w:r>
      <w:proofErr w:type="spellEnd"/>
      <w:r w:rsidRPr="00514B47">
        <w:rPr>
          <w:rFonts w:ascii="Calibri" w:hAnsi="Calibri" w:cs="Calibri"/>
          <w:lang w:val="pt-BR"/>
        </w:rPr>
        <w:t> das Artes, além de iniciativas para reforma e modernização de equipamentos culturais já existentes.</w:t>
      </w:r>
    </w:p>
    <w:p w:rsidRPr="00514B47" w:rsidR="00F2715F" w:rsidP="00F2715F" w:rsidRDefault="00F2715F" w14:paraId="26D97F59" w14:textId="77777777">
      <w:pPr>
        <w:spacing w:after="0" w:line="240" w:lineRule="auto"/>
        <w:rPr>
          <w:rFonts w:ascii="Calibri" w:hAnsi="Calibri" w:cs="Calibri"/>
          <w:lang w:val="pt-BR"/>
        </w:rPr>
      </w:pPr>
    </w:p>
    <w:p w:rsidRPr="00F2715F" w:rsidR="00514B47" w:rsidP="47FE7A71" w:rsidRDefault="00514B47" w14:paraId="7EAFB97A" w14:textId="0158907C">
      <w:pPr>
        <w:pStyle w:val="Ttulo1"/>
        <w:spacing w:after="0" w:line="240" w:lineRule="auto"/>
        <w:rPr>
          <w:rFonts w:ascii="Impact" w:hAnsi="Impact" w:eastAsia="Impact" w:cs="Impact" w:asciiTheme="majorAscii" w:hAnsiTheme="majorAscii" w:eastAsiaTheme="majorAscii" w:cstheme="majorAscii"/>
          <w:b w:val="0"/>
          <w:bCs w:val="0"/>
          <w:color w:val="0070C0"/>
        </w:rPr>
      </w:pPr>
      <w:r w:rsidRPr="47FE7A71" w:rsidR="47FE7A71">
        <w:rPr>
          <w:rFonts w:ascii="Calibri" w:hAnsi="Calibri" w:eastAsia="Times New Roman" w:cs="Calibri"/>
          <w:color w:val="000000" w:themeColor="text1" w:themeTint="FF" w:themeShade="FF"/>
          <w:sz w:val="26"/>
          <w:szCs w:val="26"/>
          <w:lang w:eastAsia="pt-BR"/>
        </w:rPr>
        <w:t xml:space="preserve"> </w:t>
      </w:r>
      <w:r w:rsidRPr="47FE7A71" w:rsidR="47FE7A71">
        <w:rPr>
          <w:rFonts w:ascii="Impact" w:hAnsi="Impact" w:eastAsia="Impact" w:cs="Impact" w:asciiTheme="majorAscii" w:hAnsiTheme="majorAscii" w:eastAsiaTheme="majorAscii" w:cstheme="majorAscii"/>
          <w:b w:val="0"/>
          <w:bCs w:val="0"/>
          <w:color w:val="0070C0"/>
        </w:rPr>
        <w:t>CEUs</w:t>
      </w:r>
      <w:r w:rsidRPr="47FE7A71" w:rsidR="47FE7A71">
        <w:rPr>
          <w:rFonts w:ascii="Impact" w:hAnsi="Impact" w:eastAsia="Impact" w:cs="Impact" w:asciiTheme="majorAscii" w:hAnsiTheme="majorAscii" w:eastAsiaTheme="majorAscii" w:cstheme="majorAscii"/>
          <w:b w:val="0"/>
          <w:bCs w:val="0"/>
          <w:color w:val="0070C0"/>
        </w:rPr>
        <w:t xml:space="preserve"> da Cultura – Novo PAC </w:t>
      </w:r>
    </w:p>
    <w:p w:rsidRPr="00F2715F" w:rsidR="00D105D8" w:rsidP="47FE7A71" w:rsidRDefault="00514B47" w14:paraId="02CC243B" w14:textId="3AE39A52">
      <w:pPr>
        <w:spacing w:after="0" w:line="240" w:lineRule="auto"/>
        <w:rPr>
          <w:rFonts w:ascii="Calibri" w:hAnsi="Calibri" w:cs="Calibri"/>
          <w:sz w:val="24"/>
          <w:szCs w:val="24"/>
          <w:lang w:val="pt-BR"/>
        </w:rPr>
      </w:pPr>
      <w:r w:rsidRPr="47FE7A71" w:rsidR="47FE7A71">
        <w:rPr>
          <w:rFonts w:ascii="Calibri" w:hAnsi="Calibri" w:cs="Calibri"/>
          <w:sz w:val="24"/>
          <w:szCs w:val="24"/>
          <w:lang w:val="pt-BR"/>
        </w:rPr>
        <w:t xml:space="preserve">Neste ano, o Ministério da Cultura (MinC) investiu, no âmbito dos </w:t>
      </w:r>
      <w:r w:rsidRPr="47FE7A71" w:rsidR="47FE7A71">
        <w:rPr>
          <w:rFonts w:ascii="Calibri" w:hAnsi="Calibri" w:cs="Calibri"/>
          <w:sz w:val="24"/>
          <w:szCs w:val="24"/>
          <w:lang w:val="pt-BR"/>
        </w:rPr>
        <w:t>CEUs</w:t>
      </w:r>
      <w:r w:rsidRPr="47FE7A71" w:rsidR="47FE7A71">
        <w:rPr>
          <w:rFonts w:ascii="Calibri" w:hAnsi="Calibri" w:cs="Calibri"/>
          <w:sz w:val="24"/>
          <w:szCs w:val="24"/>
          <w:lang w:val="pt-BR"/>
        </w:rPr>
        <w:t xml:space="preserve"> da Cultura, mais de R$ 390 milhões, beneficiando 189 municípios de 24 estados. Foram selecionadas 195 propostas de 24 Estados brasileiros. Destas, 185 já celebraram Termo de Compromisso para iniciar as obras, e estão com status de </w:t>
      </w:r>
      <w:r w:rsidRPr="47FE7A71" w:rsidR="47FE7A71">
        <w:rPr>
          <w:rFonts w:ascii="Calibri" w:hAnsi="Calibri" w:cs="Calibri"/>
          <w:b w:val="1"/>
          <w:bCs w:val="1"/>
          <w:sz w:val="24"/>
          <w:szCs w:val="24"/>
          <w:lang w:val="pt-BR"/>
        </w:rPr>
        <w:t>EXECUÇÃO</w:t>
      </w:r>
      <w:r w:rsidRPr="47FE7A71" w:rsidR="47FE7A71">
        <w:rPr>
          <w:rFonts w:ascii="Calibri" w:hAnsi="Calibri" w:cs="Calibri"/>
          <w:sz w:val="24"/>
          <w:szCs w:val="24"/>
          <w:lang w:val="pt-BR"/>
        </w:rPr>
        <w:t xml:space="preserve">.  As propostas do Rio Grande do Sul, que foram as últimas cadastradas, estão com status de </w:t>
      </w:r>
      <w:r w:rsidRPr="47FE7A71" w:rsidR="47FE7A71">
        <w:rPr>
          <w:rFonts w:ascii="Calibri" w:hAnsi="Calibri" w:cs="Calibri"/>
          <w:b w:val="1"/>
          <w:bCs w:val="1"/>
          <w:sz w:val="24"/>
          <w:szCs w:val="24"/>
          <w:lang w:val="pt-BR"/>
        </w:rPr>
        <w:t>PROPOSTA/PLANO DE TRABALHO APROVADOS</w:t>
      </w:r>
      <w:r w:rsidRPr="47FE7A71" w:rsidR="47FE7A71">
        <w:rPr>
          <w:rFonts w:ascii="Calibri" w:hAnsi="Calibri" w:cs="Calibri"/>
          <w:sz w:val="24"/>
          <w:szCs w:val="24"/>
          <w:lang w:val="pt-BR"/>
        </w:rPr>
        <w:t>, em processo de contratação</w:t>
      </w:r>
      <w:r w:rsidRPr="47FE7A71" w:rsidR="47FE7A71">
        <w:rPr>
          <w:rFonts w:ascii="Calibri" w:hAnsi="Calibri" w:cs="Calibri"/>
          <w:sz w:val="24"/>
          <w:szCs w:val="24"/>
          <w:lang w:val="pt-BR"/>
        </w:rPr>
        <w:t>.</w:t>
      </w:r>
    </w:p>
    <w:p w:rsidR="47FE7A71" w:rsidP="47FE7A71" w:rsidRDefault="47FE7A71" w14:paraId="7EBD106C" w14:textId="57E41B33">
      <w:pPr>
        <w:widowControl w:val="0"/>
        <w:spacing w:after="0" w:line="240" w:lineRule="auto"/>
        <w:rPr>
          <w:rFonts w:ascii="Calibri" w:hAnsi="Calibri" w:cs="Calibri"/>
          <w:sz w:val="24"/>
          <w:szCs w:val="24"/>
          <w:lang w:val="pt-BR"/>
        </w:rPr>
      </w:pPr>
    </w:p>
    <w:p w:rsidRPr="00F2715F" w:rsidR="00D105D8" w:rsidP="47FE7A71" w:rsidRDefault="00514B47" w14:paraId="02CC243C" w14:textId="523ABA29" w14:noSpellErr="1">
      <w:pPr>
        <w:widowControl w:val="0"/>
        <w:suppressAutoHyphens/>
        <w:spacing w:after="0" w:line="240" w:lineRule="auto"/>
        <w:rPr>
          <w:rFonts w:ascii="Calibri" w:hAnsi="Calibri" w:cs="Calibri"/>
          <w:sz w:val="24"/>
          <w:szCs w:val="24"/>
          <w:lang w:val="pt-BR"/>
        </w:rPr>
      </w:pPr>
      <w:r w:rsidRPr="47FE7A71" w:rsidR="47FE7A71">
        <w:rPr>
          <w:rFonts w:ascii="Calibri" w:hAnsi="Calibri" w:cs="Calibri"/>
          <w:sz w:val="24"/>
          <w:szCs w:val="24"/>
          <w:lang w:val="pt-BR"/>
        </w:rPr>
        <w:t>Esses equipamentos culturais, de caráter comunitário, são</w:t>
      </w:r>
      <w:r w:rsidRPr="47FE7A71" w:rsidR="47FE7A71">
        <w:rPr>
          <w:rFonts w:ascii="Calibri" w:hAnsi="Calibri" w:cs="Calibri"/>
          <w:sz w:val="24"/>
          <w:szCs w:val="24"/>
          <w:lang w:val="pt-BR"/>
        </w:rPr>
        <w:t xml:space="preserve"> </w:t>
      </w:r>
      <w:r w:rsidRPr="47FE7A71" w:rsidR="47FE7A71">
        <w:rPr>
          <w:rFonts w:ascii="Calibri" w:hAnsi="Calibri" w:cs="Calibri"/>
          <w:sz w:val="24"/>
          <w:szCs w:val="24"/>
          <w:lang w:val="pt-BR"/>
        </w:rPr>
        <w:t>voltados para populações em situação de vulnerabilidade socioeconômica, garantindo acesso a espaços culturais focados em expressão corporal, arte, educação, trabalho e renda, meio ambiente, entre outras atividades inter-relacionadas à cultura.</w:t>
      </w:r>
    </w:p>
    <w:p w:rsidRPr="00F2715F" w:rsidR="00D105D8" w:rsidP="00F2715F" w:rsidRDefault="00D105D8" w14:paraId="02CC243D" w14:textId="77777777">
      <w:pPr>
        <w:spacing w:after="0" w:line="240" w:lineRule="auto"/>
        <w:rPr>
          <w:rFonts w:ascii="Calibri" w:hAnsi="Calibri" w:cs="Calibri"/>
          <w:lang w:val="pt-BR"/>
        </w:rPr>
      </w:pPr>
    </w:p>
    <w:p w:rsidRPr="00F2715F" w:rsidR="003227CA" w:rsidP="47FE7A71" w:rsidRDefault="003227CA" w14:paraId="35D9E1FE" w14:textId="03913736">
      <w:pPr>
        <w:pStyle w:val="Ttulo1"/>
        <w:spacing w:after="0" w:line="240" w:lineRule="auto"/>
        <w:rPr>
          <w:rFonts w:ascii="Impact" w:hAnsi="Impact" w:eastAsia="Impact" w:cs="Impact" w:asciiTheme="majorAscii" w:hAnsiTheme="majorAscii" w:eastAsiaTheme="majorAscii" w:cstheme="majorAscii"/>
          <w:b w:val="0"/>
          <w:bCs w:val="0"/>
          <w:color w:val="0070C0"/>
        </w:rPr>
      </w:pPr>
      <w:r w:rsidRPr="47FE7A71" w:rsidR="47FE7A71">
        <w:rPr>
          <w:rFonts w:ascii="Impact" w:hAnsi="Impact" w:eastAsia="Impact" w:cs="Impact" w:asciiTheme="majorAscii" w:hAnsiTheme="majorAscii" w:eastAsiaTheme="majorAscii" w:cstheme="majorAscii"/>
          <w:b w:val="0"/>
          <w:bCs w:val="0"/>
          <w:color w:val="0070C0"/>
        </w:rPr>
        <w:t>CEUs</w:t>
      </w:r>
      <w:r w:rsidRPr="47FE7A71" w:rsidR="47FE7A71">
        <w:rPr>
          <w:rFonts w:ascii="Impact" w:hAnsi="Impact" w:eastAsia="Impact" w:cs="Impact" w:asciiTheme="majorAscii" w:hAnsiTheme="majorAscii" w:eastAsiaTheme="majorAscii" w:cstheme="majorAscii"/>
          <w:b w:val="0"/>
          <w:bCs w:val="0"/>
          <w:color w:val="0070C0"/>
        </w:rPr>
        <w:t xml:space="preserve"> das Artes – Programa de Aceleração do Crescimento (PAC II)</w:t>
      </w:r>
      <w:r w:rsidRPr="47FE7A71" w:rsidR="47FE7A71">
        <w:rPr>
          <w:rFonts w:ascii="Impact" w:hAnsi="Impact" w:eastAsia="Impact" w:cs="Impact" w:asciiTheme="majorAscii" w:hAnsiTheme="majorAscii" w:eastAsiaTheme="majorAscii" w:cstheme="majorAscii"/>
          <w:b w:val="0"/>
          <w:bCs w:val="0"/>
          <w:color w:val="0070C0"/>
        </w:rPr>
        <w:t xml:space="preserve"> </w:t>
      </w:r>
    </w:p>
    <w:p w:rsidRPr="00F2715F" w:rsidR="003227CA" w:rsidP="00F2715F" w:rsidRDefault="003227CA" w14:paraId="41E6613D" w14:textId="77777777">
      <w:pPr>
        <w:spacing w:after="0" w:line="240" w:lineRule="auto"/>
        <w:rPr>
          <w:rFonts w:ascii="Calibri" w:hAnsi="Calibri" w:cs="Calibri"/>
          <w:lang w:val="pt-BR"/>
        </w:rPr>
      </w:pPr>
      <w:r w:rsidRPr="00F2715F">
        <w:rPr>
          <w:rFonts w:ascii="Calibri" w:hAnsi="Calibri" w:cs="Calibri"/>
          <w:lang w:val="pt-BR"/>
        </w:rPr>
        <w:t xml:space="preserve">No exercício de 2024, foram concluídas 5 unidades do programa CEUS das </w:t>
      </w:r>
      <w:proofErr w:type="gramStart"/>
      <w:r w:rsidRPr="00F2715F">
        <w:rPr>
          <w:rFonts w:ascii="Calibri" w:hAnsi="Calibri" w:cs="Calibri"/>
          <w:lang w:val="pt-BR"/>
        </w:rPr>
        <w:t>Artes ,</w:t>
      </w:r>
      <w:proofErr w:type="gramEnd"/>
      <w:r w:rsidRPr="00F2715F">
        <w:rPr>
          <w:rFonts w:ascii="Calibri" w:hAnsi="Calibri" w:cs="Calibri"/>
          <w:lang w:val="pt-BR"/>
        </w:rPr>
        <w:t xml:space="preserve"> no âmbito do PAC II. Somadas às outras obras inauguradas em anos anteriores, há no total a 293 unidades inauguradas, distribuídas nas cinco regiões do país, totalizando um investimento de R$ 757,2 milhões de reais no período entre 2010 e 2024.</w:t>
      </w:r>
    </w:p>
    <w:p w:rsidR="00F2715F" w:rsidP="00F2715F" w:rsidRDefault="00F2715F" w14:paraId="49C220DC" w14:textId="77777777">
      <w:pPr>
        <w:spacing w:after="0" w:line="240" w:lineRule="auto"/>
        <w:rPr>
          <w:rFonts w:ascii="Calibri" w:hAnsi="Calibri" w:cs="Calibri"/>
          <w:lang w:val="pt-BR"/>
        </w:rPr>
      </w:pPr>
    </w:p>
    <w:p w:rsidR="003227CA" w:rsidP="00F2715F" w:rsidRDefault="003227CA" w14:paraId="7DF17819" w14:textId="26454057">
      <w:pPr>
        <w:spacing w:after="0" w:line="240" w:lineRule="auto"/>
        <w:rPr>
          <w:rFonts w:ascii="Calibri" w:hAnsi="Calibri" w:cs="Calibri"/>
          <w:lang w:val="pt-BR"/>
        </w:rPr>
      </w:pPr>
      <w:r w:rsidRPr="47FE7A71" w:rsidR="47FE7A71">
        <w:rPr>
          <w:rFonts w:ascii="Calibri" w:hAnsi="Calibri" w:cs="Calibri"/>
          <w:lang w:val="pt-BR"/>
        </w:rPr>
        <w:t xml:space="preserve">Entre 2023 e 2024, por meio do PAC, foram inaugurados 21 </w:t>
      </w:r>
      <w:r w:rsidRPr="47FE7A71" w:rsidR="47FE7A71">
        <w:rPr>
          <w:rFonts w:ascii="Calibri" w:hAnsi="Calibri" w:cs="Calibri"/>
          <w:lang w:val="pt-BR"/>
        </w:rPr>
        <w:t>CEUs</w:t>
      </w:r>
      <w:r w:rsidRPr="47FE7A71" w:rsidR="47FE7A71">
        <w:rPr>
          <w:rFonts w:ascii="Calibri" w:hAnsi="Calibri" w:cs="Calibri"/>
          <w:lang w:val="pt-BR"/>
        </w:rPr>
        <w:t xml:space="preserve"> das Artes que estavam com obras paradas há quase uma década. Esses espaços integram cultura, esporte, lazer e inclusão social, com ambientes como bibliotecas, cineteatros, laboratórios multimídia e salas de capacitação.</w:t>
      </w:r>
    </w:p>
    <w:p w:rsidR="47FE7A71" w:rsidP="47FE7A71" w:rsidRDefault="47FE7A71" w14:paraId="48FB9EE0" w14:textId="534C28F2">
      <w:pPr>
        <w:spacing w:after="0" w:line="240" w:lineRule="auto"/>
        <w:rPr>
          <w:rFonts w:ascii="Calibri" w:hAnsi="Calibri" w:cs="Calibri"/>
          <w:lang w:val="pt-BR"/>
        </w:rPr>
      </w:pPr>
    </w:p>
    <w:p w:rsidRPr="00F2715F" w:rsidR="00F2715F" w:rsidP="00F2715F" w:rsidRDefault="00F2715F" w14:paraId="62FE461D" w14:textId="77777777">
      <w:pPr>
        <w:spacing w:after="0" w:line="240" w:lineRule="auto"/>
        <w:rPr>
          <w:rFonts w:ascii="Calibri" w:hAnsi="Calibri" w:cs="Calibri"/>
          <w:lang w:val="pt-BR"/>
        </w:rPr>
      </w:pPr>
    </w:p>
    <w:p w:rsidRPr="00F2715F" w:rsidR="003227CA" w:rsidP="47FE7A71" w:rsidRDefault="003227CA" w14:paraId="3C73A7D7" w14:textId="26FC1582">
      <w:pPr>
        <w:pStyle w:val="Ttulo1"/>
        <w:spacing w:after="0" w:line="240" w:lineRule="auto"/>
        <w:rPr>
          <w:rFonts w:ascii="Impact" w:hAnsi="Impact" w:eastAsia="Impact" w:cs="Impact" w:asciiTheme="majorAscii" w:hAnsiTheme="majorAscii" w:eastAsiaTheme="majorAscii" w:cstheme="majorAscii"/>
          <w:b w:val="0"/>
          <w:bCs w:val="0"/>
          <w:color w:val="0070C0"/>
        </w:rPr>
      </w:pPr>
      <w:r w:rsidRPr="47FE7A71" w:rsidR="47FE7A71">
        <w:rPr>
          <w:rFonts w:ascii="Impact" w:hAnsi="Impact" w:eastAsia="Impact" w:cs="Impact" w:asciiTheme="majorAscii" w:hAnsiTheme="majorAscii" w:eastAsiaTheme="majorAscii" w:cstheme="majorAscii"/>
          <w:b w:val="0"/>
          <w:bCs w:val="0"/>
          <w:color w:val="0070C0"/>
        </w:rPr>
        <w:t>MOVCEUs</w:t>
      </w:r>
    </w:p>
    <w:p w:rsidRPr="003227CA" w:rsidR="003227CA" w:rsidP="00F2715F" w:rsidRDefault="003227CA" w14:paraId="49636F72" w14:textId="77777777">
      <w:pPr>
        <w:spacing w:after="0" w:line="240" w:lineRule="auto"/>
        <w:rPr>
          <w:rFonts w:ascii="Calibri" w:hAnsi="Calibri" w:cs="Calibri"/>
          <w:lang w:val="pt-BR"/>
        </w:rPr>
      </w:pPr>
      <w:r w:rsidRPr="47FE7A71" w:rsidR="47FE7A71">
        <w:rPr>
          <w:rFonts w:ascii="Calibri" w:hAnsi="Calibri" w:cs="Calibri"/>
          <w:lang w:val="pt-BR"/>
        </w:rPr>
        <w:t xml:space="preserve">Em 2024, o programa </w:t>
      </w:r>
      <w:proofErr w:type="spellStart"/>
      <w:r w:rsidRPr="47FE7A71" w:rsidR="47FE7A71">
        <w:rPr>
          <w:rFonts w:ascii="Calibri" w:hAnsi="Calibri" w:cs="Calibri"/>
          <w:lang w:val="pt-BR"/>
        </w:rPr>
        <w:t>MovCEUs</w:t>
      </w:r>
      <w:proofErr w:type="spellEnd"/>
      <w:r w:rsidRPr="47FE7A71" w:rsidR="47FE7A71">
        <w:rPr>
          <w:rFonts w:ascii="Calibri" w:hAnsi="Calibri" w:cs="Calibri"/>
          <w:lang w:val="pt-BR"/>
        </w:rPr>
        <w:t xml:space="preserve"> ampliou a oferta cultural em territórios periféricos e rurais, por meio de uma van equipada com estúdio audiovisual, palco montável, projetores, telões e recursos para oficinas e cinema ao ar livre. Esses equipamentos, além de oferecer infraestrutura para produção cultural, incluem kits com livros, computadores, câmeras, softwares de edição e óculos de realidade virtual. Ao longo do ano, 30 veículos foram entregues a municípios em todas as regiões do Brasil, beneficiando comunidades periféricas, populações tradicionais e localidades rurais. Pelo seu caráter móvel e itinerante, cada veículo atende um raio de até 150 km dos municípios beneficiados. No total, as 30 vans atendem 77 municípios e 451 localidades diferentes.</w:t>
      </w:r>
    </w:p>
    <w:p w:rsidR="47FE7A71" w:rsidP="47FE7A71" w:rsidRDefault="47FE7A71" w14:paraId="17CCCF3C" w14:textId="5E2FF0E1">
      <w:pPr>
        <w:spacing w:after="0" w:line="240" w:lineRule="auto"/>
        <w:rPr>
          <w:rFonts w:ascii="Calibri" w:hAnsi="Calibri" w:cs="Calibri"/>
          <w:lang w:val="pt-BR"/>
        </w:rPr>
      </w:pPr>
    </w:p>
    <w:p w:rsidRPr="00F2715F" w:rsidR="003227CA" w:rsidP="00F2715F" w:rsidRDefault="003227CA" w14:paraId="06B73811" w14:textId="77777777">
      <w:pPr>
        <w:spacing w:after="0" w:line="240" w:lineRule="auto"/>
        <w:rPr>
          <w:rFonts w:ascii="Calibri" w:hAnsi="Calibri" w:cs="Calibri"/>
          <w:lang w:val="pt-BR"/>
        </w:rPr>
      </w:pPr>
      <w:r w:rsidRPr="47FE7A71" w:rsidR="47FE7A71">
        <w:rPr>
          <w:rFonts w:ascii="Calibri" w:hAnsi="Calibri" w:cs="Calibri"/>
          <w:lang w:val="pt-BR"/>
        </w:rPr>
        <w:t xml:space="preserve">Em 2024, foram repassados recursos financeiros para 28 convenentes, no total de R$ 17.570.173,00, e já foram entregues 30 unidades de </w:t>
      </w:r>
      <w:proofErr w:type="spellStart"/>
      <w:r w:rsidRPr="47FE7A71" w:rsidR="47FE7A71">
        <w:rPr>
          <w:rFonts w:ascii="Calibri" w:hAnsi="Calibri" w:cs="Calibri"/>
          <w:lang w:val="pt-BR"/>
        </w:rPr>
        <w:t>MovCEUs</w:t>
      </w:r>
      <w:proofErr w:type="spellEnd"/>
      <w:r w:rsidRPr="47FE7A71" w:rsidR="47FE7A71">
        <w:rPr>
          <w:rFonts w:ascii="Calibri" w:hAnsi="Calibri" w:cs="Calibri"/>
          <w:lang w:val="pt-BR"/>
        </w:rPr>
        <w:t xml:space="preserve"> a 27 convenentes, estando prevista a entrega de mais 05 unidades no início de 2025.</w:t>
      </w:r>
    </w:p>
    <w:p w:rsidR="47FE7A71" w:rsidP="47FE7A71" w:rsidRDefault="47FE7A71" w14:paraId="5572D5A3" w14:textId="0E31BB7F">
      <w:pPr>
        <w:spacing w:after="0" w:line="240" w:lineRule="auto"/>
        <w:rPr>
          <w:rFonts w:ascii="Calibri" w:hAnsi="Calibri" w:cs="Calibri"/>
          <w:b w:val="1"/>
          <w:bCs w:val="1"/>
          <w:lang w:val="pt-BR"/>
        </w:rPr>
      </w:pPr>
    </w:p>
    <w:p w:rsidRPr="003227CA" w:rsidR="003227CA" w:rsidP="00F2715F" w:rsidRDefault="003227CA" w14:paraId="75ABDD5A" w14:textId="77777777">
      <w:pPr>
        <w:spacing w:after="0" w:line="240" w:lineRule="auto"/>
        <w:rPr>
          <w:rFonts w:ascii="Calibri" w:hAnsi="Calibri" w:cs="Calibri"/>
          <w:lang w:val="pt-BR"/>
        </w:rPr>
      </w:pPr>
      <w:r w:rsidRPr="003227CA">
        <w:rPr>
          <w:rFonts w:ascii="Calibri" w:hAnsi="Calibri" w:cs="Calibri"/>
          <w:b/>
          <w:bCs/>
          <w:lang w:val="pt-BR"/>
        </w:rPr>
        <w:t>Execução de Instrumentos de Transferências Voluntárias</w:t>
      </w:r>
    </w:p>
    <w:p w:rsidR="003227CA" w:rsidP="00F2715F" w:rsidRDefault="003227CA" w14:paraId="5D57BFC1" w14:textId="512084F3">
      <w:pPr>
        <w:spacing w:after="0" w:line="240" w:lineRule="auto"/>
        <w:rPr>
          <w:rFonts w:ascii="Calibri" w:hAnsi="Calibri" w:cs="Calibri"/>
          <w:lang w:val="pt-BR"/>
        </w:rPr>
      </w:pPr>
      <w:r w:rsidRPr="47FE7A71" w:rsidR="47FE7A71">
        <w:rPr>
          <w:rFonts w:ascii="Calibri" w:hAnsi="Calibri" w:cs="Calibri"/>
          <w:lang w:val="pt-BR"/>
        </w:rPr>
        <w:t>Em 2024, foram celebrados novos instrumentos de transferências voluntárias, bem como houve o repasse de recursos para instrumentos celebrados em anos anteriores. As tabelas a seguir apresentam esses números.</w:t>
      </w:r>
    </w:p>
    <w:p w:rsidR="00F2715F" w:rsidP="00F2715F" w:rsidRDefault="00F2715F" w14:paraId="2F85E198" w14:textId="77777777">
      <w:pPr>
        <w:spacing w:after="0" w:line="240" w:lineRule="auto"/>
        <w:rPr>
          <w:rFonts w:ascii="Calibri" w:hAnsi="Calibri" w:cs="Calibri"/>
          <w:lang w:val="pt-BR"/>
        </w:rPr>
      </w:pPr>
    </w:p>
    <w:p w:rsidR="00F2715F" w:rsidP="00F2715F" w:rsidRDefault="00F2715F" w14:paraId="4532CD5D" w14:textId="77777777">
      <w:pPr>
        <w:spacing w:after="0" w:line="240" w:lineRule="auto"/>
        <w:rPr>
          <w:rFonts w:ascii="Calibri" w:hAnsi="Calibri" w:cs="Calibri"/>
          <w:lang w:val="pt-BR"/>
        </w:rPr>
      </w:pPr>
    </w:p>
    <w:p w:rsidR="00F2715F" w:rsidP="00F2715F" w:rsidRDefault="00F2715F" w14:paraId="399DE705" w14:textId="77777777">
      <w:pPr>
        <w:spacing w:after="0" w:line="240" w:lineRule="auto"/>
        <w:rPr>
          <w:rFonts w:ascii="Calibri" w:hAnsi="Calibri" w:cs="Calibri"/>
          <w:lang w:val="pt-BR"/>
        </w:rPr>
      </w:pPr>
    </w:p>
    <w:p w:rsidR="00F2715F" w:rsidP="00F2715F" w:rsidRDefault="00F2715F" w14:paraId="19FF18FC" w14:textId="77777777">
      <w:pPr>
        <w:spacing w:after="0" w:line="240" w:lineRule="auto"/>
        <w:rPr>
          <w:rFonts w:ascii="Calibri" w:hAnsi="Calibri" w:cs="Calibri"/>
          <w:lang w:val="pt-BR"/>
        </w:rPr>
      </w:pPr>
    </w:p>
    <w:p w:rsidRPr="003227CA" w:rsidR="003227CA" w:rsidP="00F2715F" w:rsidRDefault="003227CA" w14:paraId="0A6424E9" w14:textId="6B44DCCF">
      <w:pPr>
        <w:spacing w:after="0" w:line="240" w:lineRule="auto"/>
        <w:jc w:val="center"/>
        <w:rPr>
          <w:rFonts w:ascii="Calibri" w:hAnsi="Calibri" w:cs="Calibri"/>
          <w:sz w:val="20"/>
          <w:szCs w:val="20"/>
          <w:lang w:val="pt-BR"/>
        </w:rPr>
      </w:pPr>
      <w:r w:rsidRPr="003227CA">
        <w:rPr>
          <w:rFonts w:ascii="Calibri" w:hAnsi="Calibri" w:cs="Calibri"/>
          <w:sz w:val="20"/>
          <w:szCs w:val="20"/>
          <w:lang w:val="pt-BR"/>
        </w:rPr>
        <w:t>Tabela – Novos Instrumentos de Transferências Voluntárias.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6"/>
        <w:gridCol w:w="778"/>
        <w:gridCol w:w="1399"/>
        <w:gridCol w:w="1509"/>
        <w:gridCol w:w="1484"/>
      </w:tblGrid>
      <w:tr w:rsidRPr="003227CA" w:rsidR="003227CA" w:rsidTr="003227CA" w14:paraId="2DD193AA" w14:textId="77777777">
        <w:trPr>
          <w:trHeight w:val="315"/>
          <w:jc w:val="center"/>
        </w:trPr>
        <w:tc>
          <w:tcPr>
            <w:tcW w:w="2127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shd w:val="clear" w:color="auto" w:fill="727DAB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3227CA" w:rsidR="003227CA" w:rsidP="00F2715F" w:rsidRDefault="003227CA" w14:paraId="3EE8B14C" w14:textId="7777777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3227CA">
              <w:rPr>
                <w:rFonts w:ascii="Calibri" w:hAnsi="Calibri" w:cs="Calibri"/>
                <w:b/>
                <w:bCs/>
                <w:sz w:val="20"/>
                <w:szCs w:val="20"/>
                <w:lang w:val="pt-BR"/>
              </w:rPr>
              <w:t>ESPÉCIE</w:t>
            </w:r>
          </w:p>
        </w:tc>
        <w:tc>
          <w:tcPr>
            <w:tcW w:w="992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shd w:val="clear" w:color="auto" w:fill="727DAB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3227CA" w:rsidR="003227CA" w:rsidP="00F2715F" w:rsidRDefault="003227CA" w14:paraId="7FE6825A" w14:textId="7777777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3227CA">
              <w:rPr>
                <w:rFonts w:ascii="Calibri" w:hAnsi="Calibri" w:cs="Calibri"/>
                <w:b/>
                <w:bCs/>
                <w:sz w:val="20"/>
                <w:szCs w:val="20"/>
                <w:lang w:val="pt-BR"/>
              </w:rPr>
              <w:t>QUANT.</w:t>
            </w:r>
          </w:p>
        </w:tc>
        <w:tc>
          <w:tcPr>
            <w:tcW w:w="1701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shd w:val="clear" w:color="auto" w:fill="727DAB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3227CA" w:rsidR="003227CA" w:rsidP="00F2715F" w:rsidRDefault="003227CA" w14:paraId="4923BD6B" w14:textId="7777777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3227CA">
              <w:rPr>
                <w:rFonts w:ascii="Calibri" w:hAnsi="Calibri" w:cs="Calibri"/>
                <w:b/>
                <w:bCs/>
                <w:sz w:val="20"/>
                <w:szCs w:val="20"/>
                <w:lang w:val="pt-BR"/>
              </w:rPr>
              <w:t>VALOR DO REPASSE</w:t>
            </w:r>
          </w:p>
        </w:tc>
        <w:tc>
          <w:tcPr>
            <w:tcW w:w="1835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shd w:val="clear" w:color="auto" w:fill="727DAB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3227CA" w:rsidR="003227CA" w:rsidP="00F2715F" w:rsidRDefault="003227CA" w14:paraId="7B267C1F" w14:textId="7777777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3227CA">
              <w:rPr>
                <w:rFonts w:ascii="Calibri" w:hAnsi="Calibri" w:cs="Calibri"/>
                <w:b/>
                <w:bCs/>
                <w:sz w:val="20"/>
                <w:szCs w:val="20"/>
                <w:lang w:val="pt-BR"/>
              </w:rPr>
              <w:t>VALOR DE CONTRAPARTIDA</w:t>
            </w:r>
          </w:p>
        </w:tc>
        <w:tc>
          <w:tcPr>
            <w:tcW w:w="1697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shd w:val="clear" w:color="auto" w:fill="727DAB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3227CA" w:rsidR="003227CA" w:rsidP="00F2715F" w:rsidRDefault="003227CA" w14:paraId="0E74B1B1" w14:textId="7777777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3227CA">
              <w:rPr>
                <w:rFonts w:ascii="Calibri" w:hAnsi="Calibri" w:cs="Calibri"/>
                <w:b/>
                <w:bCs/>
                <w:sz w:val="20"/>
                <w:szCs w:val="20"/>
                <w:lang w:val="pt-BR"/>
              </w:rPr>
              <w:t>VALOR GLOBAL</w:t>
            </w:r>
          </w:p>
        </w:tc>
      </w:tr>
      <w:tr w:rsidRPr="003227CA" w:rsidR="003227CA" w:rsidTr="003227CA" w14:paraId="2E1EFC3F" w14:textId="77777777">
        <w:trPr>
          <w:trHeight w:val="315"/>
          <w:jc w:val="center"/>
        </w:trPr>
        <w:tc>
          <w:tcPr>
            <w:tcW w:w="2127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3227CA" w:rsidR="003227CA" w:rsidP="00F2715F" w:rsidRDefault="003227CA" w14:paraId="5C1ABBB8" w14:textId="7777777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3227CA">
              <w:rPr>
                <w:rFonts w:ascii="Calibri" w:hAnsi="Calibri" w:cs="Calibri"/>
                <w:sz w:val="20"/>
                <w:szCs w:val="20"/>
                <w:lang w:val="pt-BR"/>
              </w:rPr>
              <w:t>Contratos de Repasse</w:t>
            </w:r>
          </w:p>
        </w:tc>
        <w:tc>
          <w:tcPr>
            <w:tcW w:w="992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3227CA" w:rsidR="003227CA" w:rsidP="00F2715F" w:rsidRDefault="003227CA" w14:paraId="08A06F51" w14:textId="7777777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3227CA">
              <w:rPr>
                <w:rFonts w:ascii="Calibri" w:hAnsi="Calibri" w:cs="Calibri"/>
                <w:sz w:val="20"/>
                <w:szCs w:val="20"/>
                <w:lang w:val="pt-BR"/>
              </w:rPr>
              <w:t>14</w:t>
            </w:r>
          </w:p>
        </w:tc>
        <w:tc>
          <w:tcPr>
            <w:tcW w:w="1701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3227CA" w:rsidR="003227CA" w:rsidP="00F2715F" w:rsidRDefault="003227CA" w14:paraId="0DDB385E" w14:textId="18DA053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3227CA">
              <w:rPr>
                <w:rFonts w:ascii="Calibri" w:hAnsi="Calibri" w:cs="Calibri"/>
                <w:sz w:val="20"/>
                <w:szCs w:val="20"/>
                <w:lang w:val="pt-BR"/>
              </w:rPr>
              <w:t>R$ 4.187.285,00</w:t>
            </w:r>
          </w:p>
        </w:tc>
        <w:tc>
          <w:tcPr>
            <w:tcW w:w="1835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3227CA" w:rsidR="003227CA" w:rsidP="00F2715F" w:rsidRDefault="003227CA" w14:paraId="2E0E1BA2" w14:textId="7F05C1C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3227CA">
              <w:rPr>
                <w:rFonts w:ascii="Calibri" w:hAnsi="Calibri" w:cs="Calibri"/>
                <w:sz w:val="20"/>
                <w:szCs w:val="20"/>
                <w:lang w:val="pt-BR"/>
              </w:rPr>
              <w:t>R$ 136.596,18</w:t>
            </w:r>
          </w:p>
        </w:tc>
        <w:tc>
          <w:tcPr>
            <w:tcW w:w="1697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3227CA" w:rsidR="003227CA" w:rsidP="00F2715F" w:rsidRDefault="003227CA" w14:paraId="6E46D324" w14:textId="7777777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3227CA">
              <w:rPr>
                <w:rFonts w:ascii="Calibri" w:hAnsi="Calibri" w:cs="Calibri"/>
                <w:sz w:val="20"/>
                <w:szCs w:val="20"/>
                <w:lang w:val="pt-BR"/>
              </w:rPr>
              <w:t>R$ 11.004.997,18</w:t>
            </w:r>
          </w:p>
        </w:tc>
      </w:tr>
      <w:tr w:rsidRPr="003227CA" w:rsidR="003227CA" w:rsidTr="003227CA" w14:paraId="0D4B5D22" w14:textId="77777777">
        <w:trPr>
          <w:trHeight w:val="315"/>
          <w:jc w:val="center"/>
        </w:trPr>
        <w:tc>
          <w:tcPr>
            <w:tcW w:w="2127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3227CA" w:rsidR="003227CA" w:rsidP="00F2715F" w:rsidRDefault="003227CA" w14:paraId="75BFD393" w14:textId="7777777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3227CA">
              <w:rPr>
                <w:rFonts w:ascii="Calibri" w:hAnsi="Calibri" w:cs="Calibri"/>
                <w:sz w:val="20"/>
                <w:szCs w:val="20"/>
                <w:lang w:val="pt-BR"/>
              </w:rPr>
              <w:t>Convênios Novos</w:t>
            </w:r>
          </w:p>
        </w:tc>
        <w:tc>
          <w:tcPr>
            <w:tcW w:w="992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3227CA" w:rsidR="003227CA" w:rsidP="00F2715F" w:rsidRDefault="003227CA" w14:paraId="5B24B4AC" w14:textId="7777777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3227CA">
              <w:rPr>
                <w:rFonts w:ascii="Calibri" w:hAnsi="Calibri" w:cs="Calibri"/>
                <w:sz w:val="20"/>
                <w:szCs w:val="20"/>
                <w:lang w:val="pt-BR"/>
              </w:rPr>
              <w:t>00</w:t>
            </w:r>
          </w:p>
        </w:tc>
        <w:tc>
          <w:tcPr>
            <w:tcW w:w="1701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3227CA" w:rsidR="003227CA" w:rsidP="00F2715F" w:rsidRDefault="003227CA" w14:paraId="2A341782" w14:textId="1AE6CF4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3227CA">
              <w:rPr>
                <w:rFonts w:ascii="Calibri" w:hAnsi="Calibri" w:cs="Calibri"/>
                <w:sz w:val="20"/>
                <w:szCs w:val="20"/>
                <w:lang w:val="pt-BR"/>
              </w:rPr>
              <w:t>R$ 0,00</w:t>
            </w:r>
          </w:p>
        </w:tc>
        <w:tc>
          <w:tcPr>
            <w:tcW w:w="1835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3227CA" w:rsidR="003227CA" w:rsidP="00F2715F" w:rsidRDefault="003227CA" w14:paraId="2B7694B8" w14:textId="7777777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3227CA">
              <w:rPr>
                <w:rFonts w:ascii="Calibri" w:hAnsi="Calibri" w:cs="Calibri"/>
                <w:sz w:val="20"/>
                <w:szCs w:val="20"/>
                <w:lang w:val="pt-BR"/>
              </w:rPr>
              <w:t>R$ 0,00</w:t>
            </w:r>
          </w:p>
        </w:tc>
        <w:tc>
          <w:tcPr>
            <w:tcW w:w="1697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3227CA" w:rsidR="003227CA" w:rsidP="00F2715F" w:rsidRDefault="003227CA" w14:paraId="7F341D0C" w14:textId="23A97E5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3227CA">
              <w:rPr>
                <w:rFonts w:ascii="Calibri" w:hAnsi="Calibri" w:cs="Calibri"/>
                <w:sz w:val="20"/>
                <w:szCs w:val="20"/>
                <w:lang w:val="pt-BR"/>
              </w:rPr>
              <w:t>R$ 0,00</w:t>
            </w:r>
          </w:p>
        </w:tc>
      </w:tr>
      <w:tr w:rsidRPr="003227CA" w:rsidR="003227CA" w:rsidTr="003227CA" w14:paraId="70B332E8" w14:textId="77777777">
        <w:trPr>
          <w:trHeight w:val="315"/>
          <w:jc w:val="center"/>
        </w:trPr>
        <w:tc>
          <w:tcPr>
            <w:tcW w:w="2127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3227CA" w:rsidR="003227CA" w:rsidP="00F2715F" w:rsidRDefault="003227CA" w14:paraId="1F4099ED" w14:textId="7777777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3227CA">
              <w:rPr>
                <w:rFonts w:ascii="Calibri" w:hAnsi="Calibri" w:cs="Calibri"/>
                <w:sz w:val="20"/>
                <w:szCs w:val="20"/>
                <w:lang w:val="pt-BR"/>
              </w:rPr>
              <w:t>Termos de Fomento</w:t>
            </w:r>
          </w:p>
        </w:tc>
        <w:tc>
          <w:tcPr>
            <w:tcW w:w="992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3227CA" w:rsidR="003227CA" w:rsidP="00F2715F" w:rsidRDefault="003227CA" w14:paraId="0C5DD1E6" w14:textId="7777777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3227CA">
              <w:rPr>
                <w:rFonts w:ascii="Calibri" w:hAnsi="Calibri" w:cs="Calibri"/>
                <w:sz w:val="20"/>
                <w:szCs w:val="20"/>
                <w:lang w:val="pt-BR"/>
              </w:rPr>
              <w:t>00</w:t>
            </w:r>
          </w:p>
        </w:tc>
        <w:tc>
          <w:tcPr>
            <w:tcW w:w="1701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3227CA" w:rsidR="003227CA" w:rsidP="00F2715F" w:rsidRDefault="003227CA" w14:paraId="064A0BE5" w14:textId="3860193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3227CA">
              <w:rPr>
                <w:rFonts w:ascii="Calibri" w:hAnsi="Calibri" w:cs="Calibri"/>
                <w:sz w:val="20"/>
                <w:szCs w:val="20"/>
                <w:lang w:val="pt-BR"/>
              </w:rPr>
              <w:t>R$ 0,00</w:t>
            </w:r>
          </w:p>
        </w:tc>
        <w:tc>
          <w:tcPr>
            <w:tcW w:w="1835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3227CA" w:rsidR="003227CA" w:rsidP="00F2715F" w:rsidRDefault="003227CA" w14:paraId="61B71187" w14:textId="7777777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3227CA">
              <w:rPr>
                <w:rFonts w:ascii="Calibri" w:hAnsi="Calibri" w:cs="Calibri"/>
                <w:sz w:val="20"/>
                <w:szCs w:val="20"/>
                <w:lang w:val="pt-BR"/>
              </w:rPr>
              <w:t>R$ 0,00</w:t>
            </w:r>
          </w:p>
        </w:tc>
        <w:tc>
          <w:tcPr>
            <w:tcW w:w="1697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3227CA" w:rsidR="003227CA" w:rsidP="00F2715F" w:rsidRDefault="003227CA" w14:paraId="472850DE" w14:textId="7777777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3227CA">
              <w:rPr>
                <w:rFonts w:ascii="Calibri" w:hAnsi="Calibri" w:cs="Calibri"/>
                <w:sz w:val="20"/>
                <w:szCs w:val="20"/>
                <w:lang w:val="pt-BR"/>
              </w:rPr>
              <w:t>R$ 0,00</w:t>
            </w:r>
          </w:p>
        </w:tc>
      </w:tr>
      <w:tr w:rsidRPr="003227CA" w:rsidR="003227CA" w:rsidTr="003227CA" w14:paraId="6A7522E1" w14:textId="77777777">
        <w:trPr>
          <w:trHeight w:val="315"/>
          <w:jc w:val="center"/>
        </w:trPr>
        <w:tc>
          <w:tcPr>
            <w:tcW w:w="2127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shd w:val="clear" w:color="auto" w:fill="727DAB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3227CA" w:rsidR="003227CA" w:rsidP="00F2715F" w:rsidRDefault="003227CA" w14:paraId="25B4DB74" w14:textId="7777777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3227C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t-BR"/>
              </w:rPr>
              <w:t>TOTAL</w:t>
            </w:r>
          </w:p>
        </w:tc>
        <w:tc>
          <w:tcPr>
            <w:tcW w:w="992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shd w:val="clear" w:color="auto" w:fill="727DAB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3227CA" w:rsidR="003227CA" w:rsidP="00F2715F" w:rsidRDefault="003227CA" w14:paraId="2653BDA5" w14:textId="59B3E50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3227C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t-BR"/>
              </w:rPr>
              <w:t>11</w:t>
            </w:r>
          </w:p>
        </w:tc>
        <w:tc>
          <w:tcPr>
            <w:tcW w:w="1701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shd w:val="clear" w:color="auto" w:fill="727DAB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3227CA" w:rsidR="003227CA" w:rsidP="00F2715F" w:rsidRDefault="003227CA" w14:paraId="759F27DF" w14:textId="656681D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3227C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t-BR"/>
              </w:rPr>
              <w:t>R$ 4.187.285,00</w:t>
            </w:r>
          </w:p>
        </w:tc>
        <w:tc>
          <w:tcPr>
            <w:tcW w:w="1835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shd w:val="clear" w:color="auto" w:fill="727DAB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3227CA" w:rsidR="003227CA" w:rsidP="00F2715F" w:rsidRDefault="003227CA" w14:paraId="75C99A68" w14:textId="28908481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sz w:val="20"/>
                <w:szCs w:val="20"/>
                <w:lang w:val="pt-BR"/>
              </w:rPr>
            </w:pPr>
            <w:r w:rsidRPr="003227C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t-BR"/>
              </w:rPr>
              <w:t>R$ 89.098,18</w:t>
            </w:r>
          </w:p>
        </w:tc>
        <w:tc>
          <w:tcPr>
            <w:tcW w:w="1697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shd w:val="clear" w:color="auto" w:fill="727DAB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3227CA" w:rsidR="003227CA" w:rsidP="00F2715F" w:rsidRDefault="003227CA" w14:paraId="5235867C" w14:textId="4B3809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3227C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t-BR"/>
              </w:rPr>
              <w:t>R$ 4.276.383,18</w:t>
            </w:r>
          </w:p>
        </w:tc>
      </w:tr>
    </w:tbl>
    <w:p w:rsidRPr="00F2715F" w:rsidR="003227CA" w:rsidP="47FE7A71" w:rsidRDefault="003227CA" w14:paraId="5479E95B" w14:textId="480067FF">
      <w:pPr>
        <w:spacing w:after="0" w:line="240" w:lineRule="auto"/>
        <w:jc w:val="center"/>
        <w:rPr>
          <w:rFonts w:ascii="Calibri" w:hAnsi="Calibri" w:cs="Calibri"/>
          <w:i w:val="1"/>
          <w:iCs w:val="1"/>
          <w:sz w:val="20"/>
          <w:szCs w:val="20"/>
          <w:lang w:val="pt-BR"/>
        </w:rPr>
      </w:pPr>
      <w:r w:rsidRPr="47FE7A71" w:rsidR="47FE7A71">
        <w:rPr>
          <w:rFonts w:ascii="Calibri" w:hAnsi="Calibri" w:cs="Calibri"/>
          <w:i w:val="1"/>
          <w:iCs w:val="1"/>
          <w:sz w:val="20"/>
          <w:szCs w:val="20"/>
          <w:lang w:val="pt-BR"/>
        </w:rPr>
        <w:t>Fonte: SEEC.</w:t>
      </w:r>
    </w:p>
    <w:p w:rsidRPr="003227CA" w:rsidR="003227CA" w:rsidP="00F2715F" w:rsidRDefault="003227CA" w14:paraId="45026798" w14:textId="77777777">
      <w:pPr>
        <w:spacing w:after="0" w:line="240" w:lineRule="auto"/>
        <w:rPr>
          <w:rFonts w:ascii="Calibri" w:hAnsi="Calibri" w:cs="Calibri"/>
          <w:i/>
          <w:iCs/>
          <w:lang w:val="pt-BR"/>
        </w:rPr>
      </w:pPr>
    </w:p>
    <w:p w:rsidRPr="003227CA" w:rsidR="003227CA" w:rsidP="00F2715F" w:rsidRDefault="003227CA" w14:paraId="63FA3441" w14:textId="3B19157C">
      <w:pPr>
        <w:spacing w:after="0" w:line="240" w:lineRule="auto"/>
        <w:jc w:val="center"/>
        <w:rPr>
          <w:rFonts w:ascii="Calibri" w:hAnsi="Calibri" w:cs="Calibri"/>
          <w:sz w:val="20"/>
          <w:szCs w:val="20"/>
          <w:lang w:val="pt-BR"/>
        </w:rPr>
      </w:pPr>
      <w:r w:rsidRPr="003227CA">
        <w:rPr>
          <w:rFonts w:ascii="Calibri" w:hAnsi="Calibri" w:cs="Calibri"/>
          <w:sz w:val="20"/>
          <w:szCs w:val="20"/>
          <w:lang w:val="pt-BR"/>
        </w:rPr>
        <w:t>Tabela – Execução relativa a Convênios em 2024</w:t>
      </w:r>
    </w:p>
    <w:tbl>
      <w:tblPr>
        <w:tblW w:w="6086" w:type="dxa"/>
        <w:jc w:val="center"/>
        <w:tblLook w:val="04A0" w:firstRow="1" w:lastRow="0" w:firstColumn="1" w:lastColumn="0" w:noHBand="0" w:noVBand="1"/>
      </w:tblPr>
      <w:tblGrid>
        <w:gridCol w:w="1315"/>
        <w:gridCol w:w="1361"/>
        <w:gridCol w:w="3410"/>
      </w:tblGrid>
      <w:tr w:rsidRPr="003227CA" w:rsidR="003227CA" w:rsidTr="003227CA" w14:paraId="7ADBA2DF" w14:textId="77777777">
        <w:trPr>
          <w:trHeight w:val="315"/>
          <w:jc w:val="center"/>
        </w:trPr>
        <w:tc>
          <w:tcPr>
            <w:tcW w:w="1300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shd w:val="clear" w:color="auto" w:fill="727DAB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3227CA" w:rsidR="003227CA" w:rsidP="00F2715F" w:rsidRDefault="003227CA" w14:paraId="10B3868B" w14:textId="7777777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3227CA">
              <w:rPr>
                <w:rFonts w:ascii="Calibri" w:hAnsi="Calibri" w:cs="Calibri"/>
                <w:b/>
                <w:bCs/>
                <w:sz w:val="20"/>
                <w:szCs w:val="20"/>
                <w:lang w:val="pt-BR"/>
              </w:rPr>
              <w:t>DESCRIÇÃO</w:t>
            </w:r>
          </w:p>
        </w:tc>
        <w:tc>
          <w:tcPr>
            <w:tcW w:w="1324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shd w:val="clear" w:color="auto" w:fill="727DAB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3227CA" w:rsidR="003227CA" w:rsidP="00F2715F" w:rsidRDefault="003227CA" w14:paraId="523D4FAC" w14:textId="7777777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3227CA">
              <w:rPr>
                <w:rFonts w:ascii="Calibri" w:hAnsi="Calibri" w:cs="Calibri"/>
                <w:b/>
                <w:bCs/>
                <w:sz w:val="20"/>
                <w:szCs w:val="20"/>
                <w:lang w:val="pt-BR"/>
              </w:rPr>
              <w:t>QUANT. DE CONVÊNIOS BENEFICIADOS</w:t>
            </w:r>
          </w:p>
        </w:tc>
        <w:tc>
          <w:tcPr>
            <w:tcW w:w="3462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shd w:val="clear" w:color="auto" w:fill="727DAB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3227CA" w:rsidR="003227CA" w:rsidP="00F2715F" w:rsidRDefault="003227CA" w14:paraId="152656C6" w14:textId="7777777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3227CA">
              <w:rPr>
                <w:rFonts w:ascii="Calibri" w:hAnsi="Calibri" w:cs="Calibri"/>
                <w:b/>
                <w:bCs/>
                <w:sz w:val="20"/>
                <w:szCs w:val="20"/>
                <w:lang w:val="pt-BR"/>
              </w:rPr>
              <w:t>VALORES TOTAIS</w:t>
            </w:r>
          </w:p>
        </w:tc>
      </w:tr>
      <w:tr w:rsidRPr="003227CA" w:rsidR="003227CA" w:rsidTr="003227CA" w14:paraId="3D187C6F" w14:textId="77777777">
        <w:trPr>
          <w:trHeight w:val="315"/>
          <w:jc w:val="center"/>
        </w:trPr>
        <w:tc>
          <w:tcPr>
            <w:tcW w:w="1300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3227CA" w:rsidR="003227CA" w:rsidP="00F2715F" w:rsidRDefault="003227CA" w14:paraId="57044703" w14:textId="7777777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3227CA">
              <w:rPr>
                <w:rFonts w:ascii="Calibri" w:hAnsi="Calibri" w:cs="Calibri"/>
                <w:sz w:val="20"/>
                <w:szCs w:val="20"/>
                <w:lang w:val="pt-BR"/>
              </w:rPr>
              <w:t>Execução Financeira: Valores repassados a Convênios em 2024.</w:t>
            </w:r>
          </w:p>
        </w:tc>
        <w:tc>
          <w:tcPr>
            <w:tcW w:w="1324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3227CA" w:rsidR="003227CA" w:rsidP="00F2715F" w:rsidRDefault="003227CA" w14:paraId="5A251D9F" w14:textId="7777777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3227CA">
              <w:rPr>
                <w:rFonts w:ascii="Calibri" w:hAnsi="Calibri" w:cs="Calibri"/>
                <w:sz w:val="20"/>
                <w:szCs w:val="20"/>
                <w:lang w:val="pt-BR"/>
              </w:rPr>
              <w:t>30</w:t>
            </w:r>
          </w:p>
        </w:tc>
        <w:tc>
          <w:tcPr>
            <w:tcW w:w="3462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3227CA" w:rsidR="003227CA" w:rsidP="00F2715F" w:rsidRDefault="003227CA" w14:paraId="5CEE4D4D" w14:textId="7777777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3227CA">
              <w:rPr>
                <w:rFonts w:ascii="Calibri" w:hAnsi="Calibri" w:cs="Calibri"/>
                <w:sz w:val="20"/>
                <w:szCs w:val="20"/>
                <w:lang w:val="pt-BR"/>
              </w:rPr>
              <w:t>R$ 18.214.554,21</w:t>
            </w:r>
          </w:p>
        </w:tc>
      </w:tr>
      <w:tr w:rsidRPr="003227CA" w:rsidR="003227CA" w:rsidTr="003227CA" w14:paraId="3DB5AA19" w14:textId="77777777">
        <w:trPr>
          <w:trHeight w:val="315"/>
          <w:jc w:val="center"/>
        </w:trPr>
        <w:tc>
          <w:tcPr>
            <w:tcW w:w="1300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3227CA" w:rsidR="003227CA" w:rsidP="00F2715F" w:rsidRDefault="003227CA" w14:paraId="6F6A72A8" w14:textId="7777777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3227CA">
              <w:rPr>
                <w:rFonts w:ascii="Calibri" w:hAnsi="Calibri" w:cs="Calibri"/>
                <w:sz w:val="20"/>
                <w:szCs w:val="20"/>
                <w:lang w:val="pt-BR"/>
              </w:rPr>
              <w:t>Execução Orçamentária: Valores Empenhados em favor de Convênios em 2024.</w:t>
            </w:r>
          </w:p>
        </w:tc>
        <w:tc>
          <w:tcPr>
            <w:tcW w:w="1324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3227CA" w:rsidR="003227CA" w:rsidP="00F2715F" w:rsidRDefault="003227CA" w14:paraId="61BD8A0B" w14:textId="7777777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3227CA">
              <w:rPr>
                <w:rFonts w:ascii="Calibri" w:hAnsi="Calibri" w:cs="Calibri"/>
                <w:sz w:val="20"/>
                <w:szCs w:val="20"/>
                <w:lang w:val="pt-BR"/>
              </w:rPr>
              <w:t>28</w:t>
            </w:r>
          </w:p>
        </w:tc>
        <w:tc>
          <w:tcPr>
            <w:tcW w:w="3462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3227CA" w:rsidR="003227CA" w:rsidP="00F2715F" w:rsidRDefault="003227CA" w14:paraId="3F65C14E" w14:textId="7777777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3227CA">
              <w:rPr>
                <w:rFonts w:ascii="Calibri" w:hAnsi="Calibri" w:cs="Calibri"/>
                <w:sz w:val="20"/>
                <w:szCs w:val="20"/>
                <w:lang w:val="pt-BR"/>
              </w:rPr>
              <w:t>R$ 3.689.621,00</w:t>
            </w:r>
          </w:p>
        </w:tc>
      </w:tr>
    </w:tbl>
    <w:p w:rsidRPr="003227CA" w:rsidR="003227CA" w:rsidP="00F2715F" w:rsidRDefault="003227CA" w14:paraId="3284E9FB" w14:textId="30111654">
      <w:pPr>
        <w:spacing w:after="0" w:line="240" w:lineRule="auto"/>
        <w:jc w:val="center"/>
        <w:rPr>
          <w:rFonts w:ascii="Calibri" w:hAnsi="Calibri" w:cs="Calibri"/>
          <w:i/>
          <w:iCs/>
          <w:sz w:val="20"/>
          <w:szCs w:val="20"/>
          <w:lang w:val="pt-BR"/>
        </w:rPr>
      </w:pPr>
      <w:r w:rsidRPr="47FE7A71" w:rsidR="47FE7A71">
        <w:rPr>
          <w:rFonts w:ascii="Calibri" w:hAnsi="Calibri" w:cs="Calibri"/>
          <w:i w:val="1"/>
          <w:iCs w:val="1"/>
          <w:sz w:val="20"/>
          <w:szCs w:val="20"/>
          <w:lang w:val="pt-BR"/>
        </w:rPr>
        <w:t>Fonte: Plataforma Transferegov.br</w:t>
      </w:r>
    </w:p>
    <w:p w:rsidR="003227CA" w:rsidP="00F2715F" w:rsidRDefault="003227CA" w14:paraId="64684BC7" w14:textId="77777777">
      <w:pPr>
        <w:spacing w:after="0" w:line="240" w:lineRule="auto"/>
        <w:rPr>
          <w:rFonts w:ascii="Calibri" w:hAnsi="Calibri" w:cs="Calibri"/>
          <w:b/>
          <w:bCs/>
          <w:lang w:val="pt-BR"/>
        </w:rPr>
      </w:pPr>
      <w:r w:rsidRPr="003227CA">
        <w:rPr>
          <w:rFonts w:ascii="Calibri" w:hAnsi="Calibri" w:cs="Calibri"/>
          <w:b/>
          <w:bCs/>
          <w:lang w:val="pt-BR"/>
        </w:rPr>
        <w:lastRenderedPageBreak/>
        <w:t>Outras ações</w:t>
      </w:r>
    </w:p>
    <w:p w:rsidRPr="003227CA" w:rsidR="00F2715F" w:rsidP="00F2715F" w:rsidRDefault="00F2715F" w14:paraId="48778AAC" w14:textId="77777777">
      <w:pPr>
        <w:spacing w:after="0" w:line="240" w:lineRule="auto"/>
        <w:rPr>
          <w:rFonts w:ascii="Calibri" w:hAnsi="Calibri" w:cs="Calibri"/>
          <w:b/>
          <w:bCs/>
          <w:lang w:val="pt-BR"/>
        </w:rPr>
      </w:pPr>
    </w:p>
    <w:p w:rsidRPr="003227CA" w:rsidR="003227CA" w:rsidP="00F2715F" w:rsidRDefault="003227CA" w14:paraId="102FFD0B" w14:textId="77777777">
      <w:pPr>
        <w:spacing w:after="0" w:line="240" w:lineRule="auto"/>
        <w:rPr>
          <w:rFonts w:ascii="Calibri" w:hAnsi="Calibri" w:cs="Calibri"/>
          <w:lang w:val="pt-BR"/>
        </w:rPr>
      </w:pPr>
      <w:r w:rsidRPr="47FE7A71" w:rsidR="47FE7A71">
        <w:rPr>
          <w:rFonts w:ascii="Calibri" w:hAnsi="Calibri" w:cs="Calibri"/>
          <w:lang w:val="pt-BR"/>
        </w:rPr>
        <w:t xml:space="preserve">Para garantir a gestão eficiente dos equipamentos culturais, a SEEC realizou, em agosto deste ano, o 1º Encontro Nacional de Gestores </w:t>
      </w:r>
      <w:proofErr w:type="spellStart"/>
      <w:r w:rsidRPr="47FE7A71" w:rsidR="47FE7A71">
        <w:rPr>
          <w:rFonts w:ascii="Calibri" w:hAnsi="Calibri" w:cs="Calibri"/>
          <w:lang w:val="pt-BR"/>
        </w:rPr>
        <w:t>MovCEUs</w:t>
      </w:r>
      <w:proofErr w:type="spellEnd"/>
      <w:r w:rsidRPr="47FE7A71" w:rsidR="47FE7A71">
        <w:rPr>
          <w:rFonts w:ascii="Calibri" w:hAnsi="Calibri" w:cs="Calibri"/>
          <w:lang w:val="pt-BR"/>
        </w:rPr>
        <w:t xml:space="preserve"> e </w:t>
      </w:r>
      <w:proofErr w:type="spellStart"/>
      <w:r w:rsidRPr="47FE7A71" w:rsidR="47FE7A71">
        <w:rPr>
          <w:rFonts w:ascii="Calibri" w:hAnsi="Calibri" w:cs="Calibri"/>
          <w:lang w:val="pt-BR"/>
        </w:rPr>
        <w:t>CEUs</w:t>
      </w:r>
      <w:proofErr w:type="spellEnd"/>
      <w:r w:rsidRPr="47FE7A71" w:rsidR="47FE7A71">
        <w:rPr>
          <w:rFonts w:ascii="Calibri" w:hAnsi="Calibri" w:cs="Calibri"/>
          <w:lang w:val="pt-BR"/>
        </w:rPr>
        <w:t> das Artes. Realizado em Brasília, o evento reuniu cerca de 200 gestores para seminários, oficinas, palestras e debates, capacitando representantes de mais de 20 estados e 50 municípios. O objetivo foi aprimorar a gestão dos equipamentos e ampliar a oferta de atividades artísticas e culturais.</w:t>
      </w:r>
    </w:p>
    <w:p w:rsidR="47FE7A71" w:rsidP="47FE7A71" w:rsidRDefault="47FE7A71" w14:paraId="54809975" w14:textId="09423AED">
      <w:pPr>
        <w:spacing w:after="0" w:line="240" w:lineRule="auto"/>
        <w:rPr>
          <w:rFonts w:ascii="Calibri" w:hAnsi="Calibri" w:cs="Calibri"/>
          <w:lang w:val="pt-BR"/>
        </w:rPr>
      </w:pPr>
    </w:p>
    <w:p w:rsidRPr="003227CA" w:rsidR="003227CA" w:rsidP="00F2715F" w:rsidRDefault="003227CA" w14:paraId="1C0B4A1E" w14:textId="4DEBC7B4">
      <w:pPr>
        <w:spacing w:after="0" w:line="240" w:lineRule="auto"/>
        <w:rPr>
          <w:rFonts w:ascii="Calibri" w:hAnsi="Calibri" w:cs="Calibri"/>
          <w:lang w:val="pt-BR"/>
        </w:rPr>
      </w:pPr>
      <w:r w:rsidRPr="47FE7A71" w:rsidR="47FE7A71">
        <w:rPr>
          <w:rFonts w:ascii="Calibri" w:hAnsi="Calibri" w:cs="Calibri"/>
          <w:lang w:val="pt-BR"/>
        </w:rPr>
        <w:t xml:space="preserve">Além disso, a pasta promoveu seis encontros regionais no formato </w:t>
      </w:r>
      <w:r w:rsidRPr="47FE7A71" w:rsidR="47FE7A71">
        <w:rPr>
          <w:rFonts w:ascii="Calibri" w:hAnsi="Calibri" w:cs="Calibri"/>
          <w:i w:val="1"/>
          <w:iCs w:val="1"/>
          <w:lang w:val="pt-BR"/>
        </w:rPr>
        <w:t>online</w:t>
      </w:r>
      <w:r w:rsidRPr="47FE7A71" w:rsidR="47FE7A71">
        <w:rPr>
          <w:rFonts w:ascii="Calibri" w:hAnsi="Calibri" w:cs="Calibri"/>
          <w:lang w:val="pt-BR"/>
        </w:rPr>
        <w:t xml:space="preserve"> com gestores dos </w:t>
      </w:r>
      <w:r w:rsidRPr="47FE7A71" w:rsidR="47FE7A71">
        <w:rPr>
          <w:rFonts w:ascii="Calibri" w:hAnsi="Calibri" w:cs="Calibri"/>
          <w:lang w:val="pt-BR"/>
        </w:rPr>
        <w:t>CEUs</w:t>
      </w:r>
      <w:r w:rsidRPr="47FE7A71" w:rsidR="47FE7A71">
        <w:rPr>
          <w:rFonts w:ascii="Calibri" w:hAnsi="Calibri" w:cs="Calibri"/>
          <w:lang w:val="pt-BR"/>
        </w:rPr>
        <w:t xml:space="preserve"> das Artes. Entre as pautas discutidas estavam as possibilidades orçamentárias, por meio da Política Nacional Aldir Blanc de Fomento à Cultura (PNAB) para a ampliação da programação e modernização dos </w:t>
      </w:r>
      <w:r w:rsidRPr="47FE7A71" w:rsidR="47FE7A71">
        <w:rPr>
          <w:rFonts w:ascii="Calibri" w:hAnsi="Calibri" w:cs="Calibri"/>
          <w:lang w:val="pt-BR"/>
        </w:rPr>
        <w:t>CEUs</w:t>
      </w:r>
      <w:r w:rsidRPr="47FE7A71" w:rsidR="47FE7A71">
        <w:rPr>
          <w:rFonts w:ascii="Calibri" w:hAnsi="Calibri" w:cs="Calibri"/>
          <w:lang w:val="pt-BR"/>
        </w:rPr>
        <w:t xml:space="preserve"> das Artes; a apresentação do Programa Territórios da Cultura e suas relações com a proposta dos equipamentos; e as ações que a Coordenação-Geral de Articulação e Parcerias da SEEC vem desenvolvendo para ajudar na ativação cultural dos </w:t>
      </w:r>
      <w:r w:rsidRPr="47FE7A71" w:rsidR="47FE7A71">
        <w:rPr>
          <w:rFonts w:ascii="Calibri" w:hAnsi="Calibri" w:cs="Calibri"/>
          <w:lang w:val="pt-BR"/>
        </w:rPr>
        <w:t>CEUs</w:t>
      </w:r>
      <w:r w:rsidRPr="47FE7A71" w:rsidR="47FE7A71">
        <w:rPr>
          <w:rFonts w:ascii="Calibri" w:hAnsi="Calibri" w:cs="Calibri"/>
          <w:lang w:val="pt-BR"/>
        </w:rPr>
        <w:t xml:space="preserve"> existentes.</w:t>
      </w:r>
    </w:p>
    <w:p w:rsidR="47FE7A71" w:rsidP="47FE7A71" w:rsidRDefault="47FE7A71" w14:paraId="3ACDB4E4" w14:textId="0BDB5461">
      <w:pPr>
        <w:spacing w:after="0" w:line="240" w:lineRule="auto"/>
        <w:rPr>
          <w:rFonts w:ascii="Calibri" w:hAnsi="Calibri" w:cs="Calibri"/>
          <w:lang w:val="pt-BR"/>
        </w:rPr>
      </w:pPr>
    </w:p>
    <w:p w:rsidRPr="003227CA" w:rsidR="003227CA" w:rsidP="00F2715F" w:rsidRDefault="003227CA" w14:paraId="7827206F" w14:textId="77777777">
      <w:pPr>
        <w:spacing w:after="0" w:line="240" w:lineRule="auto"/>
        <w:rPr>
          <w:rFonts w:ascii="Calibri" w:hAnsi="Calibri" w:cs="Calibri"/>
          <w:lang w:val="pt-BR"/>
        </w:rPr>
      </w:pPr>
      <w:r w:rsidRPr="47FE7A71" w:rsidR="47FE7A71">
        <w:rPr>
          <w:rFonts w:ascii="Calibri" w:hAnsi="Calibri" w:cs="Calibri"/>
          <w:lang w:val="pt-BR"/>
        </w:rPr>
        <w:t xml:space="preserve">A articulação com outros ministérios também foi estratégica. Com a Secretaria Nacional da Juventude/ </w:t>
      </w:r>
      <w:proofErr w:type="spellStart"/>
      <w:r w:rsidRPr="47FE7A71" w:rsidR="47FE7A71">
        <w:rPr>
          <w:rFonts w:ascii="Calibri" w:hAnsi="Calibri" w:cs="Calibri"/>
          <w:lang w:val="pt-BR"/>
        </w:rPr>
        <w:t>Secretaria-Geral</w:t>
      </w:r>
      <w:proofErr w:type="spellEnd"/>
      <w:r w:rsidRPr="47FE7A71" w:rsidR="47FE7A71">
        <w:rPr>
          <w:rFonts w:ascii="Calibri" w:hAnsi="Calibri" w:cs="Calibri"/>
          <w:lang w:val="pt-BR"/>
        </w:rPr>
        <w:t xml:space="preserve"> da Presidência da República, foi firmado um acordo para a execução de projetos em bibliotecas do Programa Minha Casa Minha Vida. Já com o Ministério da Juventude, foi criada uma premiação de R$ 500 mil para implementar o Programa Estação Juventude em 12 </w:t>
      </w:r>
      <w:proofErr w:type="spellStart"/>
      <w:r w:rsidRPr="47FE7A71" w:rsidR="47FE7A71">
        <w:rPr>
          <w:rFonts w:ascii="Calibri" w:hAnsi="Calibri" w:cs="Calibri"/>
          <w:lang w:val="pt-BR"/>
        </w:rPr>
        <w:t>CEUs</w:t>
      </w:r>
      <w:proofErr w:type="spellEnd"/>
      <w:r w:rsidRPr="47FE7A71" w:rsidR="47FE7A71">
        <w:rPr>
          <w:rFonts w:ascii="Calibri" w:hAnsi="Calibri" w:cs="Calibri"/>
          <w:lang w:val="pt-BR"/>
        </w:rPr>
        <w:t> das Artes.</w:t>
      </w:r>
    </w:p>
    <w:p w:rsidR="47FE7A71" w:rsidP="47FE7A71" w:rsidRDefault="47FE7A71" w14:paraId="34BF4081" w14:textId="5A09008C">
      <w:pPr>
        <w:spacing w:after="0" w:line="240" w:lineRule="auto"/>
        <w:rPr>
          <w:rFonts w:ascii="Calibri" w:hAnsi="Calibri" w:cs="Calibri"/>
          <w:lang w:val="pt-BR"/>
        </w:rPr>
      </w:pPr>
    </w:p>
    <w:p w:rsidRPr="003227CA" w:rsidR="003227CA" w:rsidP="00F2715F" w:rsidRDefault="003227CA" w14:paraId="101443BB" w14:textId="77777777">
      <w:pPr>
        <w:spacing w:after="0" w:line="240" w:lineRule="auto"/>
        <w:rPr>
          <w:rFonts w:ascii="Calibri" w:hAnsi="Calibri" w:cs="Calibri"/>
          <w:lang w:val="pt-BR"/>
        </w:rPr>
      </w:pPr>
      <w:r w:rsidRPr="003227CA">
        <w:rPr>
          <w:rFonts w:ascii="Calibri" w:hAnsi="Calibri" w:cs="Calibri"/>
          <w:lang w:val="pt-BR"/>
        </w:rPr>
        <w:t xml:space="preserve">Também foi criado um curso </w:t>
      </w:r>
      <w:proofErr w:type="spellStart"/>
      <w:r w:rsidRPr="003227CA">
        <w:rPr>
          <w:rFonts w:ascii="Calibri" w:hAnsi="Calibri" w:cs="Calibri"/>
          <w:lang w:val="pt-BR"/>
        </w:rPr>
        <w:t>EaD</w:t>
      </w:r>
      <w:proofErr w:type="spellEnd"/>
      <w:r w:rsidRPr="003227CA">
        <w:rPr>
          <w:rFonts w:ascii="Calibri" w:hAnsi="Calibri" w:cs="Calibri"/>
          <w:lang w:val="pt-BR"/>
        </w:rPr>
        <w:t xml:space="preserve"> de mobilização social e mapeamento territorial para gestores dos </w:t>
      </w:r>
      <w:proofErr w:type="spellStart"/>
      <w:r w:rsidRPr="003227CA">
        <w:rPr>
          <w:rFonts w:ascii="Calibri" w:hAnsi="Calibri" w:cs="Calibri"/>
          <w:lang w:val="pt-BR"/>
        </w:rPr>
        <w:t>CEUs</w:t>
      </w:r>
      <w:proofErr w:type="spellEnd"/>
      <w:r w:rsidRPr="003227CA">
        <w:rPr>
          <w:rFonts w:ascii="Calibri" w:hAnsi="Calibri" w:cs="Calibri"/>
          <w:lang w:val="pt-BR"/>
        </w:rPr>
        <w:t xml:space="preserve"> da Cultura, que será disponibilizado na plataforma educacional da Escola Solano Trindade de Formação e Qualificação Artística, Técnica </w:t>
      </w:r>
      <w:r w:rsidRPr="003227CA">
        <w:rPr>
          <w:rFonts w:ascii="Calibri" w:hAnsi="Calibri" w:cs="Calibri"/>
          <w:lang w:val="pt-BR"/>
        </w:rPr>
        <w:t>e Cultural (</w:t>
      </w:r>
      <w:proofErr w:type="spellStart"/>
      <w:r w:rsidRPr="003227CA">
        <w:rPr>
          <w:rFonts w:ascii="Calibri" w:hAnsi="Calibri" w:cs="Calibri"/>
          <w:lang w:val="pt-BR"/>
        </w:rPr>
        <w:t>Escult</w:t>
      </w:r>
      <w:proofErr w:type="spellEnd"/>
      <w:r w:rsidRPr="003227CA">
        <w:rPr>
          <w:rFonts w:ascii="Calibri" w:hAnsi="Calibri" w:cs="Calibri"/>
          <w:lang w:val="pt-BR"/>
        </w:rPr>
        <w:t>), viabilizado através de uma parceria (TED) do MinC com o Instituto Federal de Goiás. O curso será lançado em janeiro de 2025.</w:t>
      </w:r>
    </w:p>
    <w:p w:rsidRPr="003227CA" w:rsidR="003227CA" w:rsidP="00F2715F" w:rsidRDefault="003227CA" w14:paraId="747704B8" w14:textId="77777777">
      <w:pPr>
        <w:spacing w:after="0" w:line="240" w:lineRule="auto"/>
        <w:rPr>
          <w:rFonts w:ascii="Calibri" w:hAnsi="Calibri" w:cs="Calibri"/>
          <w:b/>
          <w:bCs/>
          <w:lang w:val="pt-BR"/>
        </w:rPr>
      </w:pPr>
    </w:p>
    <w:p w:rsidRPr="003227CA" w:rsidR="003227CA" w:rsidP="00F2715F" w:rsidRDefault="003227CA" w14:paraId="14FCF1FF" w14:textId="77777777">
      <w:pPr>
        <w:spacing w:after="0" w:line="240" w:lineRule="auto"/>
        <w:rPr>
          <w:rFonts w:ascii="Calibri" w:hAnsi="Calibri" w:cs="Calibri"/>
          <w:lang w:val="pt-BR"/>
        </w:rPr>
      </w:pPr>
      <w:r w:rsidRPr="003227CA">
        <w:rPr>
          <w:rFonts w:ascii="Calibri" w:hAnsi="Calibri" w:cs="Calibri"/>
          <w:b/>
          <w:bCs/>
          <w:lang w:val="pt-BR"/>
        </w:rPr>
        <w:t>Investimento e fortalecimento institucional</w:t>
      </w:r>
    </w:p>
    <w:p w:rsidRPr="003227CA" w:rsidR="003227CA" w:rsidP="00F2715F" w:rsidRDefault="003227CA" w14:paraId="46DC6D86" w14:textId="77777777">
      <w:pPr>
        <w:spacing w:after="0" w:line="240" w:lineRule="auto"/>
        <w:rPr>
          <w:rFonts w:ascii="Calibri" w:hAnsi="Calibri" w:cs="Calibri"/>
          <w:lang w:val="pt-BR"/>
        </w:rPr>
      </w:pPr>
      <w:r w:rsidRPr="003227CA">
        <w:rPr>
          <w:rFonts w:ascii="Calibri" w:hAnsi="Calibri" w:cs="Calibri"/>
          <w:lang w:val="pt-BR"/>
        </w:rPr>
        <w:t>O orçamento para implantação, instalação e modernização de espaços e equipamentos culturais, saltou de R$ 2 milhões em 2022 para R$ 300 milhões por ano desde 2023 - um incremento 150 vezes maior em relação ao investimento anterior e vinculado ao PAC, no âmbito de uma política institucionalizada e de forte democratização do acesso cultural, focado nas áreas que mais precisam.</w:t>
      </w:r>
    </w:p>
    <w:p w:rsidR="003227CA" w:rsidRDefault="003227CA" w14:paraId="7E868BE4" w14:textId="77777777">
      <w:pPr>
        <w:rPr>
          <w:lang w:val="pt-BR"/>
        </w:rPr>
      </w:pPr>
    </w:p>
    <w:sectPr w:rsidR="003227CA">
      <w:headerReference w:type="default" r:id="rId11"/>
      <w:footerReference w:type="default" r:id="rId12"/>
      <w:endnotePr>
        <w:numFmt w:val="decimal"/>
      </w:endnotePr>
      <w:pgSz w:w="15840" w:h="12240" w:orient="landscape"/>
      <w:pgMar w:top="1440" w:right="1440" w:bottom="1440" w:left="1440" w:header="708" w:footer="708" w:gutter="0"/>
      <w:cols w:space="708" w:num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6860" w:rsidRDefault="002A6860" w14:paraId="2464B75A" w14:textId="77777777">
      <w:pPr>
        <w:spacing w:after="0" w:line="240" w:lineRule="auto"/>
      </w:pPr>
      <w:r>
        <w:separator/>
      </w:r>
    </w:p>
  </w:endnote>
  <w:endnote w:type="continuationSeparator" w:id="0">
    <w:p w:rsidR="002A6860" w:rsidRDefault="002A6860" w14:paraId="529432B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sm="smNativeData" mc:Ignorable="w14 w15 w16se w16cid w16 w16cex w16sdtdh w16sdtfl w16du wp14">
  <w:p w:rsidR="00D105D8" w:rsidRDefault="00471E6B" w14:paraId="02CC243F" w14:textId="77777777">
    <w:pPr>
      <w:pStyle w:val="Rodap"/>
      <w:ind w:right="360"/>
      <w:rPr>
        <w:color w:val="FFFFFF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3" behindDoc="1" locked="0" layoutInCell="0" hidden="0" allowOverlap="1" wp14:anchorId="02CC2446" wp14:editId="02CC2447">
              <wp:simplePos x="0" y="0"/>
              <wp:positionH relativeFrom="outsideMargin">
                <wp:posOffset>-180340</wp:posOffset>
              </wp:positionH>
              <wp:positionV relativeFrom="page">
                <wp:align>bottom</wp:align>
              </wp:positionV>
              <wp:extent cx="179705" cy="629920"/>
              <wp:effectExtent l="0" t="0" r="0" b="0"/>
              <wp:wrapNone/>
              <wp:docPr id="3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qBw4ZBMAAAAlAAAAZAAAAE0AAAAAkAAAAEgAAACQAAAASAAAAAAAAAABAAAAAAAAAAEAAABQAAAAAAAAAAAA4D8AAAAAAADgPwAAAAAAAOA/AAAAAAAA4D8AAAAAAADgPwAAAAAAAOA/AAAAAAAA4D8AAAAAAADgPwAAAAAAAOA/AAAAAAAA4D8CAAAAjAAAAAEAAAAAAAAASoXC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AAAAAAAAAAAAAAAAHAAAA5P7//wMAAAAAAAAAAAAAABsBAADgAwAAAAAAACQ3AADwKwAAKAAAAAgAAAABAAAAAQAAAA=="/>
                        </a:ext>
                      </a:extLst>
                    </wps:cNvSpPr>
                    <wps:spPr>
                      <a:xfrm>
                        <a:off x="0" y="0"/>
                        <a:ext cx="179705" cy="629920"/>
                      </a:xfrm>
                      <a:prstGeom prst="rect">
                        <a:avLst/>
                      </a:prstGeom>
                      <a:solidFill>
                        <a:srgbClr val="4A85C2"/>
                      </a:solidFill>
                      <a:ln w="12700">
                        <a:noFill/>
                      </a:ln>
                    </wps:spPr>
                    <wps:txbx>
                      <w:txbxContent>
                        <w:p w:rsidR="00D105D8" w:rsidRDefault="00D105D8" w14:paraId="02CC244B" w14:textId="77777777">
                          <w:pPr>
                            <w:jc w:val="center"/>
                          </w:pPr>
                        </w:p>
                      </w:txbxContent>
                    </wps:txbx>
                    <wps:bodyPr spcFirstLastPara="1" vertOverflow="clip" horzOverflow="clip" lIns="91440" tIns="45720" rIns="91440" bIns="45720" anchor="ctr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5" style="position:absolute;left:0;text-align:left;margin-left:-14.2pt;margin-top:0;width:14.15pt;height:49.6pt;z-index:-251658237;visibility:visible;mso-wrap-style:square;mso-wrap-distance-left:9pt;mso-wrap-distance-top:0;mso-wrap-distance-right:9pt;mso-wrap-distance-bottom:0;mso-position-horizontal:absolute;mso-position-horizontal-relative:inner-margin-area;mso-position-vertical:bottom;mso-position-vertical-relative:page;v-text-anchor:middle" o:spid="_x0000_s1027" o:allowincell="f" fillcolor="#4a85c2" stroked="f" strokeweight="1pt" w14:anchorId="02CC2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">
              <v:textbox>
                <w:txbxContent>
                  <w:p w:rsidR="00D105D8" w:rsidRDefault="00D105D8" w14:paraId="02CC244B" w14:textId="77777777">
                    <w:pPr>
                      <w:jc w:val="center"/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6860" w:rsidRDefault="002A6860" w14:paraId="7E63743C" w14:textId="77777777">
      <w:pPr>
        <w:spacing w:after="0" w:line="240" w:lineRule="auto"/>
      </w:pPr>
      <w:r>
        <w:separator/>
      </w:r>
    </w:p>
  </w:footnote>
  <w:footnote w:type="continuationSeparator" w:id="0">
    <w:p w:rsidR="002A6860" w:rsidRDefault="002A6860" w14:paraId="6705B35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sm="smNativeData" mc:Ignorable="w14 w15 w16se w16cid w16 w16cex w16sdtdh w16sdtfl w16du wp14">
  <w:p w:rsidR="00D105D8" w:rsidRDefault="00471E6B" w14:paraId="02CC243E" w14:textId="77777777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4" behindDoc="0" locked="0" layoutInCell="0" hidden="0" allowOverlap="1" wp14:anchorId="02CC2440" wp14:editId="02CC2441">
              <wp:simplePos x="0" y="0"/>
              <wp:positionH relativeFrom="margin">
                <wp:align>left</wp:align>
              </wp:positionH>
              <wp:positionV relativeFrom="page">
                <wp:posOffset>361950</wp:posOffset>
              </wp:positionV>
              <wp:extent cx="2581275" cy="114300"/>
              <wp:effectExtent l="0" t="0" r="0" b="0"/>
              <wp:wrapNone/>
              <wp:docPr id="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qBw4ZBMAAAAlAAAAZAAAAE0AAAAAAAAAAAAAAAAAAAAAA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BCgAAAAAAAAAAAAAAEAAAABAAAAAAAAAAAAAAAAAAAAOgIAAOEPAAC0AAAAAAAAAKAFAAA6AgAAKAAAAAgAAAABAAAAAQAAAA=="/>
                        </a:ext>
                      </a:extLst>
                    </wps:cNvSpPr>
                    <wps:spPr>
                      <a:xfrm>
                        <a:off x="0" y="0"/>
                        <a:ext cx="2581275" cy="114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105D8" w:rsidRDefault="00471E6B" w14:paraId="02CC2448" w14:textId="5014B1A6">
                          <w:pPr>
                            <w:rPr>
                              <w:color w:val="595959"/>
                              <w:sz w:val="16"/>
                              <w:szCs w:val="16"/>
                              <w:lang w:val="pt-BR"/>
                            </w:rPr>
                          </w:pPr>
                          <w:r w:rsidRPr="00332EFF">
                            <w:rPr>
                              <w:color w:val="595959"/>
                              <w:sz w:val="16"/>
                              <w:szCs w:val="16"/>
                              <w:lang w:val="pt-BR"/>
                            </w:rPr>
                            <w:t>Transparência e Prestação de Contas</w:t>
                          </w:r>
                          <w:r>
                            <w:rPr>
                              <w:color w:val="595959"/>
                              <w:sz w:val="16"/>
                              <w:szCs w:val="16"/>
                              <w:lang w:val="pt-BR"/>
                            </w:rPr>
                            <w:t xml:space="preserve"> – </w:t>
                          </w:r>
                          <w:r w:rsidR="00C77AB5">
                            <w:rPr>
                              <w:color w:val="595959"/>
                              <w:sz w:val="16"/>
                              <w:szCs w:val="16"/>
                              <w:lang w:val="pt-BR"/>
                            </w:rPr>
                            <w:t>4</w:t>
                          </w:r>
                          <w:r>
                            <w:rPr>
                              <w:color w:val="595959"/>
                              <w:sz w:val="16"/>
                              <w:szCs w:val="16"/>
                              <w:lang w:val="pt-BR"/>
                            </w:rPr>
                            <w:t>º trimestre de 202</w:t>
                          </w:r>
                          <w:r w:rsidR="00C77AB5">
                            <w:rPr>
                              <w:color w:val="595959"/>
                              <w:sz w:val="16"/>
                              <w:szCs w:val="16"/>
                              <w:lang w:val="pt-BR"/>
                            </w:rPr>
                            <w:t>4</w:t>
                          </w:r>
                        </w:p>
                        <w:p w:rsidR="00D105D8" w:rsidRDefault="00D105D8" w14:paraId="02CC2449" w14:textId="77777777">
                          <w:pPr>
                            <w:rPr>
                              <w:color w:val="595959"/>
                              <w:sz w:val="16"/>
                              <w:szCs w:val="16"/>
                              <w:lang w:val="pt-BR"/>
                            </w:rPr>
                          </w:pP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3" style="position:absolute;left:0;text-align:left;margin-left:0;margin-top:28.5pt;width:203.25pt;height:9pt;z-index:2516582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page;v-text-anchor:top" o:spid="_x0000_s1026" o:allowincell="f" stroked="f" strokeweight=".5pt" w14:anchorId="02CC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">
              <v:textbox inset="0,0,0,0">
                <w:txbxContent>
                  <w:p w:rsidR="00D105D8" w:rsidRDefault="00471E6B" w14:paraId="02CC2448" w14:textId="5014B1A6">
                    <w:pPr>
                      <w:rPr>
                        <w:color w:val="595959"/>
                        <w:sz w:val="16"/>
                        <w:szCs w:val="16"/>
                        <w:lang w:val="pt-BR"/>
                      </w:rPr>
                    </w:pPr>
                    <w:r w:rsidRPr="00332EFF">
                      <w:rPr>
                        <w:color w:val="595959"/>
                        <w:sz w:val="16"/>
                        <w:szCs w:val="16"/>
                        <w:lang w:val="pt-BR"/>
                      </w:rPr>
                      <w:t>Transparência e Prestação de Contas</w:t>
                    </w:r>
                    <w:r>
                      <w:rPr>
                        <w:color w:val="595959"/>
                        <w:sz w:val="16"/>
                        <w:szCs w:val="16"/>
                        <w:lang w:val="pt-BR"/>
                      </w:rPr>
                      <w:t xml:space="preserve"> – </w:t>
                    </w:r>
                    <w:r w:rsidR="00C77AB5">
                      <w:rPr>
                        <w:color w:val="595959"/>
                        <w:sz w:val="16"/>
                        <w:szCs w:val="16"/>
                        <w:lang w:val="pt-BR"/>
                      </w:rPr>
                      <w:t>4</w:t>
                    </w:r>
                    <w:r>
                      <w:rPr>
                        <w:color w:val="595959"/>
                        <w:sz w:val="16"/>
                        <w:szCs w:val="16"/>
                        <w:lang w:val="pt-BR"/>
                      </w:rPr>
                      <w:t>º trimestre de 202</w:t>
                    </w:r>
                    <w:r w:rsidR="00C77AB5">
                      <w:rPr>
                        <w:color w:val="595959"/>
                        <w:sz w:val="16"/>
                        <w:szCs w:val="16"/>
                        <w:lang w:val="pt-BR"/>
                      </w:rPr>
                      <w:t>4</w:t>
                    </w:r>
                  </w:p>
                  <w:p w:rsidR="00D105D8" w:rsidRDefault="00D105D8" w14:paraId="02CC2449" w14:textId="77777777">
                    <w:pPr>
                      <w:rPr>
                        <w:color w:val="595959"/>
                        <w:sz w:val="16"/>
                        <w:szCs w:val="16"/>
                        <w:lang w:val="pt-BR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5" behindDoc="0" locked="0" layoutInCell="0" hidden="0" allowOverlap="1" wp14:anchorId="02CC2442" wp14:editId="02CC2443">
              <wp:simplePos x="0" y="0"/>
              <wp:positionH relativeFrom="column">
                <wp:posOffset>-914400</wp:posOffset>
              </wp:positionH>
              <wp:positionV relativeFrom="paragraph">
                <wp:posOffset>-124460</wp:posOffset>
              </wp:positionV>
              <wp:extent cx="629920" cy="180340"/>
              <wp:effectExtent l="0" t="0" r="0" b="0"/>
              <wp:wrapNone/>
              <wp:docPr id="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qBw4ZBMAAAAlAAAAZAAAAE0AAAAAkAAAAEgAAACQAAAASAAAAAAAAAABAAAAAAAAAAEAAABQAAAAAAAAAAAA4D8AAAAAAADgPwAAAAAAAOA/AAAAAAAA4D8AAAAAAADgPwAAAAAAAOA/AAAAAAAA4D8AAAAAAADgPwAAAAAAAOA/AAAAAAAA4D8CAAAAjAAAAAEAAAAAAAAASoXC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BCgAAAAAAAAAAAAAAAAAAACAAAAYPr//wAAAAACAAAAPP///+ADAAAcAQAAAAAAAAAAAAAAAgAAKAAAAAgAAAABAAAAAQAAAA=="/>
                        </a:ext>
                      </a:extLst>
                    </wps:cNvSpPr>
                    <wps:spPr>
                      <a:xfrm>
                        <a:off x="0" y="0"/>
                        <a:ext cx="629920" cy="180340"/>
                      </a:xfrm>
                      <a:prstGeom prst="rect">
                        <a:avLst/>
                      </a:prstGeom>
                      <a:solidFill>
                        <a:srgbClr val="4A85C2"/>
                      </a:solidFill>
                      <a:ln w="12700">
                        <a:noFill/>
                      </a:ln>
                    </wps:spPr>
                    <wps:bodyPr spcFirstLastPara="1" vertOverflow="clip" horzOverflow="clip" lIns="91440" tIns="45720" rIns="91440" bIns="45720" anchor="ctr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style="position:absolute;margin-left:-1in;margin-top:-9.8pt;width:49.6pt;height:14.2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o:allowincell="f" fillcolor="#4a85c2" stroked="f" strokeweight="1pt" w14:anchorId="196A0F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"/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>
  <int2:observations>
    <int2:textHash int2:hashCode="IiGQycq0IGS3OJ" int2:id="ZgCNBXXy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4EAB"/>
    <w:multiLevelType w:val="hybridMultilevel"/>
    <w:tmpl w:val="67B4B9D4"/>
    <w:name w:val="Lista numerada 3"/>
    <w:lvl w:ilvl="0" w:tplc="881070A2">
      <w:numFmt w:val="bullet"/>
      <w:pStyle w:val="PargrafodaLista"/>
      <w:lvlText w:val=""/>
      <w:lvlJc w:val="left"/>
      <w:pPr>
        <w:ind w:left="360" w:firstLine="0"/>
      </w:pPr>
      <w:rPr>
        <w:rFonts w:ascii="Symbol" w:hAnsi="Symbol"/>
      </w:rPr>
    </w:lvl>
    <w:lvl w:ilvl="1" w:tplc="7AA6D4E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C6A8C3B2">
      <w:numFmt w:val="bullet"/>
      <w:lvlText w:val=""/>
      <w:lvlJc w:val="left"/>
      <w:pPr>
        <w:ind w:left="1800" w:firstLine="0"/>
      </w:pPr>
      <w:rPr>
        <w:rFonts w:ascii="Wingdings" w:hAnsi="Wingdings" w:eastAsia="Wingdings" w:cs="Wingdings"/>
      </w:rPr>
    </w:lvl>
    <w:lvl w:ilvl="3" w:tplc="27DEFD4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41C6D1C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2F8272E">
      <w:numFmt w:val="bullet"/>
      <w:lvlText w:val=""/>
      <w:lvlJc w:val="left"/>
      <w:pPr>
        <w:ind w:left="3960" w:firstLine="0"/>
      </w:pPr>
      <w:rPr>
        <w:rFonts w:ascii="Wingdings" w:hAnsi="Wingdings" w:eastAsia="Wingdings" w:cs="Wingdings"/>
      </w:rPr>
    </w:lvl>
    <w:lvl w:ilvl="6" w:tplc="74F0AD3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20E65FD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209C4DE2">
      <w:numFmt w:val="bullet"/>
      <w:lvlText w:val=""/>
      <w:lvlJc w:val="left"/>
      <w:pPr>
        <w:ind w:left="6120" w:firstLine="0"/>
      </w:pPr>
      <w:rPr>
        <w:rFonts w:ascii="Wingdings" w:hAnsi="Wingdings" w:eastAsia="Wingdings" w:cs="Wingdings"/>
      </w:rPr>
    </w:lvl>
  </w:abstractNum>
  <w:abstractNum w:abstractNumId="1" w15:restartNumberingAfterBreak="0">
    <w:nsid w:val="26FE0E55"/>
    <w:multiLevelType w:val="hybridMultilevel"/>
    <w:tmpl w:val="2EA24DA6"/>
    <w:name w:val="Lista numerada 2"/>
    <w:lvl w:ilvl="0" w:tplc="4668588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F2903EE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55C8D34">
      <w:numFmt w:val="bullet"/>
      <w:lvlText w:val=""/>
      <w:lvlJc w:val="left"/>
      <w:pPr>
        <w:ind w:left="1800" w:firstLine="0"/>
      </w:pPr>
      <w:rPr>
        <w:rFonts w:ascii="Wingdings" w:hAnsi="Wingdings" w:eastAsia="Wingdings" w:cs="Wingdings"/>
      </w:rPr>
    </w:lvl>
    <w:lvl w:ilvl="3" w:tplc="8320C1E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0898129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9708338">
      <w:numFmt w:val="bullet"/>
      <w:lvlText w:val=""/>
      <w:lvlJc w:val="left"/>
      <w:pPr>
        <w:ind w:left="3960" w:firstLine="0"/>
      </w:pPr>
      <w:rPr>
        <w:rFonts w:ascii="Wingdings" w:hAnsi="Wingdings" w:eastAsia="Wingdings" w:cs="Wingdings"/>
      </w:rPr>
    </w:lvl>
    <w:lvl w:ilvl="6" w:tplc="76A0678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E8D4C68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AC1C2988">
      <w:numFmt w:val="bullet"/>
      <w:lvlText w:val=""/>
      <w:lvlJc w:val="left"/>
      <w:pPr>
        <w:ind w:left="6120" w:firstLine="0"/>
      </w:pPr>
      <w:rPr>
        <w:rFonts w:ascii="Wingdings" w:hAnsi="Wingdings" w:eastAsia="Wingdings" w:cs="Wingdings"/>
      </w:rPr>
    </w:lvl>
  </w:abstractNum>
  <w:abstractNum w:abstractNumId="2" w15:restartNumberingAfterBreak="0">
    <w:nsid w:val="6C931FE3"/>
    <w:multiLevelType w:val="hybridMultilevel"/>
    <w:tmpl w:val="DD267E96"/>
    <w:lvl w:ilvl="0" w:tplc="C0D6677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1C72BFA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0CE15A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D428D7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126032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47D2B96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AF0099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B61E35D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04CC52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1E94FAB"/>
    <w:multiLevelType w:val="hybridMultilevel"/>
    <w:tmpl w:val="15B66144"/>
    <w:name w:val="Lista numerada 1"/>
    <w:lvl w:ilvl="0" w:tplc="D1B6CBDC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6F14E03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34C4C0C">
      <w:numFmt w:val="bullet"/>
      <w:lvlText w:val=""/>
      <w:lvlJc w:val="left"/>
      <w:pPr>
        <w:ind w:left="1800" w:firstLine="0"/>
      </w:pPr>
      <w:rPr>
        <w:rFonts w:ascii="Wingdings" w:hAnsi="Wingdings" w:eastAsia="Wingdings" w:cs="Wingdings"/>
      </w:rPr>
    </w:lvl>
    <w:lvl w:ilvl="3" w:tplc="CA301E6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0CA2DF6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63042EC2">
      <w:numFmt w:val="bullet"/>
      <w:lvlText w:val=""/>
      <w:lvlJc w:val="left"/>
      <w:pPr>
        <w:ind w:left="3960" w:firstLine="0"/>
      </w:pPr>
      <w:rPr>
        <w:rFonts w:ascii="Wingdings" w:hAnsi="Wingdings" w:eastAsia="Wingdings" w:cs="Wingdings"/>
      </w:rPr>
    </w:lvl>
    <w:lvl w:ilvl="6" w:tplc="4EDCCF4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5066D6E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4A0B3D2">
      <w:numFmt w:val="bullet"/>
      <w:lvlText w:val=""/>
      <w:lvlJc w:val="left"/>
      <w:pPr>
        <w:ind w:left="6120" w:firstLine="0"/>
      </w:pPr>
      <w:rPr>
        <w:rFonts w:ascii="Wingdings" w:hAnsi="Wingdings" w:eastAsia="Wingdings" w:cs="Wingdings"/>
      </w:rPr>
    </w:lvl>
  </w:abstractNum>
  <w:num w:numId="1" w16cid:durableId="246887145">
    <w:abstractNumId w:val="3"/>
  </w:num>
  <w:num w:numId="2" w16cid:durableId="2048603546">
    <w:abstractNumId w:val="1"/>
  </w:num>
  <w:num w:numId="3" w16cid:durableId="1320160327">
    <w:abstractNumId w:val="0"/>
  </w:num>
  <w:num w:numId="4" w16cid:durableId="440800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283"/>
  <w:drawingGridVerticalSpacing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5D8"/>
    <w:rsid w:val="00095F3F"/>
    <w:rsid w:val="00194F5E"/>
    <w:rsid w:val="002A6860"/>
    <w:rsid w:val="002B4711"/>
    <w:rsid w:val="002D6CCB"/>
    <w:rsid w:val="002E7287"/>
    <w:rsid w:val="00301EB6"/>
    <w:rsid w:val="003227CA"/>
    <w:rsid w:val="00332EFF"/>
    <w:rsid w:val="003D2FA3"/>
    <w:rsid w:val="003E20C0"/>
    <w:rsid w:val="00471E6B"/>
    <w:rsid w:val="004A7FF2"/>
    <w:rsid w:val="00514B47"/>
    <w:rsid w:val="00531BEB"/>
    <w:rsid w:val="00543806"/>
    <w:rsid w:val="005A594E"/>
    <w:rsid w:val="006B3DFB"/>
    <w:rsid w:val="009C7615"/>
    <w:rsid w:val="00A736B2"/>
    <w:rsid w:val="00C77AB5"/>
    <w:rsid w:val="00CC0653"/>
    <w:rsid w:val="00D105D8"/>
    <w:rsid w:val="00DC77D2"/>
    <w:rsid w:val="00F2715F"/>
    <w:rsid w:val="1E5902C1"/>
    <w:rsid w:val="2B58407A"/>
    <w:rsid w:val="2EB12822"/>
    <w:rsid w:val="47FE7A71"/>
    <w:rsid w:val="5731C505"/>
    <w:rsid w:val="6175D8A7"/>
    <w:rsid w:val="65FAC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C242E"/>
  <w15:docId w15:val="{AF2BC8E3-6BCF-49B2-A18C-25E88087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sz w:val="24"/>
        <w:szCs w:val="24"/>
        <w:lang w:val="pt-BR" w:eastAsia="zh-CN" w:bidi="ar-SA"/>
      </w:rPr>
    </w:rPrDefault>
    <w:pPrDefault>
      <w:pPr>
        <w:spacing w:after="240" w:line="26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 Light" w:hAnsi="Calibri Light"/>
      <w:lang w:val="en-US"/>
    </w:rPr>
  </w:style>
  <w:style w:type="paragraph" w:styleId="Ttulo1">
    <w:name w:val="heading 1"/>
    <w:basedOn w:val="Normal"/>
    <w:next w:val="Normal"/>
    <w:qFormat/>
    <w:pPr>
      <w:pBdr>
        <w:top w:val="nil"/>
        <w:left w:val="nil"/>
        <w:bottom w:val="single" w:color="4A85C2" w:sz="18" w:space="6"/>
        <w:right w:val="nil"/>
        <w:between w:val="nil"/>
      </w:pBdr>
      <w:outlineLvl w:val="0"/>
    </w:pPr>
    <w:rPr>
      <w:rFonts w:ascii="Impact" w:hAnsi="Impact"/>
      <w:color w:val="4A85C2"/>
      <w:sz w:val="28"/>
      <w:szCs w:val="28"/>
      <w:lang w:val="pt-BR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SemEspaamento">
    <w:name w:val="No Spacing"/>
    <w:basedOn w:val="Normal"/>
    <w:qFormat/>
    <w:pPr>
      <w:spacing w:before="120" w:line="240" w:lineRule="auto"/>
      <w:jc w:val="right"/>
    </w:pPr>
    <w:rPr>
      <w:sz w:val="18"/>
      <w:szCs w:val="18"/>
      <w:lang w:val="pt-BR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/>
    </w:rPr>
  </w:style>
  <w:style w:type="paragraph" w:styleId="Unidade" w:customStyle="1">
    <w:name w:val="Unidade"/>
    <w:basedOn w:val="Ttulo1"/>
    <w:qFormat/>
    <w:pPr>
      <w:pBdr>
        <w:bottom w:val="nil"/>
      </w:pBdr>
      <w:spacing w:after="480" w:line="240" w:lineRule="auto"/>
      <w:jc w:val="left"/>
    </w:pPr>
    <w:rPr>
      <w:sz w:val="32"/>
      <w:szCs w:val="32"/>
    </w:rPr>
  </w:style>
  <w:style w:type="paragraph" w:styleId="Ttulo10" w:customStyle="1">
    <w:name w:val="Título1"/>
    <w:basedOn w:val="Normal"/>
    <w:qFormat/>
    <w:rPr>
      <w:b/>
      <w:bCs/>
      <w:sz w:val="22"/>
      <w:szCs w:val="22"/>
      <w:lang w:val="pt-BR"/>
    </w:rPr>
  </w:style>
  <w:style w:type="paragraph" w:styleId="PargrafodaLista">
    <w:name w:val="List Paragraph"/>
    <w:basedOn w:val="Normal"/>
    <w:qFormat/>
    <w:pPr>
      <w:numPr>
        <w:numId w:val="3"/>
      </w:numPr>
      <w:ind w:left="284" w:hanging="284"/>
      <w:contextualSpacing/>
    </w:pPr>
    <w:rPr>
      <w:lang w:val="pt-BR"/>
    </w:rPr>
  </w:style>
  <w:style w:type="paragraph" w:styleId="Heading2" w:customStyle="1">
    <w:name w:val="Heading2"/>
    <w:basedOn w:val="Normal"/>
    <w:qFormat/>
    <w:rPr>
      <w:color w:val="5885BD"/>
      <w:sz w:val="28"/>
      <w:szCs w:val="28"/>
      <w:lang w:val="pt-BR"/>
    </w:rPr>
  </w:style>
  <w:style w:type="paragraph" w:styleId="Heading3" w:customStyle="1">
    <w:name w:val="Heading3"/>
    <w:basedOn w:val="Normal"/>
    <w:qFormat/>
    <w:rPr>
      <w:color w:val="5885BD"/>
      <w:lang w:val="pt-BR"/>
    </w:rPr>
  </w:style>
  <w:style w:type="paragraph" w:styleId="Tabela-body" w:customStyle="1">
    <w:name w:val="Tabela - body"/>
    <w:basedOn w:val="Normal"/>
    <w:qFormat/>
    <w:pPr>
      <w:spacing w:after="0" w:line="240" w:lineRule="auto"/>
      <w:jc w:val="center"/>
    </w:pPr>
    <w:rPr>
      <w:rFonts w:eastAsia="Times New Roman"/>
      <w:color w:val="000000"/>
      <w:sz w:val="20"/>
      <w:szCs w:val="20"/>
      <w:lang w:val="pt-BR"/>
    </w:rPr>
  </w:style>
  <w:style w:type="paragraph" w:styleId="Tabela-header" w:customStyle="1">
    <w:name w:val="Tabela - header"/>
    <w:basedOn w:val="Normal"/>
    <w:qFormat/>
    <w:pPr>
      <w:spacing w:after="0" w:line="240" w:lineRule="auto"/>
      <w:jc w:val="center"/>
    </w:pPr>
    <w:rPr>
      <w:rFonts w:eastAsia="Times New Roman"/>
      <w:b/>
      <w:bCs/>
      <w:color w:val="FFFFFF"/>
      <w:sz w:val="18"/>
      <w:szCs w:val="18"/>
      <w:lang w:val="pt-BR"/>
    </w:rPr>
  </w:style>
  <w:style w:type="character" w:styleId="Ttulo1Char" w:customStyle="1">
    <w:name w:val="Título 1 Char"/>
    <w:basedOn w:val="Fontepargpadro"/>
    <w:rPr>
      <w:rFonts w:ascii="Impact" w:hAnsi="Impact"/>
      <w:color w:val="4A85C2"/>
      <w:sz w:val="28"/>
      <w:szCs w:val="28"/>
      <w:lang w:val="pt-BR"/>
    </w:rPr>
  </w:style>
  <w:style w:type="character" w:styleId="CabealhoChar" w:customStyle="1">
    <w:name w:val="Cabeçalho Char"/>
    <w:basedOn w:val="Fontepargpadro"/>
    <w:rPr>
      <w:rFonts w:ascii="Calibri Light" w:hAnsi="Calibri Light"/>
      <w:lang w:val="en-US"/>
    </w:rPr>
  </w:style>
  <w:style w:type="character" w:styleId="RodapChar" w:customStyle="1">
    <w:name w:val="Rodapé Char"/>
    <w:basedOn w:val="Fontepargpadro"/>
    <w:rPr>
      <w:rFonts w:ascii="Calibri Light" w:hAnsi="Calibri Light"/>
      <w:lang w:val="en-US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uiPriority w:val="59"/>
    <w:rPr>
      <w:rFonts w:ascii="Calibri Light" w:hAnsi="Calibri Light"/>
      <w:color w:val="404040"/>
      <w:sz w:val="20"/>
    </w:rPr>
    <w:tblPr>
      <w:tblStyleRowBandSize w:val="1"/>
      <w:tblBorders>
        <w:insideV w:val="single" w:color="F2F2F2" w:sz="4" w:space="0"/>
      </w:tblBorders>
      <w:tblCellMar>
        <w:top w:w="113" w:type="dxa"/>
        <w:left w:w="170" w:type="dxa"/>
        <w:bottom w:w="113" w:type="dxa"/>
        <w:right w:w="170" w:type="dxa"/>
      </w:tblCellMar>
    </w:tblPr>
    <w:tblStylePr w:type="firstRow">
      <w:pPr>
        <w:jc w:val="center"/>
      </w:pPr>
      <w:rPr>
        <w:rFonts w:ascii="Calibri" w:hAnsi="Calibri"/>
        <w:color w:val="FFFFFF"/>
      </w:rPr>
      <w:tblPr/>
      <w:tcPr>
        <w:shd w:val="solid" w:color="5885BD" w:fill="auto"/>
      </w:tcPr>
    </w:tblStylePr>
    <w:tblStylePr w:type="lastRow">
      <w:tblPr/>
      <w:tcPr>
        <w:tcBorders>
          <w:bottom w:val="single" w:color="5885BD" w:sz="4" w:space="0"/>
        </w:tcBorders>
      </w:tcPr>
    </w:tblStylePr>
    <w:tblStylePr w:type="band1Horz">
      <w:tblPr/>
      <w:tcPr>
        <w:shd w:val="solid" w:color="E7EBF6" w:fill="auto"/>
      </w:tcPr>
    </w:tblStylePr>
  </w:style>
  <w:style w:type="table" w:styleId="TabeladeGrade1Clara-nfase61" w:customStyle="1">
    <w:name w:val="Tabela de Grade 1 Clara - Ênfase 61"/>
    <w:basedOn w:val="Tabelanormal"/>
    <w:uiPriority w:val="46"/>
    <w:tblPr>
      <w:tblStyleRowBandSize w:val="1"/>
      <w:tblStyleColBandSize w:val="1"/>
      <w:tblBorders>
        <w:top w:val="single" w:color="C5E0B3" w:sz="4" w:space="0"/>
        <w:left w:val="single" w:color="C5E0B3" w:sz="4" w:space="0"/>
        <w:bottom w:val="single" w:color="C5E0B3" w:sz="4" w:space="0"/>
        <w:right w:val="single" w:color="C5E0B3" w:sz="4" w:space="0"/>
        <w:insideH w:val="single" w:color="C5E0B3" w:sz="4" w:space="0"/>
        <w:insideV w:val="single" w:color="C5E0B3" w:sz="4" w:space="0"/>
      </w:tblBorders>
    </w:tblPr>
    <w:tblStylePr w:type="firstRow">
      <w:rPr>
        <w:b/>
        <w:bCs/>
      </w:rPr>
      <w:tblPr/>
      <w:tcPr>
        <w:tcBorders>
          <w:bottom w:val="single" w:color="A8D08D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sz="6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1" w:customStyle="1">
    <w:name w:val="Tabela de Grade Clara1"/>
    <w:basedOn w:val="Tabelanormal"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styleId="SimplesTabela11" w:customStyle="1">
    <w:name w:val="Simples Tabela 11"/>
    <w:basedOn w:val="Tabelanormal"/>
    <w:uiPriority w:val="41"/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sz="1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F2F2F2" w:fill="auto"/>
      </w:tcPr>
    </w:tblStylePr>
    <w:tblStylePr w:type="band1Horz">
      <w:tblPr/>
      <w:tcPr>
        <w:shd w:val="solid" w:color="F2F2F2" w:fill="auto"/>
      </w:tcPr>
    </w:tblStylePr>
  </w:style>
  <w:style w:type="table" w:styleId="SimplesTabela21" w:customStyle="1">
    <w:name w:val="Simples Tabela 21"/>
    <w:basedOn w:val="Tabelanormal"/>
    <w:uiPriority w:val="42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bCs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2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1Horz">
      <w:tblPr/>
      <w:tcPr>
        <w:tcBorders>
          <w:top w:val="single" w:color="7F7F7F" w:sz="4" w:space="0"/>
          <w:bottom w:val="single" w:color="7F7F7F" w:sz="4" w:space="0"/>
        </w:tcBorders>
      </w:tcPr>
    </w:tblStylePr>
  </w:style>
  <w:style w:type="table" w:styleId="SimplesTabela31" w:customStyle="1">
    <w:name w:val="Simples Tabela 31"/>
    <w:basedOn w:val="Tabelanormal"/>
    <w:uiPriority w:val="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bCs/>
        <w:caps/>
      </w:rPr>
    </w:tblStylePr>
    <w:tblStylePr w:type="firstCol">
      <w:rPr>
        <w:b/>
        <w:bCs/>
        <w:caps/>
      </w:rPr>
      <w:tblPr/>
      <w:tcPr>
        <w:tcBorders>
          <w:right w:val="single" w:color="7F7F7F" w:sz="4" w:space="0"/>
        </w:tcBorders>
      </w:tcPr>
    </w:tblStylePr>
    <w:tblStylePr w:type="lastCol">
      <w:rPr>
        <w:b/>
        <w:bCs/>
        <w:caps/>
      </w:rPr>
    </w:tblStylePr>
    <w:tblStylePr w:type="band1Vert">
      <w:tblPr/>
      <w:tcPr>
        <w:shd w:val="solid" w:color="F2F2F2" w:fill="auto"/>
      </w:tcPr>
    </w:tblStylePr>
    <w:tblStylePr w:type="band1Horz">
      <w:tblPr/>
      <w:tcPr>
        <w:shd w:val="solid" w:color="F2F2F2" w:fill="auto"/>
      </w:tcPr>
    </w:tblStylePr>
  </w:style>
  <w:style w:type="character" w:styleId="TextodenotaderodapChar" w:customStyle="1">
    <w:name w:val="Texto de nota de rodapé Char"/>
    <w:basedOn w:val="Fontepargpadro"/>
    <w:link w:val="Textodenotaderodap"/>
    <w:uiPriority w:val="99"/>
    <w:rsid w:val="00C77AB5"/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77AB5"/>
    <w:pPr>
      <w:spacing w:after="0" w:line="240" w:lineRule="auto"/>
      <w:jc w:val="left"/>
    </w:pPr>
    <w:rPr>
      <w:rFonts w:ascii="Calibri" w:hAnsi="Calibri"/>
      <w:sz w:val="20"/>
      <w:szCs w:val="20"/>
      <w:lang w:val="pt-BR"/>
    </w:rPr>
  </w:style>
  <w:style w:type="character" w:styleId="TextodenotaderodapChar1" w:customStyle="1">
    <w:name w:val="Texto de nota de rodapé Char1"/>
    <w:basedOn w:val="Fontepargpadro"/>
    <w:uiPriority w:val="99"/>
    <w:rsid w:val="00C77AB5"/>
    <w:rPr>
      <w:rFonts w:ascii="Calibri Light" w:hAnsi="Calibri Light"/>
      <w:sz w:val="20"/>
      <w:szCs w:val="20"/>
      <w:lang w:val="en-US"/>
    </w:rPr>
  </w:style>
  <w:style w:type="character" w:styleId="Hyperlink">
    <w:name w:val="Hyperlink"/>
    <w:basedOn w:val="Fontepargpadro"/>
    <w:uiPriority w:val="99"/>
    <w:rsid w:val="00514B4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14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www.in.gov.br/en/web/dou/-/portaria-minc-n-68-de-29-de-setembro-de-2023-513840797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microsoft.com/office/2020/10/relationships/intelligence" Target="intelligence2.xml" Id="Rafc4283a8280453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Impact"/>
        <a:ea typeface="Calibri"/>
        <a:cs typeface="Times New Roman"/>
      </a:majorFont>
      <a:minorFont>
        <a:latin typeface="Calibri Light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b4926d-acbd-4078-80aa-364300a6e3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FF90457B8F8409F6C7AE72D71A1E2" ma:contentTypeVersion="6" ma:contentTypeDescription="Create a new document." ma:contentTypeScope="" ma:versionID="9eea61c054497a03fe14c664a20b4efc">
  <xsd:schema xmlns:xsd="http://www.w3.org/2001/XMLSchema" xmlns:xs="http://www.w3.org/2001/XMLSchema" xmlns:p="http://schemas.microsoft.com/office/2006/metadata/properties" xmlns:ns3="d0b4926d-acbd-4078-80aa-364300a6e3aa" targetNamespace="http://schemas.microsoft.com/office/2006/metadata/properties" ma:root="true" ma:fieldsID="107fe03300ed5a430800b222e9f04d51" ns3:_="">
    <xsd:import namespace="d0b4926d-acbd-4078-80aa-364300a6e3a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4926d-acbd-4078-80aa-364300a6e3a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55CF9E-295C-401F-99E7-D430A6E01568}">
  <ds:schemaRefs>
    <ds:schemaRef ds:uri="http://schemas.microsoft.com/office/2006/metadata/properties"/>
    <ds:schemaRef ds:uri="http://schemas.microsoft.com/office/infopath/2007/PartnerControls"/>
    <ds:schemaRef ds:uri="d0b4926d-acbd-4078-80aa-364300a6e3aa"/>
  </ds:schemaRefs>
</ds:datastoreItem>
</file>

<file path=customXml/itemProps2.xml><?xml version="1.0" encoding="utf-8"?>
<ds:datastoreItem xmlns:ds="http://schemas.openxmlformats.org/officeDocument/2006/customXml" ds:itemID="{04072543-D39E-410C-AF41-B493FCEC09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407D83-AEF5-4369-8202-EC5CDE702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b4926d-acbd-4078-80aa-364300a6e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m62430</dc:creator>
  <lastModifiedBy>Usuário Convidado</lastModifiedBy>
  <revision>3</revision>
  <dcterms:created xsi:type="dcterms:W3CDTF">2025-01-31T21:12:00.0000000Z</dcterms:created>
  <dcterms:modified xsi:type="dcterms:W3CDTF">2025-01-31T21:21:35.5243302Z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0x010100E87FF90457B8F8409F6C7AE72D71A1E2</vt:lpwstr>
  </property>
  <property fmtid="{D5CDD505-2E9C-101B-9397-08002B2CF9AE}" pid="3" name="MediaServiceImageTags">
    <vt:lpwstr/>
  </property>
</Properties>
</file>