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CD44D5" w:rsidP="543DB0D0" w:rsidRDefault="00CD44D5" w14:paraId="2F60796B" w14:textId="77777777" w14:noSpellErr="1">
      <w:pPr>
        <w:pStyle w:val="Unidade"/>
        <w:spacing w:after="240" w:afterAutospacing="off"/>
        <w:rPr>
          <w:rFonts w:ascii="Impact" w:hAnsi="Impact" w:eastAsia="Impact" w:cs="Impact" w:asciiTheme="majorAscii" w:hAnsiTheme="majorAscii" w:eastAsiaTheme="majorAscii" w:cstheme="majorAscii"/>
          <w:color w:val="0070C0"/>
        </w:rPr>
      </w:pPr>
      <w:r w:rsidRPr="543DB0D0" w:rsidR="543DB0D0">
        <w:rPr>
          <w:rFonts w:ascii="Impact" w:hAnsi="Impact" w:eastAsia="Impact" w:cs="Impact" w:asciiTheme="majorAscii" w:hAnsiTheme="majorAscii" w:eastAsiaTheme="majorAscii" w:cstheme="majorAscii"/>
          <w:color w:val="0070C0"/>
        </w:rPr>
        <w:t xml:space="preserve">Secretaria dos Comitês de Cultura (SCC) </w:t>
      </w:r>
    </w:p>
    <w:p w:rsidR="00CD44D5" w:rsidP="543DB0D0" w:rsidRDefault="00CD44D5" w14:paraId="231EDB4F" w14:textId="77777777" w14:noSpellErr="1">
      <w:pPr>
        <w:pStyle w:val="Ttulo1"/>
        <w:spacing w:after="240" w:afterAutospacing="off"/>
        <w:rPr>
          <w:rFonts w:ascii="Impact" w:hAnsi="Impact" w:eastAsia="Impact" w:cs="Impact" w:asciiTheme="majorAscii" w:hAnsiTheme="majorAscii" w:eastAsiaTheme="majorAscii" w:cstheme="majorAscii"/>
          <w:color w:val="0070C0"/>
        </w:rPr>
      </w:pPr>
      <w:r w:rsidRPr="543DB0D0" w:rsidR="543DB0D0">
        <w:rPr>
          <w:rFonts w:ascii="Impact" w:hAnsi="Impact" w:eastAsia="Impact" w:cs="Impact" w:asciiTheme="majorAscii" w:hAnsiTheme="majorAscii" w:eastAsiaTheme="majorAscii" w:cstheme="majorAscii"/>
          <w:color w:val="0070C0"/>
        </w:rPr>
        <w:t>Quem somos?</w:t>
      </w:r>
    </w:p>
    <w:p w:rsidRPr="005E1E73" w:rsidR="00CD44D5" w:rsidP="3124799E" w:rsidRDefault="00CD44D5" w14:paraId="71D02C94" w14:textId="77777777">
      <w:pPr>
        <w:pStyle w:val="NormalWeb"/>
        <w:spacing w:line="264" w:lineRule="auto"/>
        <w:jc w:val="both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 xml:space="preserve">A </w:t>
      </w:r>
      <w:r w:rsidRPr="3124799E" w:rsidR="3124799E">
        <w:rPr>
          <w:rFonts w:ascii="Calibri" w:hAnsi="Calibri" w:cs="Calibri"/>
          <w:noProof w:val="0"/>
          <w:lang w:val="pt-BR"/>
        </w:rPr>
        <w:t>Secretaria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dos </w:t>
      </w:r>
      <w:r w:rsidRPr="3124799E" w:rsidR="3124799E">
        <w:rPr>
          <w:rFonts w:ascii="Calibri" w:hAnsi="Calibri" w:cs="Calibri"/>
          <w:noProof w:val="0"/>
          <w:lang w:val="pt-BR"/>
        </w:rPr>
        <w:t>Comitês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Cultura (SCC) é </w:t>
      </w:r>
      <w:r w:rsidRPr="3124799E" w:rsidR="3124799E">
        <w:rPr>
          <w:rFonts w:ascii="Calibri" w:hAnsi="Calibri" w:cs="Calibri"/>
          <w:noProof w:val="0"/>
          <w:lang w:val="pt-BR"/>
        </w:rPr>
        <w:t>responsável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pela </w:t>
      </w:r>
      <w:r w:rsidRPr="3124799E" w:rsidR="3124799E">
        <w:rPr>
          <w:rFonts w:ascii="Calibri" w:hAnsi="Calibri" w:cs="Calibri"/>
          <w:noProof w:val="0"/>
          <w:lang w:val="pt-BR"/>
        </w:rPr>
        <w:t>presença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 </w:t>
      </w:r>
      <w:r w:rsidRPr="3124799E" w:rsidR="3124799E">
        <w:rPr>
          <w:rFonts w:ascii="Calibri" w:hAnsi="Calibri" w:cs="Calibri"/>
          <w:noProof w:val="0"/>
          <w:lang w:val="pt-BR"/>
        </w:rPr>
        <w:t>Ministério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 Cultura (</w:t>
      </w:r>
      <w:r w:rsidRPr="3124799E" w:rsidR="3124799E">
        <w:rPr>
          <w:rFonts w:ascii="Calibri" w:hAnsi="Calibri" w:cs="Calibri"/>
          <w:noProof w:val="0"/>
          <w:lang w:val="pt-BR"/>
        </w:rPr>
        <w:t>MinC</w:t>
      </w:r>
      <w:r w:rsidRPr="3124799E" w:rsidR="3124799E">
        <w:rPr>
          <w:rFonts w:ascii="Calibri" w:hAnsi="Calibri" w:cs="Calibri"/>
          <w:noProof w:val="0"/>
          <w:lang w:val="pt-BR"/>
        </w:rPr>
        <w:t xml:space="preserve">)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todo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o </w:t>
      </w:r>
      <w:r w:rsidRPr="3124799E" w:rsidR="3124799E">
        <w:rPr>
          <w:rFonts w:ascii="Calibri" w:hAnsi="Calibri" w:cs="Calibri"/>
          <w:noProof w:val="0"/>
          <w:lang w:val="pt-BR"/>
        </w:rPr>
        <w:t>território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nacional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por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meio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 </w:t>
      </w:r>
      <w:r w:rsidRPr="3124799E" w:rsidR="3124799E">
        <w:rPr>
          <w:rFonts w:ascii="Calibri" w:hAnsi="Calibri" w:cs="Calibri"/>
          <w:noProof w:val="0"/>
          <w:lang w:val="pt-BR"/>
        </w:rPr>
        <w:t>implementação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dos </w:t>
      </w:r>
      <w:r w:rsidRPr="3124799E" w:rsidR="3124799E">
        <w:rPr>
          <w:rFonts w:ascii="Calibri" w:hAnsi="Calibri" w:cs="Calibri"/>
          <w:noProof w:val="0"/>
          <w:lang w:val="pt-BR"/>
        </w:rPr>
        <w:t>Escritórios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Estaduais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 </w:t>
      </w:r>
      <w:r w:rsidRPr="3124799E" w:rsidR="3124799E">
        <w:rPr>
          <w:rFonts w:ascii="Calibri" w:hAnsi="Calibri" w:cs="Calibri"/>
          <w:noProof w:val="0"/>
          <w:lang w:val="pt-BR"/>
        </w:rPr>
        <w:t>MinC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dos </w:t>
      </w:r>
      <w:r w:rsidRPr="3124799E" w:rsidR="3124799E">
        <w:rPr>
          <w:rFonts w:ascii="Calibri" w:hAnsi="Calibri" w:cs="Calibri"/>
          <w:noProof w:val="0"/>
          <w:lang w:val="pt-BR"/>
        </w:rPr>
        <w:t>Comitês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Cultura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todas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as </w:t>
      </w:r>
      <w:r w:rsidRPr="3124799E" w:rsidR="3124799E">
        <w:rPr>
          <w:rFonts w:ascii="Calibri" w:hAnsi="Calibri" w:cs="Calibri"/>
          <w:noProof w:val="0"/>
          <w:lang w:val="pt-BR"/>
        </w:rPr>
        <w:t>Unidades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 </w:t>
      </w:r>
      <w:r w:rsidRPr="3124799E" w:rsidR="3124799E">
        <w:rPr>
          <w:rFonts w:ascii="Calibri" w:hAnsi="Calibri" w:cs="Calibri"/>
          <w:noProof w:val="0"/>
          <w:lang w:val="pt-BR"/>
        </w:rPr>
        <w:t>Federação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; pela </w:t>
      </w:r>
      <w:r w:rsidRPr="3124799E" w:rsidR="3124799E">
        <w:rPr>
          <w:rFonts w:ascii="Calibri" w:hAnsi="Calibri" w:cs="Calibri"/>
          <w:noProof w:val="0"/>
          <w:lang w:val="pt-BR"/>
        </w:rPr>
        <w:t>articulação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federativa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por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meio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 Sistema Nacional de Cultura (SNC) e das </w:t>
      </w:r>
      <w:r w:rsidRPr="3124799E" w:rsidR="3124799E">
        <w:rPr>
          <w:rFonts w:ascii="Calibri" w:hAnsi="Calibri" w:cs="Calibri"/>
          <w:noProof w:val="0"/>
          <w:lang w:val="pt-BR"/>
        </w:rPr>
        <w:t>representações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 Estado e da </w:t>
      </w:r>
      <w:r w:rsidRPr="3124799E" w:rsidR="3124799E">
        <w:rPr>
          <w:rFonts w:ascii="Calibri" w:hAnsi="Calibri" w:cs="Calibri"/>
          <w:noProof w:val="0"/>
          <w:lang w:val="pt-BR"/>
        </w:rPr>
        <w:t>sociedade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civil: o </w:t>
      </w:r>
      <w:r w:rsidRPr="3124799E" w:rsidR="3124799E">
        <w:rPr>
          <w:rFonts w:ascii="Calibri" w:hAnsi="Calibri" w:cs="Calibri"/>
          <w:noProof w:val="0"/>
          <w:lang w:val="pt-BR"/>
        </w:rPr>
        <w:t>Conselho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Nacional de Política Cultural (CNPC), a </w:t>
      </w:r>
      <w:r w:rsidRPr="3124799E" w:rsidR="3124799E">
        <w:rPr>
          <w:rFonts w:ascii="Calibri" w:hAnsi="Calibri" w:cs="Calibri"/>
          <w:noProof w:val="0"/>
          <w:lang w:val="pt-BR"/>
        </w:rPr>
        <w:t>Conferência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Nacional de Cultura (CNC) e a </w:t>
      </w:r>
      <w:r w:rsidRPr="3124799E" w:rsidR="3124799E">
        <w:rPr>
          <w:rFonts w:ascii="Calibri" w:hAnsi="Calibri" w:cs="Calibri"/>
          <w:noProof w:val="0"/>
          <w:lang w:val="pt-BR"/>
        </w:rPr>
        <w:t>Comissão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Intergestores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Tripartite (CIT); e pela </w:t>
      </w:r>
      <w:r w:rsidRPr="3124799E" w:rsidR="3124799E">
        <w:rPr>
          <w:rFonts w:ascii="Calibri" w:hAnsi="Calibri" w:cs="Calibri"/>
          <w:noProof w:val="0"/>
          <w:lang w:val="pt-BR"/>
        </w:rPr>
        <w:t>articulação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construção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das </w:t>
      </w:r>
      <w:r w:rsidRPr="3124799E" w:rsidR="3124799E">
        <w:rPr>
          <w:rFonts w:ascii="Calibri" w:hAnsi="Calibri" w:cs="Calibri"/>
          <w:noProof w:val="0"/>
          <w:lang w:val="pt-BR"/>
        </w:rPr>
        <w:t>diretrizes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leis e </w:t>
      </w:r>
      <w:r w:rsidRPr="3124799E" w:rsidR="3124799E">
        <w:rPr>
          <w:rFonts w:ascii="Calibri" w:hAnsi="Calibri" w:cs="Calibri"/>
          <w:noProof w:val="0"/>
          <w:lang w:val="pt-BR"/>
        </w:rPr>
        <w:t>iniciativas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que </w:t>
      </w:r>
      <w:r w:rsidRPr="3124799E" w:rsidR="3124799E">
        <w:rPr>
          <w:rFonts w:ascii="Calibri" w:hAnsi="Calibri" w:cs="Calibri"/>
          <w:noProof w:val="0"/>
          <w:lang w:val="pt-BR"/>
        </w:rPr>
        <w:t>envolvam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a </w:t>
      </w:r>
      <w:r w:rsidRPr="3124799E" w:rsidR="3124799E">
        <w:rPr>
          <w:rFonts w:ascii="Calibri" w:hAnsi="Calibri" w:cs="Calibri"/>
          <w:noProof w:val="0"/>
          <w:lang w:val="pt-BR"/>
        </w:rPr>
        <w:t>transferência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recursos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 </w:t>
      </w:r>
      <w:r w:rsidRPr="3124799E" w:rsidR="3124799E">
        <w:rPr>
          <w:rFonts w:ascii="Calibri" w:hAnsi="Calibri" w:cs="Calibri"/>
          <w:noProof w:val="0"/>
          <w:lang w:val="pt-BR"/>
        </w:rPr>
        <w:t>União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demais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ações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fomento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descentralizadas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aos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entes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federativos</w:t>
      </w:r>
      <w:r w:rsidRPr="3124799E" w:rsidR="3124799E">
        <w:rPr>
          <w:rFonts w:ascii="Calibri" w:hAnsi="Calibri" w:cs="Calibri"/>
          <w:noProof w:val="0"/>
          <w:lang w:val="pt-BR"/>
        </w:rPr>
        <w:t>.</w:t>
      </w:r>
    </w:p>
    <w:p w:rsidR="3124799E" w:rsidP="3124799E" w:rsidRDefault="3124799E" w14:paraId="12559BCE" w14:textId="7154D305">
      <w:pPr>
        <w:pStyle w:val="Ttulo1"/>
        <w:spacing w:after="0" w:afterAutospacing="off"/>
        <w:rPr>
          <w:rFonts w:ascii="Impact" w:hAnsi="Impact" w:cs="Calibri" w:asciiTheme="majorAscii" w:hAnsiTheme="majorAscii"/>
          <w:noProof w:val="0"/>
          <w:lang w:val="pt-BR"/>
        </w:rPr>
      </w:pPr>
    </w:p>
    <w:p w:rsidRPr="003C26AF" w:rsidR="00CD44D5" w:rsidP="543DB0D0" w:rsidRDefault="00CD44D5" w14:paraId="5A4B2386" w14:textId="570AF996">
      <w:pPr>
        <w:pStyle w:val="Ttulo1"/>
        <w:rPr>
          <w:rFonts w:ascii="Impact" w:hAnsi="Impact" w:cs="Calibri" w:asciiTheme="majorAscii" w:hAnsiTheme="majorAscii"/>
          <w:noProof w:val="0"/>
          <w:color w:val="0070C0"/>
          <w:lang w:val="pt-BR"/>
        </w:rPr>
      </w:pPr>
      <w:r w:rsidRPr="543DB0D0" w:rsidR="543DB0D0">
        <w:rPr>
          <w:rFonts w:ascii="Impact" w:hAnsi="Impact" w:cs="Calibri" w:asciiTheme="majorAscii" w:hAnsiTheme="majorAscii"/>
          <w:noProof w:val="0"/>
          <w:color w:val="0070C0"/>
          <w:lang w:val="pt-BR"/>
        </w:rPr>
        <w:t>Nossa atuação em 2024, referente às iniciativas estratégicas</w:t>
      </w:r>
    </w:p>
    <w:p w:rsidRPr="003C26AF" w:rsidR="00CD44D5" w:rsidP="543DB0D0" w:rsidRDefault="00CD44D5" w14:paraId="0F9EABF7" w14:textId="77777777">
      <w:pPr>
        <w:spacing w:after="300" w:line="259" w:lineRule="auto"/>
        <w:ind w:right="-20"/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</w:pPr>
      <w:r w:rsidRPr="543DB0D0" w:rsidR="543DB0D0">
        <w:rPr>
          <w:rFonts w:ascii="Impact" w:hAnsi="Impact" w:cs="Calibri" w:asciiTheme="majorAscii" w:hAnsiTheme="majorAscii"/>
          <w:noProof w:val="0"/>
          <w:color w:val="0070C0"/>
          <w:lang w:val="pt-BR"/>
        </w:rPr>
        <w:t>IV CONFERÊNCIA NACIONAL DA CULTURA</w:t>
      </w:r>
    </w:p>
    <w:p w:rsidRPr="005E1E73" w:rsidR="00CD44D5" w:rsidP="3124799E" w:rsidRDefault="00CD44D5" w14:paraId="5537E5DE" w14:textId="77777777">
      <w:pPr>
        <w:spacing w:after="300" w:line="259" w:lineRule="auto"/>
        <w:ind w:left="-20" w:right="-20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 xml:space="preserve">A 4ª </w:t>
      </w:r>
      <w:r w:rsidRPr="3124799E" w:rsidR="3124799E">
        <w:rPr>
          <w:rFonts w:ascii="Calibri" w:hAnsi="Calibri" w:cs="Calibri"/>
          <w:noProof w:val="0"/>
          <w:lang w:val="pt-BR"/>
        </w:rPr>
        <w:t>Conferência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Nacional da Cultura (4ª CNC), com o </w:t>
      </w:r>
      <w:r w:rsidRPr="3124799E" w:rsidR="3124799E">
        <w:rPr>
          <w:rFonts w:ascii="Calibri" w:hAnsi="Calibri" w:cs="Calibri"/>
          <w:noProof w:val="0"/>
          <w:lang w:val="pt-BR"/>
        </w:rPr>
        <w:t>tema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central “Democracia e </w:t>
      </w:r>
      <w:r w:rsidRPr="3124799E" w:rsidR="3124799E">
        <w:rPr>
          <w:rFonts w:ascii="Calibri" w:hAnsi="Calibri" w:cs="Calibri"/>
          <w:noProof w:val="0"/>
          <w:lang w:val="pt-BR"/>
        </w:rPr>
        <w:t>Direito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à Cultura”, a cargo da </w:t>
      </w:r>
      <w:r w:rsidRPr="3124799E" w:rsidR="3124799E">
        <w:rPr>
          <w:rFonts w:ascii="Calibri" w:hAnsi="Calibri" w:cs="Calibri"/>
          <w:noProof w:val="0"/>
          <w:lang w:val="pt-BR"/>
        </w:rPr>
        <w:t>Diretoria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 Sistema Nacional de Cultura (DSNC), com o </w:t>
      </w:r>
      <w:r w:rsidRPr="3124799E" w:rsidR="3124799E">
        <w:rPr>
          <w:rFonts w:ascii="Calibri" w:hAnsi="Calibri" w:cs="Calibri"/>
          <w:noProof w:val="0"/>
          <w:lang w:val="pt-BR"/>
        </w:rPr>
        <w:t>objetivo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fortalecer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a </w:t>
      </w:r>
      <w:r w:rsidRPr="3124799E" w:rsidR="3124799E">
        <w:rPr>
          <w:rFonts w:ascii="Calibri" w:hAnsi="Calibri" w:cs="Calibri"/>
          <w:noProof w:val="0"/>
          <w:lang w:val="pt-BR"/>
        </w:rPr>
        <w:t>democracia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buscar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a </w:t>
      </w:r>
      <w:r w:rsidRPr="3124799E" w:rsidR="3124799E">
        <w:rPr>
          <w:rFonts w:ascii="Calibri" w:hAnsi="Calibri" w:cs="Calibri"/>
          <w:noProof w:val="0"/>
          <w:lang w:val="pt-BR"/>
        </w:rPr>
        <w:t>garantia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dos </w:t>
      </w:r>
      <w:r w:rsidRPr="3124799E" w:rsidR="3124799E">
        <w:rPr>
          <w:rFonts w:ascii="Calibri" w:hAnsi="Calibri" w:cs="Calibri"/>
          <w:noProof w:val="0"/>
          <w:lang w:val="pt-BR"/>
        </w:rPr>
        <w:t>plenos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direitos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culturais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todo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o </w:t>
      </w:r>
      <w:r w:rsidRPr="3124799E" w:rsidR="3124799E">
        <w:rPr>
          <w:rFonts w:ascii="Calibri" w:hAnsi="Calibri" w:cs="Calibri"/>
          <w:noProof w:val="0"/>
          <w:lang w:val="pt-BR"/>
        </w:rPr>
        <w:t>território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nacional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foi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antecedida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pelas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etapas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municipais</w:t>
      </w:r>
      <w:r w:rsidRPr="3124799E" w:rsidR="3124799E">
        <w:rPr>
          <w:rFonts w:ascii="Calibri" w:hAnsi="Calibri" w:cs="Calibri"/>
          <w:noProof w:val="0"/>
          <w:lang w:val="pt-BR"/>
        </w:rPr>
        <w:t>/</w:t>
      </w:r>
      <w:r w:rsidRPr="3124799E" w:rsidR="3124799E">
        <w:rPr>
          <w:rFonts w:ascii="Calibri" w:hAnsi="Calibri" w:cs="Calibri"/>
          <w:noProof w:val="0"/>
          <w:lang w:val="pt-BR"/>
        </w:rPr>
        <w:t>intermunicipais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estaduais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além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conferências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temáticas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conferências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livres, </w:t>
      </w:r>
      <w:r w:rsidRPr="3124799E" w:rsidR="3124799E">
        <w:rPr>
          <w:rFonts w:ascii="Calibri" w:hAnsi="Calibri" w:cs="Calibri"/>
          <w:noProof w:val="0"/>
          <w:lang w:val="pt-BR"/>
        </w:rPr>
        <w:t>sendo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a </w:t>
      </w:r>
      <w:r w:rsidRPr="3124799E" w:rsidR="3124799E">
        <w:rPr>
          <w:rFonts w:ascii="Calibri" w:hAnsi="Calibri" w:cs="Calibri"/>
          <w:noProof w:val="0"/>
          <w:lang w:val="pt-BR"/>
        </w:rPr>
        <w:t>maior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parte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destas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realizadas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2023. </w:t>
      </w:r>
      <w:r>
        <w:tab/>
      </w:r>
      <w:r>
        <w:tab/>
      </w:r>
    </w:p>
    <w:p w:rsidRPr="00174134" w:rsidR="00CD44D5" w:rsidP="543DB0D0" w:rsidRDefault="00CD44D5" w14:paraId="5C7A45E5" w14:textId="77777777">
      <w:pPr>
        <w:spacing w:after="300" w:line="259" w:lineRule="auto"/>
        <w:ind w:left="284" w:right="-20" w:hanging="284"/>
        <w:jc w:val="left"/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</w:pPr>
      <w:r w:rsidRPr="543DB0D0" w:rsidR="543DB0D0">
        <w:rPr>
          <w:rFonts w:ascii="Impact" w:hAnsi="Impact" w:cs="Calibri" w:asciiTheme="majorAscii" w:hAnsiTheme="majorAscii"/>
          <w:noProof w:val="0"/>
          <w:color w:val="0070C0"/>
          <w:lang w:val="pt-BR"/>
        </w:rPr>
        <w:t xml:space="preserve">PLANO DE MOBILIZAÇÃO E ASSISTÊNCIA TÉCNICA FEDERATIVA </w:t>
      </w:r>
    </w:p>
    <w:p w:rsidRPr="005E1E73" w:rsidR="00CD44D5" w:rsidP="3124799E" w:rsidRDefault="00CD44D5" w14:paraId="59D850A2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 w:eastAsiaTheme="majorEastAsia"/>
          <w:noProof w:val="0"/>
          <w:lang w:val="pt-BR"/>
        </w:rPr>
      </w:pPr>
      <w:r w:rsidRPr="3124799E" w:rsidR="3124799E">
        <w:rPr>
          <w:rFonts w:ascii="Calibri" w:hAnsi="Calibri" w:eastAsia="Calibri" w:cs="Calibri" w:eastAsiaTheme="majorEastAsia"/>
          <w:noProof w:val="0"/>
          <w:lang w:val="pt-BR"/>
        </w:rPr>
        <w:t xml:space="preserve">Essa iniciativa teve como objetivo principal oferecer suporte às etapas de execução dos recursos da LPG e da PNAB. Nesse contexto, foram produzidos diversos materiais de orientação, incluindo cartilhas, manuais e tutoriais, além da elaboração de minutas de instrumentos jurídicos e editais. Adicionalmente, foram promovidos eventos de capacitação em formatos presenciais e </w:t>
      </w:r>
      <w:r w:rsidRPr="3124799E" w:rsidR="3124799E">
        <w:rPr>
          <w:rFonts w:ascii="Calibri" w:hAnsi="Calibri" w:eastAsia="Calibri" w:cs="Calibri" w:eastAsiaTheme="majorEastAsia"/>
          <w:i w:val="1"/>
          <w:iCs w:val="1"/>
          <w:noProof w:val="0"/>
          <w:lang w:val="pt-BR"/>
        </w:rPr>
        <w:t>online</w:t>
      </w:r>
      <w:r w:rsidRPr="3124799E" w:rsidR="3124799E">
        <w:rPr>
          <w:rFonts w:ascii="Calibri" w:hAnsi="Calibri" w:eastAsia="Calibri" w:cs="Calibri" w:eastAsiaTheme="majorEastAsia"/>
          <w:noProof w:val="0"/>
          <w:lang w:val="pt-BR"/>
        </w:rPr>
        <w:t>, bem como transmissões ao vivo (</w:t>
      </w:r>
      <w:r w:rsidRPr="3124799E" w:rsidR="3124799E">
        <w:rPr>
          <w:rFonts w:ascii="Calibri" w:hAnsi="Calibri" w:eastAsia="Calibri" w:cs="Calibri" w:eastAsiaTheme="majorEastAsia"/>
          <w:i w:val="1"/>
          <w:iCs w:val="1"/>
          <w:noProof w:val="0"/>
          <w:lang w:val="pt-BR"/>
        </w:rPr>
        <w:t>lives</w:t>
      </w:r>
      <w:r w:rsidRPr="3124799E" w:rsidR="3124799E">
        <w:rPr>
          <w:rFonts w:ascii="Calibri" w:hAnsi="Calibri" w:eastAsia="Calibri" w:cs="Calibri" w:eastAsiaTheme="majorEastAsia"/>
          <w:noProof w:val="0"/>
          <w:lang w:val="pt-BR"/>
        </w:rPr>
        <w:t>), com o propósito de orientar os entes federados na aplicação dos recursos da PNAB, conforme detalhado a seguir:</w:t>
      </w:r>
      <w:r w:rsidRPr="3124799E" w:rsidR="3124799E">
        <w:rPr>
          <w:rStyle w:val="eop"/>
          <w:rFonts w:ascii="Calibri" w:hAnsi="Calibri" w:eastAsia="Calibri" w:cs="Calibri" w:eastAsiaTheme="majorEastAsia"/>
          <w:noProof w:val="0"/>
          <w:lang w:val="pt-BR"/>
        </w:rPr>
        <w:t> </w:t>
      </w:r>
    </w:p>
    <w:p w:rsidRPr="005E1E73" w:rsidR="00CD44D5" w:rsidP="3124799E" w:rsidRDefault="00CD44D5" w14:paraId="5A9A4D03" w14:textId="77777777" w14:noSpellErr="1">
      <w:pPr>
        <w:pStyle w:val="paragraph"/>
        <w:spacing w:before="0" w:beforeAutospacing="off" w:after="0" w:afterAutospacing="off"/>
        <w:ind w:firstLine="709"/>
        <w:jc w:val="both"/>
        <w:textAlignment w:val="baseline"/>
        <w:rPr>
          <w:rStyle w:val="eop"/>
          <w:rFonts w:ascii="Calibri" w:hAnsi="Calibri" w:eastAsia="Calibri" w:cs="Calibri" w:eastAsiaTheme="majorEastAsia"/>
          <w:noProof w:val="0"/>
          <w:lang w:val="pt-BR"/>
        </w:rPr>
      </w:pPr>
    </w:p>
    <w:p w:rsidRPr="005E1E73" w:rsidR="00CD44D5" w:rsidP="3124799E" w:rsidRDefault="00CD44D5" w14:paraId="6C895716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eastAsiaTheme="majorEastAsia"/>
          <w:noProof w:val="0"/>
          <w:lang w:val="pt-BR"/>
        </w:rPr>
      </w:pPr>
      <w:r w:rsidRPr="005E1E73">
        <w:rPr>
          <w:rStyle w:val="wacimagecontainer"/>
          <w:rFonts w:ascii="Calibri" w:hAnsi="Calibri" w:cs="Calibri" w:eastAsiaTheme="majorEastAsia"/>
          <w:noProof/>
        </w:rPr>
        <w:drawing>
          <wp:anchor distT="0" distB="0" distL="114300" distR="114300" simplePos="0" relativeHeight="251659264" behindDoc="0" locked="0" layoutInCell="1" allowOverlap="1" wp14:anchorId="2979D692" wp14:editId="422973DC">
            <wp:simplePos x="0" y="0"/>
            <wp:positionH relativeFrom="margin">
              <wp:posOffset>4339590</wp:posOffset>
            </wp:positionH>
            <wp:positionV relativeFrom="paragraph">
              <wp:posOffset>180340</wp:posOffset>
            </wp:positionV>
            <wp:extent cx="304800" cy="323850"/>
            <wp:effectExtent l="0" t="0" r="0" b="0"/>
            <wp:wrapThrough wrapText="bothSides">
              <wp:wrapPolygon edited="0">
                <wp:start x="0" y="1271"/>
                <wp:lineTo x="0" y="19059"/>
                <wp:lineTo x="20250" y="19059"/>
                <wp:lineTo x="20250" y="1271"/>
                <wp:lineTo x="0" y="1271"/>
              </wp:wrapPolygon>
            </wp:wrapThrough>
            <wp:docPr id="43" name="Imagem 14" descr="Desenho de ros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esenho de rost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Pr="005E1E73" w:rsidR="00CD44D5" w:rsidP="3124799E" w:rsidRDefault="00CD44D5" w14:paraId="6BDECF84" w14:textId="77777777" w14:noSpellErr="1">
      <w:pPr>
        <w:pStyle w:val="paragraph"/>
        <w:spacing w:before="0" w:beforeAutospacing="off" w:after="0" w:afterAutospacing="off" w:line="360" w:lineRule="auto"/>
        <w:ind w:left="570"/>
        <w:jc w:val="both"/>
        <w:textAlignment w:val="baseline"/>
        <w:rPr>
          <w:rFonts w:ascii="Calibri" w:hAnsi="Calibri" w:eastAsia="Calibri" w:cs="Calibri" w:eastAsiaTheme="majorEastAsia"/>
          <w:noProof w:val="0"/>
          <w:color w:val="00B0F0" w:themeColor="text1"/>
          <w:lang w:val="pt-BR"/>
        </w:rPr>
      </w:pPr>
      <w:r w:rsidRPr="005E1E73">
        <w:rPr>
          <w:rStyle w:val="wacimagecontainer"/>
          <w:rFonts w:ascii="Calibri" w:hAnsi="Calibri" w:cs="Calibri" w:eastAsiaTheme="majorEastAsia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B4E8A13" wp14:editId="1F13DBDD">
            <wp:simplePos x="0" y="0"/>
            <wp:positionH relativeFrom="column">
              <wp:align>left</wp:align>
            </wp:positionH>
            <wp:positionV relativeFrom="paragraph">
              <wp:posOffset>477520</wp:posOffset>
            </wp:positionV>
            <wp:extent cx="314325" cy="314325"/>
            <wp:effectExtent l="0" t="0" r="9525" b="0"/>
            <wp:wrapNone/>
            <wp:docPr id="44" name="Imagem 13" descr="Fundo preto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undo preto com letras branc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w:history="1" r:id="Rcd780141576f4d23">
        <w:r w:rsidRPr="3124799E">
          <w:rPr>
            <w:rStyle w:val="Hyperlink"/>
            <w:rFonts w:ascii="Calibri" w:hAnsi="Calibri" w:eastAsia="Calibri" w:cs="Calibri" w:eastAsiaTheme="majorEastAsia"/>
            <w:noProof w:val="0"/>
            <w:color w:val="00B0F0"/>
            <w:lang w:val="pt-BR"/>
          </w:rPr>
          <w:t>Materiais de Orientação (Guias, Manuais, Cartilhas e Tutoriais) </w:t>
        </w:r>
      </w:hyperlink>
    </w:p>
    <w:p w:rsidRPr="005E1E73" w:rsidR="00CD44D5" w:rsidP="3124799E" w:rsidRDefault="00CD44D5" w14:paraId="5DCBE3C7" w14:textId="77777777">
      <w:pPr>
        <w:pStyle w:val="paragraph"/>
        <w:shd w:val="clear" w:color="auto" w:fill="FFFFFF" w:themeFill="background1"/>
        <w:spacing w:before="0" w:beforeAutospacing="off" w:after="0" w:afterAutospacing="off" w:line="360" w:lineRule="auto"/>
        <w:ind w:left="570"/>
        <w:jc w:val="both"/>
        <w:textAlignment w:val="baseline"/>
        <w:rPr>
          <w:rFonts w:ascii="Calibri" w:hAnsi="Calibri" w:eastAsia="Calibri" w:cs="Calibri" w:eastAsiaTheme="majorEastAsia"/>
          <w:noProof w:val="0"/>
          <w:color w:val="00B0F0" w:themeColor="text1"/>
          <w:lang w:val="pt-BR"/>
        </w:rPr>
      </w:pPr>
      <w:r w:rsidRPr="3124799E" w:rsidR="3124799E">
        <w:rPr>
          <w:rFonts w:ascii="Calibri" w:hAnsi="Calibri" w:cs="Calibri"/>
          <w:noProof w:val="0"/>
          <w:color w:val="00B0F0"/>
          <w:lang w:val="pt-BR"/>
        </w:rPr>
        <w:t xml:space="preserve"> </w:t>
      </w:r>
      <w:hyperlink r:id="R827719a3d68c40b6">
        <w:r w:rsidRPr="3124799E" w:rsidR="3124799E">
          <w:rPr>
            <w:rStyle w:val="Hyperlink"/>
            <w:rFonts w:ascii="Calibri" w:hAnsi="Calibri" w:eastAsia="Calibri" w:cs="Calibri" w:eastAsiaTheme="majorEastAsia"/>
            <w:noProof w:val="0"/>
            <w:color w:val="00B0F0"/>
            <w:lang w:val="pt-BR"/>
          </w:rPr>
          <w:t>Modelos de editais</w:t>
        </w:r>
      </w:hyperlink>
      <w:r w:rsidRPr="3124799E" w:rsidR="3124799E">
        <w:rPr>
          <w:rStyle w:val="normaltextrun"/>
          <w:rFonts w:ascii="Calibri" w:hAnsi="Calibri" w:eastAsia="Calibri" w:cs="Calibri" w:eastAsiaTheme="majorEastAsia"/>
          <w:noProof w:val="0"/>
          <w:color w:val="00B0F0"/>
          <w:lang w:val="pt-BR"/>
        </w:rPr>
        <w:t xml:space="preserve"> e </w:t>
      </w:r>
      <w:hyperlink r:id="R725455ad1d474f6e">
        <w:r w:rsidRPr="3124799E" w:rsidR="3124799E">
          <w:rPr>
            <w:rStyle w:val="Hyperlink"/>
            <w:rFonts w:ascii="Calibri" w:hAnsi="Calibri" w:eastAsia="Calibri" w:cs="Calibri" w:eastAsiaTheme="majorEastAsia"/>
            <w:noProof w:val="0"/>
            <w:color w:val="00B0F0"/>
            <w:lang w:val="pt-BR"/>
          </w:rPr>
          <w:t>minutas de instrumentos jurídicos </w:t>
        </w:r>
      </w:hyperlink>
    </w:p>
    <w:p w:rsidRPr="005E1E73" w:rsidR="00CD44D5" w:rsidP="3124799E" w:rsidRDefault="00CD44D5" w14:paraId="71EE27A0" w14:textId="77777777">
      <w:pPr>
        <w:spacing w:line="360" w:lineRule="auto"/>
        <w:ind w:left="576"/>
        <w:rPr>
          <w:rFonts w:ascii="Calibri" w:hAnsi="Calibri" w:cs="Calibri"/>
          <w:noProof w:val="0"/>
          <w:color w:val="00B0F0"/>
          <w:lang w:val="pt-BR"/>
        </w:rPr>
      </w:pPr>
      <w:r w:rsidRPr="005E1E73">
        <w:rPr>
          <w:rStyle w:val="wacimagecontainer"/>
          <w:rFonts w:ascii="Calibri" w:hAnsi="Calibri" w:cs="Calibri" w:eastAsiaTheme="majorEastAsia"/>
          <w:noProof/>
        </w:rPr>
        <w:drawing>
          <wp:anchor distT="0" distB="0" distL="114300" distR="114300" simplePos="0" relativeHeight="251661312" behindDoc="0" locked="0" layoutInCell="1" allowOverlap="1" wp14:anchorId="57E66268" wp14:editId="3C5A27AB">
            <wp:simplePos x="0" y="0"/>
            <wp:positionH relativeFrom="column">
              <wp:align>left</wp:align>
            </wp:positionH>
            <wp:positionV relativeFrom="paragraph">
              <wp:posOffset>50800</wp:posOffset>
            </wp:positionV>
            <wp:extent cx="390525" cy="390525"/>
            <wp:effectExtent l="0" t="0" r="9525" b="9525"/>
            <wp:wrapThrough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hrough>
            <wp:docPr id="46" name="Imagem 11" descr="Ícone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Ícone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1E73">
        <w:rPr>
          <w:rStyle w:val="wacimagecontainer"/>
          <w:rFonts w:ascii="Calibri" w:hAnsi="Calibri" w:cs="Calibri" w:eastAsiaTheme="majorEastAsia"/>
          <w:noProof/>
        </w:rPr>
        <w:drawing>
          <wp:anchor distT="0" distB="0" distL="114300" distR="114300" simplePos="0" relativeHeight="251662336" behindDoc="0" locked="0" layoutInCell="1" allowOverlap="1" wp14:anchorId="69B09692" wp14:editId="368D5BDF">
            <wp:simplePos x="0" y="0"/>
            <wp:positionH relativeFrom="column">
              <wp:posOffset>9525</wp:posOffset>
            </wp:positionH>
            <wp:positionV relativeFrom="paragraph">
              <wp:posOffset>658495</wp:posOffset>
            </wp:positionV>
            <wp:extent cx="390525" cy="390525"/>
            <wp:effectExtent l="0" t="0" r="9525" b="9525"/>
            <wp:wrapThrough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hrough>
            <wp:docPr id="48" name="Imagem 9" descr="Ícone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Ícone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w:history="1" r:id="Re1da6e273ea049c5">
        <w:r w:rsidRPr="3124799E">
          <w:rPr>
            <w:rStyle w:val="Hyperlink"/>
            <w:rFonts w:ascii="Calibri" w:hAnsi="Calibri" w:eastAsia="Calibri" w:cs="Calibri" w:eastAsiaTheme="majorEastAsia"/>
            <w:noProof w:val="0"/>
            <w:color w:val="00B0F0"/>
            <w:lang w:val="pt-BR"/>
          </w:rPr>
          <w:t>Live – Apresentação do Plano de Aplicação de Recursos</w:t>
        </w:r>
      </w:hyperlink>
      <w:r w:rsidRPr="3124799E">
        <w:rPr>
          <w:rFonts w:ascii="Calibri" w:hAnsi="Calibri" w:cs="Calibri"/>
          <w:noProof w:val="0"/>
          <w:color w:val="00B0F0"/>
          <w:lang w:val="pt-BR"/>
        </w:rPr>
        <w:t xml:space="preserve"> </w:t>
      </w:r>
      <w:r w:rsidRPr="3124799E">
        <w:rPr>
          <w:rFonts w:ascii="Calibri" w:hAnsi="Calibri" w:cs="Calibri"/>
          <w:noProof w:val="0"/>
          <w:color w:val="auto"/>
          <w:lang w:val="pt-BR"/>
        </w:rPr>
        <w:t xml:space="preserve">(+ de 13 mil </w:t>
      </w:r>
      <w:r w:rsidRPr="3124799E">
        <w:rPr>
          <w:rFonts w:ascii="Calibri" w:hAnsi="Calibri" w:cs="Calibri"/>
          <w:noProof w:val="0"/>
          <w:color w:val="auto"/>
          <w:lang w:val="pt-BR"/>
        </w:rPr>
        <w:t xml:space="preserve">visualizações</w:t>
      </w:r>
      <w:r w:rsidRPr="3124799E">
        <w:rPr>
          <w:rFonts w:ascii="Calibri" w:hAnsi="Calibri" w:cs="Calibri"/>
          <w:noProof w:val="0"/>
          <w:color w:val="auto"/>
          <w:lang w:val="pt-BR"/>
        </w:rPr>
        <w:t xml:space="preserve">)</w:t>
      </w:r>
    </w:p>
    <w:p w:rsidRPr="005E1E73" w:rsidR="00CD44D5" w:rsidP="3124799E" w:rsidRDefault="00CD44D5" w14:paraId="58731943" w14:textId="77777777">
      <w:pPr>
        <w:spacing w:line="360" w:lineRule="auto"/>
        <w:ind w:left="576"/>
        <w:rPr>
          <w:rFonts w:ascii="Calibri" w:hAnsi="Calibri" w:cs="Calibri"/>
          <w:noProof w:val="0"/>
          <w:color w:val="00B0F0"/>
          <w:lang w:val="pt-BR"/>
        </w:rPr>
      </w:pPr>
      <w:hyperlink r:id="R62b645afa53c471c">
        <w:r w:rsidRPr="3124799E" w:rsidR="3124799E">
          <w:rPr>
            <w:rStyle w:val="Hyperlink"/>
            <w:rFonts w:ascii="Calibri" w:hAnsi="Calibri" w:eastAsia="Calibri" w:cs="Calibri" w:eastAsiaTheme="majorEastAsia"/>
            <w:noProof w:val="0"/>
            <w:color w:val="00B0F0"/>
            <w:lang w:val="pt-BR"/>
          </w:rPr>
          <w:t>Papo PNAB – Lives de temas importantes relacionados à PNAB (13 edições) </w:t>
        </w:r>
      </w:hyperlink>
      <w:r w:rsidRPr="3124799E" w:rsidR="3124799E">
        <w:rPr>
          <w:rFonts w:ascii="Calibri" w:hAnsi="Calibri" w:cs="Calibri"/>
          <w:noProof w:val="0"/>
          <w:color w:val="auto"/>
          <w:lang w:val="pt-BR"/>
        </w:rPr>
        <w:t xml:space="preserve"> (+ de 25 mil </w:t>
      </w:r>
      <w:r w:rsidRPr="3124799E" w:rsidR="3124799E">
        <w:rPr>
          <w:rFonts w:ascii="Calibri" w:hAnsi="Calibri" w:cs="Calibri"/>
          <w:noProof w:val="0"/>
          <w:color w:val="auto"/>
          <w:lang w:val="pt-BR"/>
        </w:rPr>
        <w:t>visualizações</w:t>
      </w:r>
      <w:r w:rsidRPr="3124799E" w:rsidR="3124799E">
        <w:rPr>
          <w:rFonts w:ascii="Calibri" w:hAnsi="Calibri" w:cs="Calibri"/>
          <w:noProof w:val="0"/>
          <w:color w:val="auto"/>
          <w:lang w:val="pt-BR"/>
        </w:rPr>
        <w:t>)</w:t>
      </w:r>
    </w:p>
    <w:p w:rsidRPr="005E1E73" w:rsidR="00CD44D5" w:rsidP="3124799E" w:rsidRDefault="00CD44D5" w14:paraId="529D0E28" w14:textId="77777777">
      <w:pPr>
        <w:spacing w:line="360" w:lineRule="auto"/>
        <w:ind w:left="576"/>
        <w:rPr>
          <w:rFonts w:ascii="Calibri" w:hAnsi="Calibri" w:cs="Calibri"/>
          <w:noProof w:val="0"/>
          <w:color w:val="00B0F0"/>
          <w:lang w:val="pt-BR"/>
        </w:rPr>
      </w:pPr>
      <w:r w:rsidRPr="005E1E73">
        <w:rPr>
          <w:rFonts w:ascii="Calibri" w:hAnsi="Calibri" w:cs="Calibri" w:eastAsiaTheme="majorEastAsi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80A4503" wp14:editId="6D067D79">
            <wp:simplePos x="0" y="0"/>
            <wp:positionH relativeFrom="margin">
              <wp:posOffset>8890</wp:posOffset>
            </wp:positionH>
            <wp:positionV relativeFrom="paragraph">
              <wp:posOffset>77470</wp:posOffset>
            </wp:positionV>
            <wp:extent cx="266700" cy="266700"/>
            <wp:effectExtent l="0" t="0" r="0" b="0"/>
            <wp:wrapThrough wrapText="bothSides">
              <wp:wrapPolygon edited="0">
                <wp:start x="3086" y="0"/>
                <wp:lineTo x="0" y="10286"/>
                <wp:lineTo x="1029" y="20571"/>
                <wp:lineTo x="20571" y="20571"/>
                <wp:lineTo x="19543" y="0"/>
                <wp:lineTo x="3086" y="0"/>
              </wp:wrapPolygon>
            </wp:wrapThrough>
            <wp:docPr id="468295684" name="Gráfico 17" descr="Sala de aula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11731" name="Gráfico 1552111731" descr="Sala de aula com preenchimento sólido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w:tgtFrame="_blank" w:history="1" r:id="R59abe55cf2354e1f">
        <w:r w:rsidRPr="3124799E">
          <w:rPr>
            <w:rStyle w:val="Hyperlink"/>
            <w:rFonts w:ascii="Calibri" w:hAnsi="Calibri" w:eastAsia="Calibri" w:cs="Calibri" w:eastAsiaTheme="majorEastAsia"/>
            <w:noProof w:val="0"/>
            <w:color w:val="00B0F0"/>
            <w:lang w:val="pt-BR"/>
          </w:rPr>
          <w:t>Seminário Online - Execução da LPG e PNAB em ano eleitoral</w:t>
        </w:r>
      </w:hyperlink>
      <w:r w:rsidRPr="3124799E">
        <w:rPr>
          <w:rStyle w:val="Hyperlink"/>
          <w:rFonts w:ascii="Calibri" w:hAnsi="Calibri" w:eastAsia="Calibri" w:cs="Calibri" w:eastAsiaTheme="majorEastAsia"/>
          <w:noProof w:val="0"/>
          <w:color w:val="00B0F0"/>
          <w:lang w:val="pt-BR"/>
        </w:rPr>
        <w:t> </w:t>
      </w:r>
      <w:r w:rsidRPr="3124799E">
        <w:rPr>
          <w:rFonts w:ascii="Calibri" w:hAnsi="Calibri" w:cs="Calibri"/>
          <w:noProof w:val="0"/>
          <w:color w:val="auto"/>
          <w:lang w:val="pt-BR"/>
        </w:rPr>
        <w:t xml:space="preserve">(+ de 1,6 mil </w:t>
      </w:r>
      <w:r w:rsidRPr="3124799E">
        <w:rPr>
          <w:rFonts w:ascii="Calibri" w:hAnsi="Calibri" w:cs="Calibri"/>
          <w:noProof w:val="0"/>
          <w:color w:val="auto"/>
          <w:lang w:val="pt-BR"/>
        </w:rPr>
        <w:t>visualizações</w:t>
      </w:r>
      <w:r w:rsidRPr="3124799E">
        <w:rPr>
          <w:rFonts w:ascii="Calibri" w:hAnsi="Calibri" w:cs="Calibri"/>
          <w:noProof w:val="0"/>
          <w:color w:val="auto"/>
          <w:lang w:val="pt-BR"/>
        </w:rPr>
        <w:t>)</w:t>
      </w:r>
    </w:p>
    <w:p w:rsidRPr="005E1E73" w:rsidR="00CD44D5" w:rsidP="3124799E" w:rsidRDefault="00CD44D5" w14:paraId="6E35072B" w14:textId="77777777" w14:noSpellErr="1">
      <w:pPr>
        <w:pStyle w:val="paragraph"/>
        <w:spacing w:before="0" w:beforeAutospacing="off" w:after="0" w:afterAutospacing="off" w:line="360" w:lineRule="auto"/>
        <w:jc w:val="both"/>
        <w:textAlignment w:val="baseline"/>
        <w:rPr>
          <w:rStyle w:val="Hyperlink"/>
          <w:rFonts w:ascii="Calibri" w:hAnsi="Calibri" w:eastAsia="Calibri" w:cs="Calibri" w:eastAsiaTheme="majorEastAsia"/>
          <w:noProof w:val="0"/>
          <w:lang w:val="pt-BR"/>
        </w:rPr>
      </w:pPr>
      <w:r w:rsidRPr="005E1E73">
        <w:rPr>
          <w:rFonts w:ascii="Calibri" w:hAnsi="Calibri" w:cs="Calibri" w:eastAsiaTheme="majorEastAsia"/>
          <w:noProof/>
        </w:rPr>
        <w:drawing>
          <wp:anchor distT="0" distB="0" distL="114300" distR="114300" simplePos="0" relativeHeight="251663360" behindDoc="0" locked="0" layoutInCell="1" allowOverlap="1" wp14:anchorId="2D086EB0" wp14:editId="378B26C9">
            <wp:simplePos x="0" y="0"/>
            <wp:positionH relativeFrom="margin">
              <wp:posOffset>-47625</wp:posOffset>
            </wp:positionH>
            <wp:positionV relativeFrom="paragraph">
              <wp:posOffset>9525</wp:posOffset>
            </wp:positionV>
            <wp:extent cx="266700" cy="266700"/>
            <wp:effectExtent l="0" t="0" r="0" b="0"/>
            <wp:wrapNone/>
            <wp:docPr id="1552111731" name="Gráfico 17" descr="Sala de aula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11731" name="Gráfico 1552111731" descr="Sala de aula com preenchimento sólido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124799E">
        <w:rPr>
          <w:rFonts w:ascii="Calibri" w:hAnsi="Calibri" w:cs="Calibri"/>
          <w:noProof w:val="0"/>
          <w:lang w:val="pt-BR"/>
        </w:rPr>
        <w:t xml:space="preserve">         </w:t>
      </w:r>
      <w:hyperlink w:history="1" r:id="R166e5847f8c5486f">
        <w:r w:rsidRPr="3124799E">
          <w:rPr>
            <w:rStyle w:val="Hyperlink"/>
            <w:rFonts w:ascii="Calibri" w:hAnsi="Calibri" w:eastAsia="Calibri" w:cs="Calibri" w:eastAsiaTheme="majorEastAsia"/>
            <w:noProof w:val="0"/>
            <w:color w:val="00B0F0"/>
            <w:lang w:val="pt-BR"/>
          </w:rPr>
          <w:t>Circula MinC Online e Presencial </w:t>
        </w:r>
      </w:hyperlink>
    </w:p>
    <w:p w:rsidRPr="00054AF5" w:rsidR="00CD44D5" w:rsidP="3124799E" w:rsidRDefault="00CD44D5" w14:paraId="0360F961" w14:textId="77777777" w14:noSpellErr="1">
      <w:pPr>
        <w:pStyle w:val="paragraph"/>
        <w:spacing w:before="0" w:beforeAutospacing="off" w:after="0" w:afterAutospacing="off" w:line="360" w:lineRule="auto"/>
        <w:jc w:val="both"/>
        <w:textAlignment w:val="baseline"/>
        <w:rPr>
          <w:rStyle w:val="Hyperlink"/>
          <w:rFonts w:ascii="Impact" w:hAnsi="Impact" w:eastAsia="Calibri" w:cs="Calibri" w:asciiTheme="majorAscii" w:hAnsiTheme="majorAscii" w:eastAsiaTheme="majorEastAsia"/>
          <w:noProof w:val="0"/>
          <w:color w:val="548DD4" w:themeColor="text2" w:themeTint="99"/>
          <w:lang w:val="pt-BR"/>
        </w:rPr>
      </w:pPr>
    </w:p>
    <w:p w:rsidRPr="00054AF5" w:rsidR="00CD44D5" w:rsidP="543DB0D0" w:rsidRDefault="00CD44D5" w14:paraId="3A4BC259" w14:textId="77777777">
      <w:pPr>
        <w:spacing w:after="300" w:line="259" w:lineRule="auto"/>
        <w:ind w:left="284" w:right="-20" w:hanging="284"/>
        <w:jc w:val="left"/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</w:pPr>
      <w:r w:rsidRPr="543DB0D0" w:rsidR="543DB0D0">
        <w:rPr>
          <w:rFonts w:ascii="Impact" w:hAnsi="Impact" w:cs="Calibri" w:asciiTheme="majorAscii" w:hAnsiTheme="majorAscii"/>
          <w:noProof w:val="0"/>
          <w:color w:val="0070C0"/>
          <w:lang w:val="pt-BR"/>
        </w:rPr>
        <w:t>ESCRITÓRIOS ESTADUAIS DO MINC</w:t>
      </w:r>
    </w:p>
    <w:p w:rsidRPr="005E1E73" w:rsidR="00CD44D5" w:rsidP="3124799E" w:rsidRDefault="00CD44D5" w14:paraId="076BAE72" w14:textId="77777777">
      <w:pPr>
        <w:spacing w:after="120" w:afterAutospacing="off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 xml:space="preserve">Durante o </w:t>
      </w:r>
      <w:r w:rsidRPr="3124799E" w:rsidR="3124799E">
        <w:rPr>
          <w:rFonts w:ascii="Calibri" w:hAnsi="Calibri" w:cs="Calibri"/>
          <w:noProof w:val="0"/>
          <w:lang w:val="pt-BR"/>
        </w:rPr>
        <w:t>exercício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2023 </w:t>
      </w:r>
      <w:r w:rsidRPr="3124799E" w:rsidR="3124799E">
        <w:rPr>
          <w:rFonts w:ascii="Calibri" w:hAnsi="Calibri" w:cs="Calibri"/>
          <w:noProof w:val="0"/>
          <w:lang w:val="pt-BR"/>
        </w:rPr>
        <w:t>foram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institucionalizados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27 </w:t>
      </w:r>
      <w:r w:rsidRPr="3124799E" w:rsidR="3124799E">
        <w:rPr>
          <w:rFonts w:ascii="Calibri" w:hAnsi="Calibri" w:cs="Calibri"/>
          <w:noProof w:val="0"/>
          <w:lang w:val="pt-BR"/>
        </w:rPr>
        <w:t>Escritórios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 </w:t>
      </w:r>
      <w:r w:rsidRPr="3124799E" w:rsidR="3124799E">
        <w:rPr>
          <w:rFonts w:ascii="Calibri" w:hAnsi="Calibri" w:cs="Calibri"/>
          <w:noProof w:val="0"/>
          <w:lang w:val="pt-BR"/>
        </w:rPr>
        <w:t>MinC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um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cada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Unidade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 </w:t>
      </w:r>
      <w:r w:rsidRPr="3124799E" w:rsidR="3124799E">
        <w:rPr>
          <w:rFonts w:ascii="Calibri" w:hAnsi="Calibri" w:cs="Calibri"/>
          <w:noProof w:val="0"/>
          <w:lang w:val="pt-BR"/>
        </w:rPr>
        <w:t>Federação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. </w:t>
      </w:r>
      <w:r w:rsidRPr="3124799E" w:rsidR="3124799E">
        <w:rPr>
          <w:rFonts w:ascii="Calibri" w:hAnsi="Calibri" w:cs="Calibri"/>
          <w:noProof w:val="0"/>
          <w:lang w:val="pt-BR"/>
        </w:rPr>
        <w:t>Portanto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foi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estabelecida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como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entrega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estratégica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para </w:t>
      </w:r>
      <w:r w:rsidRPr="3124799E" w:rsidR="3124799E">
        <w:rPr>
          <w:rFonts w:ascii="Calibri" w:hAnsi="Calibri" w:cs="Calibri"/>
          <w:noProof w:val="0"/>
          <w:lang w:val="pt-BR"/>
        </w:rPr>
        <w:t>essa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iniciativa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2024 </w:t>
      </w:r>
      <w:r w:rsidRPr="3124799E" w:rsidR="3124799E">
        <w:rPr>
          <w:rFonts w:ascii="Calibri" w:hAnsi="Calibri" w:cs="Calibri"/>
          <w:noProof w:val="0"/>
          <w:lang w:val="pt-BR"/>
        </w:rPr>
        <w:t>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entrega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das </w:t>
      </w:r>
      <w:r w:rsidRPr="3124799E" w:rsidR="3124799E">
        <w:rPr>
          <w:rFonts w:ascii="Calibri" w:hAnsi="Calibri" w:cs="Calibri"/>
          <w:noProof w:val="0"/>
          <w:lang w:val="pt-BR"/>
        </w:rPr>
        <w:t>sedes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físicas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dos </w:t>
      </w:r>
      <w:r w:rsidRPr="3124799E" w:rsidR="3124799E">
        <w:rPr>
          <w:rFonts w:ascii="Calibri" w:hAnsi="Calibri" w:cs="Calibri"/>
          <w:noProof w:val="0"/>
          <w:lang w:val="pt-BR"/>
        </w:rPr>
        <w:t>Escritórios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Estaduais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nas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capitais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das 27 </w:t>
      </w:r>
      <w:r w:rsidRPr="3124799E" w:rsidR="3124799E">
        <w:rPr>
          <w:rFonts w:ascii="Calibri" w:hAnsi="Calibri" w:cs="Calibri"/>
          <w:noProof w:val="0"/>
          <w:lang w:val="pt-BR"/>
        </w:rPr>
        <w:t>Unidades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 </w:t>
      </w:r>
      <w:r w:rsidRPr="3124799E" w:rsidR="3124799E">
        <w:rPr>
          <w:rFonts w:ascii="Calibri" w:hAnsi="Calibri" w:cs="Calibri"/>
          <w:noProof w:val="0"/>
          <w:lang w:val="pt-BR"/>
        </w:rPr>
        <w:t>Federação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. Para o </w:t>
      </w:r>
      <w:r w:rsidRPr="3124799E" w:rsidR="3124799E">
        <w:rPr>
          <w:rFonts w:ascii="Calibri" w:hAnsi="Calibri" w:cs="Calibri"/>
          <w:noProof w:val="0"/>
          <w:lang w:val="pt-BR"/>
        </w:rPr>
        <w:t>alcance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das </w:t>
      </w:r>
      <w:r w:rsidRPr="3124799E" w:rsidR="3124799E">
        <w:rPr>
          <w:rFonts w:ascii="Calibri" w:hAnsi="Calibri" w:cs="Calibri"/>
          <w:noProof w:val="0"/>
          <w:lang w:val="pt-BR"/>
        </w:rPr>
        <w:t>entregas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2024 </w:t>
      </w:r>
      <w:r w:rsidRPr="3124799E" w:rsidR="3124799E">
        <w:rPr>
          <w:rFonts w:ascii="Calibri" w:hAnsi="Calibri" w:cs="Calibri"/>
          <w:noProof w:val="0"/>
          <w:lang w:val="pt-BR"/>
        </w:rPr>
        <w:t>foram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realizadas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tratativas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com a CONJUR </w:t>
      </w:r>
      <w:r w:rsidRPr="3124799E" w:rsidR="3124799E">
        <w:rPr>
          <w:rFonts w:ascii="Calibri" w:hAnsi="Calibri" w:cs="Calibri"/>
          <w:noProof w:val="0"/>
          <w:lang w:val="pt-BR"/>
        </w:rPr>
        <w:t>referentes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à </w:t>
      </w:r>
      <w:r w:rsidRPr="3124799E" w:rsidR="3124799E">
        <w:rPr>
          <w:rFonts w:ascii="Calibri" w:hAnsi="Calibri" w:cs="Calibri"/>
          <w:noProof w:val="0"/>
          <w:lang w:val="pt-BR"/>
        </w:rPr>
        <w:t>manifestação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jurídica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quanto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à </w:t>
      </w:r>
      <w:r w:rsidRPr="3124799E" w:rsidR="3124799E">
        <w:rPr>
          <w:rFonts w:ascii="Calibri" w:hAnsi="Calibri" w:cs="Calibri"/>
          <w:noProof w:val="0"/>
          <w:lang w:val="pt-BR"/>
        </w:rPr>
        <w:t>competência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para </w:t>
      </w:r>
      <w:r w:rsidRPr="3124799E" w:rsidR="3124799E">
        <w:rPr>
          <w:rFonts w:ascii="Calibri" w:hAnsi="Calibri" w:cs="Calibri"/>
          <w:noProof w:val="0"/>
          <w:lang w:val="pt-BR"/>
        </w:rPr>
        <w:t>assinatura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dos </w:t>
      </w:r>
      <w:r w:rsidRPr="3124799E" w:rsidR="3124799E">
        <w:rPr>
          <w:rFonts w:ascii="Calibri" w:hAnsi="Calibri" w:cs="Calibri"/>
          <w:noProof w:val="0"/>
          <w:lang w:val="pt-BR"/>
        </w:rPr>
        <w:t>termos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compartilhamento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espaços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físicos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passo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fundamental para a </w:t>
      </w:r>
      <w:r w:rsidRPr="3124799E" w:rsidR="3124799E">
        <w:rPr>
          <w:rFonts w:ascii="Calibri" w:hAnsi="Calibri" w:cs="Calibri"/>
          <w:noProof w:val="0"/>
          <w:lang w:val="pt-BR"/>
        </w:rPr>
        <w:t>instalação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 </w:t>
      </w:r>
      <w:r w:rsidRPr="3124799E" w:rsidR="3124799E">
        <w:rPr>
          <w:rFonts w:ascii="Calibri" w:hAnsi="Calibri" w:cs="Calibri"/>
          <w:noProof w:val="0"/>
          <w:lang w:val="pt-BR"/>
        </w:rPr>
        <w:t>infraestrutura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necessária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equipamento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serviços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que </w:t>
      </w:r>
      <w:r w:rsidRPr="3124799E" w:rsidR="3124799E">
        <w:rPr>
          <w:rFonts w:ascii="Calibri" w:hAnsi="Calibri" w:cs="Calibri"/>
          <w:noProof w:val="0"/>
          <w:lang w:val="pt-BR"/>
        </w:rPr>
        <w:t>viabilizem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o </w:t>
      </w:r>
      <w:r w:rsidRPr="3124799E" w:rsidR="3124799E">
        <w:rPr>
          <w:rFonts w:ascii="Calibri" w:hAnsi="Calibri" w:cs="Calibri"/>
          <w:noProof w:val="0"/>
          <w:lang w:val="pt-BR"/>
        </w:rPr>
        <w:t>funcionamento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 </w:t>
      </w:r>
      <w:r w:rsidRPr="3124799E" w:rsidR="3124799E">
        <w:rPr>
          <w:rFonts w:ascii="Calibri" w:hAnsi="Calibri" w:cs="Calibri"/>
          <w:noProof w:val="0"/>
          <w:lang w:val="pt-BR"/>
        </w:rPr>
        <w:t>escritório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; </w:t>
      </w:r>
      <w:r w:rsidRPr="3124799E" w:rsidR="3124799E">
        <w:rPr>
          <w:rFonts w:ascii="Calibri" w:hAnsi="Calibri" w:cs="Calibri"/>
          <w:noProof w:val="0"/>
          <w:lang w:val="pt-BR"/>
        </w:rPr>
        <w:t>foram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realizadas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reuniões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com o Instituto do </w:t>
      </w:r>
      <w:r w:rsidRPr="3124799E" w:rsidR="3124799E">
        <w:rPr>
          <w:rFonts w:ascii="Calibri" w:hAnsi="Calibri" w:cs="Calibri"/>
          <w:noProof w:val="0"/>
          <w:lang w:val="pt-BR"/>
        </w:rPr>
        <w:t>Patrimônio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Histórico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Artístico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Nacional (IPHAN), o </w:t>
      </w:r>
      <w:r w:rsidRPr="3124799E" w:rsidR="3124799E">
        <w:rPr>
          <w:rFonts w:ascii="Calibri" w:hAnsi="Calibri" w:cs="Calibri"/>
          <w:noProof w:val="0"/>
          <w:lang w:val="pt-BR"/>
        </w:rPr>
        <w:t>Ministério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 </w:t>
      </w:r>
      <w:r w:rsidRPr="3124799E" w:rsidR="3124799E">
        <w:rPr>
          <w:rFonts w:ascii="Calibri" w:hAnsi="Calibri" w:cs="Calibri"/>
          <w:noProof w:val="0"/>
          <w:lang w:val="pt-BR"/>
        </w:rPr>
        <w:t>Trabalho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Emprego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(MET) e o </w:t>
      </w:r>
      <w:r w:rsidRPr="3124799E" w:rsidR="3124799E">
        <w:rPr>
          <w:rFonts w:ascii="Calibri" w:hAnsi="Calibri" w:cs="Calibri"/>
          <w:noProof w:val="0"/>
          <w:lang w:val="pt-BR"/>
        </w:rPr>
        <w:t>Ministério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da </w:t>
      </w:r>
      <w:r w:rsidRPr="3124799E" w:rsidR="3124799E">
        <w:rPr>
          <w:rFonts w:ascii="Calibri" w:hAnsi="Calibri" w:cs="Calibri"/>
          <w:noProof w:val="0"/>
          <w:lang w:val="pt-BR"/>
        </w:rPr>
        <w:t>Gestão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da </w:t>
      </w:r>
      <w:r w:rsidRPr="3124799E" w:rsidR="3124799E">
        <w:rPr>
          <w:rFonts w:ascii="Calibri" w:hAnsi="Calibri" w:cs="Calibri"/>
          <w:noProof w:val="0"/>
          <w:lang w:val="pt-BR"/>
        </w:rPr>
        <w:t>Inovação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Serviços </w:t>
      </w:r>
      <w:r w:rsidRPr="3124799E" w:rsidR="3124799E">
        <w:rPr>
          <w:rFonts w:ascii="Calibri" w:hAnsi="Calibri" w:cs="Calibri"/>
          <w:noProof w:val="0"/>
          <w:lang w:val="pt-BR"/>
        </w:rPr>
        <w:t>Públicos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(MGI) para </w:t>
      </w:r>
      <w:r w:rsidRPr="3124799E" w:rsidR="3124799E">
        <w:rPr>
          <w:rFonts w:ascii="Calibri" w:hAnsi="Calibri" w:cs="Calibri"/>
          <w:noProof w:val="0"/>
          <w:lang w:val="pt-BR"/>
        </w:rPr>
        <w:t>formalização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termos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compartilhamento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espaços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entre esses </w:t>
      </w:r>
      <w:r w:rsidRPr="3124799E" w:rsidR="3124799E">
        <w:rPr>
          <w:rFonts w:ascii="Calibri" w:hAnsi="Calibri" w:cs="Calibri"/>
          <w:noProof w:val="0"/>
          <w:lang w:val="pt-BR"/>
        </w:rPr>
        <w:t>órgãos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as equipes dos </w:t>
      </w:r>
      <w:r w:rsidRPr="3124799E" w:rsidR="3124799E">
        <w:rPr>
          <w:rFonts w:ascii="Calibri" w:hAnsi="Calibri" w:cs="Calibri"/>
          <w:noProof w:val="0"/>
          <w:lang w:val="pt-BR"/>
        </w:rPr>
        <w:t>escritórios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estaduais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. </w:t>
      </w:r>
    </w:p>
    <w:p w:rsidRPr="005E1E73" w:rsidR="00CD44D5" w:rsidP="3124799E" w:rsidRDefault="00CD44D5" w14:paraId="49100449" w14:textId="3B07166F">
      <w:pPr>
        <w:spacing w:after="120" w:afterAutospacing="off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 xml:space="preserve">Assim, no quadro geral, em 31 de dezembro de 2024, 14 escritórios (AL, GO, PA, RJ, MT, MA, CE, RS, BA, ES, PE, TO, SC e SE), cerca de 52%, estão em vias de formalizar os termos de compartilhamento de espaço, e três dos escritórios (PB, </w:t>
      </w:r>
      <w:r w:rsidRPr="3124799E" w:rsidR="3124799E">
        <w:rPr>
          <w:rFonts w:ascii="Calibri" w:hAnsi="Calibri" w:cs="Calibri"/>
          <w:noProof w:val="0"/>
          <w:lang w:val="pt-BR"/>
        </w:rPr>
        <w:t>MS e PR</w:t>
      </w:r>
      <w:r w:rsidRPr="3124799E" w:rsidR="3124799E">
        <w:rPr>
          <w:rFonts w:ascii="Calibri" w:hAnsi="Calibri" w:cs="Calibri"/>
          <w:noProof w:val="0"/>
          <w:lang w:val="pt-BR"/>
        </w:rPr>
        <w:t>), cerca de 11%, já têm as sedes formalizadas. Não obstante, importa informar que há mais de um ano todos os escritórios já vêm desenvolvendo acompanhamento e fiscalização das ações culturais desenvolvidas ou incentivadas pelo MinC nos territórios.</w:t>
      </w:r>
    </w:p>
    <w:p w:rsidRPr="00054AF5" w:rsidR="00CD44D5" w:rsidP="543DB0D0" w:rsidRDefault="00CD44D5" w14:paraId="06813931" w14:textId="77777777">
      <w:pPr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</w:pPr>
      <w:r w:rsidRPr="543DB0D0" w:rsidR="543DB0D0">
        <w:rPr>
          <w:rFonts w:ascii="Impact" w:hAnsi="Impact" w:cs="Calibri" w:asciiTheme="majorAscii" w:hAnsiTheme="majorAscii"/>
          <w:noProof w:val="0"/>
          <w:color w:val="0070C0"/>
          <w:lang w:val="pt-BR"/>
        </w:rPr>
        <w:t xml:space="preserve">PROGRAMA NACIONAL DOS COMITÊS DE CULTURA (PNCC):  </w:t>
      </w:r>
      <w:r w:rsidRPr="543DB0D0" w:rsidR="543DB0D0">
        <w:rPr>
          <w:rFonts w:ascii="Impact" w:hAnsi="Impact" w:cs="Calibri" w:asciiTheme="majorAscii" w:hAnsiTheme="majorAscii"/>
          <w:noProof w:val="0"/>
          <w:color w:val="0070C0"/>
          <w:lang w:val="pt-BR"/>
        </w:rPr>
        <w:t>Agentes</w:t>
      </w:r>
      <w:r w:rsidRPr="543DB0D0" w:rsidR="543DB0D0">
        <w:rPr>
          <w:rFonts w:ascii="Impact" w:hAnsi="Impact" w:cs="Calibri" w:asciiTheme="majorAscii" w:hAnsiTheme="majorAscii"/>
          <w:noProof w:val="0"/>
          <w:color w:val="0070C0"/>
          <w:lang w:val="pt-BR"/>
        </w:rPr>
        <w:t xml:space="preserve"> e </w:t>
      </w:r>
      <w:r w:rsidRPr="543DB0D0" w:rsidR="543DB0D0">
        <w:rPr>
          <w:rFonts w:ascii="Impact" w:hAnsi="Impact" w:cs="Calibri" w:asciiTheme="majorAscii" w:hAnsiTheme="majorAscii"/>
          <w:noProof w:val="0"/>
          <w:color w:val="0070C0"/>
          <w:lang w:val="pt-BR"/>
        </w:rPr>
        <w:t>Comitês</w:t>
      </w:r>
    </w:p>
    <w:p w:rsidRPr="005E1E73" w:rsidR="00CD44D5" w:rsidP="3124799E" w:rsidRDefault="00CD44D5" w14:paraId="267BCA05" w14:textId="45DA3895">
      <w:pPr>
        <w:pStyle w:val="NormalWeb"/>
        <w:spacing w:after="120" w:afterAutospacing="off"/>
        <w:jc w:val="both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>A Formação de 601 Agentes Territoriais de Cultura para as 510 Regiões Imediatas (</w:t>
      </w:r>
      <w:r w:rsidRPr="3124799E" w:rsidR="3124799E">
        <w:rPr>
          <w:rFonts w:ascii="Calibri" w:hAnsi="Calibri" w:cs="Calibri"/>
          <w:noProof w:val="0"/>
          <w:lang w:val="pt-BR"/>
        </w:rPr>
        <w:t>RIs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), de acordo com o IBGE, foi instrumentalizada por meio de Termos de Execução Descentralizada (TEDs) assinados com IFRN (Nordeste), IFPA (Norte), IFG (Centro-Oeste), IFRJ (Sudeste) e </w:t>
      </w:r>
      <w:r w:rsidRPr="3124799E" w:rsidR="3124799E">
        <w:rPr>
          <w:rFonts w:ascii="Calibri" w:hAnsi="Calibri" w:cs="Calibri"/>
          <w:noProof w:val="0"/>
          <w:lang w:val="pt-BR"/>
        </w:rPr>
        <w:t>IFSul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(Sul), portanto, um para cada região. Quanto à execução das etapas das ações, pode-se destacar que o plano de trabalho dos TEDs já foi integralmente concluído, garantindo a base administrativa para o avanço das ações. A contratação de profissionais encontra-se 80% concluída, enquanto a seleção dos Agentes Territoriais de Cultura, realizada via editais públicos dos Institutos Federais, já foi 100% concluída.</w:t>
      </w:r>
    </w:p>
    <w:p w:rsidRPr="005E1E73" w:rsidR="00CD44D5" w:rsidP="3124799E" w:rsidRDefault="00CD44D5" w14:paraId="7601E4A6" w14:textId="77777777">
      <w:pPr>
        <w:pStyle w:val="NormalWeb"/>
        <w:spacing w:after="120" w:afterAutospacing="off"/>
        <w:jc w:val="both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 xml:space="preserve">No </w:t>
      </w:r>
      <w:r w:rsidRPr="3124799E" w:rsidR="3124799E">
        <w:rPr>
          <w:rFonts w:ascii="Calibri" w:hAnsi="Calibri" w:cs="Calibri"/>
          <w:noProof w:val="0"/>
          <w:lang w:val="pt-BR"/>
        </w:rPr>
        <w:t>âmbito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pedagógico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elaboração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dos </w:t>
      </w:r>
      <w:r w:rsidRPr="3124799E" w:rsidR="3124799E">
        <w:rPr>
          <w:rFonts w:ascii="Calibri" w:hAnsi="Calibri" w:cs="Calibri"/>
          <w:noProof w:val="0"/>
          <w:lang w:val="pt-BR"/>
        </w:rPr>
        <w:t>projetos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para </w:t>
      </w:r>
      <w:r w:rsidRPr="3124799E" w:rsidR="3124799E">
        <w:rPr>
          <w:rFonts w:ascii="Calibri" w:hAnsi="Calibri" w:cs="Calibri"/>
          <w:noProof w:val="0"/>
          <w:lang w:val="pt-BR"/>
        </w:rPr>
        <w:t>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cursos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atingiu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33% de </w:t>
      </w:r>
      <w:r w:rsidRPr="3124799E" w:rsidR="3124799E">
        <w:rPr>
          <w:rFonts w:ascii="Calibri" w:hAnsi="Calibri" w:cs="Calibri"/>
          <w:noProof w:val="0"/>
          <w:lang w:val="pt-BR"/>
        </w:rPr>
        <w:t>conclusão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o </w:t>
      </w:r>
      <w:r w:rsidRPr="3124799E" w:rsidR="3124799E">
        <w:rPr>
          <w:rFonts w:ascii="Calibri" w:hAnsi="Calibri" w:cs="Calibri"/>
          <w:noProof w:val="0"/>
          <w:lang w:val="pt-BR"/>
        </w:rPr>
        <w:t>mesmo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percentual da </w:t>
      </w:r>
      <w:r w:rsidRPr="3124799E" w:rsidR="3124799E">
        <w:rPr>
          <w:rFonts w:ascii="Calibri" w:hAnsi="Calibri" w:cs="Calibri"/>
          <w:noProof w:val="0"/>
          <w:lang w:val="pt-BR"/>
        </w:rPr>
        <w:t>produção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audiovisual, que </w:t>
      </w:r>
      <w:r w:rsidRPr="3124799E" w:rsidR="3124799E">
        <w:rPr>
          <w:rFonts w:ascii="Calibri" w:hAnsi="Calibri" w:cs="Calibri"/>
          <w:noProof w:val="0"/>
          <w:lang w:val="pt-BR"/>
        </w:rPr>
        <w:t>inclui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gravação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edição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inserção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recursos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acessibilidade</w:t>
      </w:r>
      <w:r w:rsidRPr="3124799E" w:rsidR="3124799E">
        <w:rPr>
          <w:rFonts w:ascii="Calibri" w:hAnsi="Calibri" w:cs="Calibri"/>
          <w:noProof w:val="0"/>
          <w:lang w:val="pt-BR"/>
        </w:rPr>
        <w:t xml:space="preserve">. A </w:t>
      </w:r>
      <w:r w:rsidRPr="3124799E" w:rsidR="3124799E">
        <w:rPr>
          <w:rFonts w:ascii="Calibri" w:hAnsi="Calibri" w:cs="Calibri"/>
          <w:noProof w:val="0"/>
          <w:lang w:val="pt-BR"/>
        </w:rPr>
        <w:t>produção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materiais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didáticos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destinados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aos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Ambientes </w:t>
      </w:r>
      <w:r w:rsidRPr="3124799E" w:rsidR="3124799E">
        <w:rPr>
          <w:rFonts w:ascii="Calibri" w:hAnsi="Calibri" w:cs="Calibri"/>
          <w:noProof w:val="0"/>
          <w:lang w:val="pt-BR"/>
        </w:rPr>
        <w:t>Virtuais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noProof w:val="0"/>
          <w:lang w:val="pt-BR"/>
        </w:rPr>
        <w:t>Aprendizagem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está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estágio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inicial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com 10% de </w:t>
      </w:r>
      <w:r w:rsidRPr="3124799E" w:rsidR="3124799E">
        <w:rPr>
          <w:rFonts w:ascii="Calibri" w:hAnsi="Calibri" w:cs="Calibri"/>
          <w:noProof w:val="0"/>
          <w:lang w:val="pt-BR"/>
        </w:rPr>
        <w:t>conclusão</w:t>
      </w:r>
      <w:r w:rsidRPr="3124799E" w:rsidR="3124799E">
        <w:rPr>
          <w:rFonts w:ascii="Calibri" w:hAnsi="Calibri" w:cs="Calibri"/>
          <w:noProof w:val="0"/>
          <w:lang w:val="pt-BR"/>
        </w:rPr>
        <w:t>.</w:t>
      </w:r>
    </w:p>
    <w:p w:rsidRPr="005E1E73" w:rsidR="00CD44D5" w:rsidP="3124799E" w:rsidRDefault="00CD44D5" w14:paraId="40152F6C" w14:textId="72C7A0E6">
      <w:pPr>
        <w:pStyle w:val="NormalWeb"/>
        <w:spacing w:after="120" w:afterAutospacing="off"/>
        <w:jc w:val="both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 xml:space="preserve">A formação e orientação pedagógica para coordenadores e tutores alcançou 20% de execução, abrangendo materiais de apoio, oficinas e reuniões. A realização dos cursos pelos agentes iniciou-se, com 10% do cronograma completo. Já o monitoramento das ações culturais realizadas pelos agentes e a organização dos 10 encontros regionais e do Encontro Nacional do Programa Nacional de Cultura, Educação e Cidadania (PNCC) serão iniciados em 2025. Nesse contexto, informa-se que em 31 de dezembro de 2024, cerca de 40% da entrega foi concluída. 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5E1E73" w:rsidR="00CD44D5" w:rsidP="3124799E" w:rsidRDefault="00CD44D5" w14:paraId="07C91782" w14:textId="6FECA60C">
      <w:pPr>
        <w:pStyle w:val="NormalWeb"/>
        <w:spacing w:after="120" w:afterAutospacing="off"/>
        <w:jc w:val="both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>Durante o ano de 2024 as equipes dos comitês foram organizadas e contratadas e os Comitês de Cultura foram apresentados ao setor cultural dos seus respetivos estados e territórios de atuação. Ressalta-se a importante da participação dos comitês na realização de oficinas de divulgação do edital dos Agentes Territoriais de Cultura, assim como na iniciativa de alguns comitês na realização de oficinas e ações de incubadoras de projetos para fortalecimento dos editais da PNAB e LPG. Portanto, de acordo com o planejado, essa entrega encontra-se 80% concluída.</w:t>
      </w:r>
    </w:p>
    <w:p w:rsidR="3124799E" w:rsidP="3124799E" w:rsidRDefault="3124799E" w14:paraId="36EF4F1C" w14:textId="7B37EC4C">
      <w:pPr>
        <w:spacing w:after="0" w:afterAutospacing="off" w:line="259" w:lineRule="auto"/>
        <w:ind w:left="284" w:right="-20" w:hanging="284"/>
        <w:jc w:val="left"/>
        <w:rPr>
          <w:rFonts w:ascii="Impact" w:hAnsi="Impact" w:cs="Calibri" w:asciiTheme="majorAscii" w:hAnsiTheme="majorAscii"/>
          <w:noProof w:val="0"/>
          <w:color w:val="548DD4" w:themeColor="text2" w:themeTint="99" w:themeShade="FF"/>
          <w:lang w:val="pt-BR"/>
        </w:rPr>
      </w:pPr>
    </w:p>
    <w:p w:rsidRPr="00054AF5" w:rsidR="00CD44D5" w:rsidP="543DB0D0" w:rsidRDefault="00CD44D5" w14:paraId="48977E76" w14:textId="77777777">
      <w:pPr>
        <w:spacing w:after="120" w:afterAutospacing="off" w:line="259" w:lineRule="auto"/>
        <w:ind w:left="284" w:right="-20" w:hanging="284"/>
        <w:jc w:val="left"/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</w:pPr>
      <w:r w:rsidRPr="543DB0D0" w:rsidR="543DB0D0">
        <w:rPr>
          <w:rFonts w:ascii="Impact" w:hAnsi="Impact" w:cs="Calibri" w:asciiTheme="majorAscii" w:hAnsiTheme="majorAscii"/>
          <w:noProof w:val="0"/>
          <w:color w:val="0070C0"/>
          <w:lang w:val="pt-BR"/>
        </w:rPr>
        <w:t>CULTURA DIGITAL</w:t>
      </w:r>
    </w:p>
    <w:p w:rsidRPr="005E1E73" w:rsidR="00CD44D5" w:rsidP="3124799E" w:rsidRDefault="00CD44D5" w14:paraId="76DB6375" w14:textId="6F4547F8">
      <w:pPr>
        <w:spacing w:after="120" w:afterAutospacing="off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 xml:space="preserve">Durante o exercício de 2024, o Laboratório de Cultura Digital realizou oficinas, cursos de extensão e organizou eventos de médio porte (Conferência Livre Temática de Cultura Digital e o Seminário Nacional de Cultura Digital), além da participação qualificada na IV Conferência Nacional de Cultura. </w:t>
      </w:r>
    </w:p>
    <w:p w:rsidRPr="005E1E73" w:rsidR="00CD44D5" w:rsidP="3124799E" w:rsidRDefault="00CD44D5" w14:paraId="5983839A" w14:textId="77777777">
      <w:pPr>
        <w:spacing w:after="120" w:afterAutospacing="off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 xml:space="preserve">Como </w:t>
      </w:r>
      <w:r w:rsidRPr="3124799E" w:rsidR="3124799E">
        <w:rPr>
          <w:rFonts w:ascii="Calibri" w:hAnsi="Calibri" w:cs="Calibri"/>
          <w:noProof w:val="0"/>
          <w:lang w:val="pt-BR"/>
        </w:rPr>
        <w:t>entrega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estratégica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desta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iniciativa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destaca</w:t>
      </w:r>
      <w:r w:rsidRPr="3124799E" w:rsidR="3124799E">
        <w:rPr>
          <w:rFonts w:ascii="Calibri" w:hAnsi="Calibri" w:cs="Calibri"/>
          <w:noProof w:val="0"/>
          <w:lang w:val="pt-BR"/>
        </w:rPr>
        <w:t>-se o 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>Encontrão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 Hacker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um </w:t>
      </w:r>
      <w:r w:rsidRPr="3124799E" w:rsidR="3124799E">
        <w:rPr>
          <w:rFonts w:ascii="Calibri" w:hAnsi="Calibri" w:cs="Calibri"/>
          <w:noProof w:val="0"/>
          <w:lang w:val="pt-BR"/>
        </w:rPr>
        <w:t>evento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inovador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direcionado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a </w:t>
      </w:r>
      <w:r w:rsidRPr="3124799E" w:rsidR="3124799E">
        <w:rPr>
          <w:rFonts w:ascii="Calibri" w:hAnsi="Calibri" w:cs="Calibri"/>
          <w:noProof w:val="0"/>
          <w:lang w:val="pt-BR"/>
        </w:rPr>
        <w:t>gestores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conselheiros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profissionais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empreendedores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demais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interessados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políticas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culturais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no </w:t>
      </w:r>
      <w:r w:rsidRPr="3124799E" w:rsidR="3124799E">
        <w:rPr>
          <w:rFonts w:ascii="Calibri" w:hAnsi="Calibri" w:cs="Calibri"/>
          <w:noProof w:val="0"/>
          <w:lang w:val="pt-BR"/>
        </w:rPr>
        <w:t>uso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ferramentas </w:t>
      </w:r>
      <w:r w:rsidRPr="3124799E" w:rsidR="3124799E">
        <w:rPr>
          <w:rFonts w:ascii="Calibri" w:hAnsi="Calibri" w:cs="Calibri"/>
          <w:noProof w:val="0"/>
          <w:lang w:val="pt-BR"/>
        </w:rPr>
        <w:t>digitais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para a </w:t>
      </w:r>
      <w:r w:rsidRPr="3124799E" w:rsidR="3124799E">
        <w:rPr>
          <w:rFonts w:ascii="Calibri" w:hAnsi="Calibri" w:cs="Calibri"/>
          <w:noProof w:val="0"/>
          <w:lang w:val="pt-BR"/>
        </w:rPr>
        <w:t>gestão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pública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. O </w:t>
      </w:r>
      <w:r w:rsidRPr="3124799E" w:rsidR="3124799E">
        <w:rPr>
          <w:rFonts w:ascii="Calibri" w:hAnsi="Calibri" w:cs="Calibri"/>
          <w:noProof w:val="0"/>
          <w:lang w:val="pt-BR"/>
        </w:rPr>
        <w:t>objetivo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central do </w:t>
      </w:r>
      <w:r w:rsidRPr="3124799E" w:rsidR="3124799E">
        <w:rPr>
          <w:rFonts w:ascii="Calibri" w:hAnsi="Calibri" w:cs="Calibri"/>
          <w:noProof w:val="0"/>
          <w:lang w:val="pt-BR"/>
        </w:rPr>
        <w:t>evento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é </w:t>
      </w:r>
      <w:r w:rsidRPr="3124799E" w:rsidR="3124799E">
        <w:rPr>
          <w:rFonts w:ascii="Calibri" w:hAnsi="Calibri" w:cs="Calibri"/>
          <w:noProof w:val="0"/>
          <w:lang w:val="pt-BR"/>
        </w:rPr>
        <w:t>fomentar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o </w:t>
      </w:r>
      <w:r w:rsidRPr="3124799E" w:rsidR="3124799E">
        <w:rPr>
          <w:rFonts w:ascii="Calibri" w:hAnsi="Calibri" w:cs="Calibri"/>
          <w:noProof w:val="0"/>
          <w:lang w:val="pt-BR"/>
        </w:rPr>
        <w:t>diálogo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sobre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soluções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tecnológicas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e </w:t>
      </w:r>
      <w:r w:rsidRPr="3124799E" w:rsidR="3124799E">
        <w:rPr>
          <w:rFonts w:ascii="Calibri" w:hAnsi="Calibri" w:cs="Calibri"/>
          <w:noProof w:val="0"/>
          <w:lang w:val="pt-BR"/>
        </w:rPr>
        <w:t>processos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participativos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voltados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à </w:t>
      </w:r>
      <w:r w:rsidRPr="3124799E" w:rsidR="3124799E">
        <w:rPr>
          <w:rFonts w:ascii="Calibri" w:hAnsi="Calibri" w:cs="Calibri"/>
          <w:noProof w:val="0"/>
          <w:lang w:val="pt-BR"/>
        </w:rPr>
        <w:t>gestão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cultural.</w:t>
      </w:r>
    </w:p>
    <w:p w:rsidRPr="005E1E73" w:rsidR="00CD44D5" w:rsidP="3124799E" w:rsidRDefault="00CD44D5" w14:paraId="255C8DC7" w14:textId="77777777">
      <w:pPr>
        <w:spacing w:after="120" w:afterAutospacing="off"/>
        <w:rPr>
          <w:rFonts w:ascii="Calibri" w:hAnsi="Calibri" w:cs="Calibri"/>
          <w:noProof w:val="0"/>
          <w:lang w:val="pt-BR"/>
        </w:rPr>
      </w:pPr>
      <w:r w:rsidRPr="3124799E" w:rsidR="3124799E">
        <w:rPr>
          <w:rFonts w:ascii="Calibri" w:hAnsi="Calibri" w:cs="Calibri"/>
          <w:noProof w:val="0"/>
          <w:lang w:val="pt-BR"/>
        </w:rPr>
        <w:t>Até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o </w:t>
      </w:r>
      <w:r w:rsidRPr="3124799E" w:rsidR="3124799E">
        <w:rPr>
          <w:rFonts w:ascii="Calibri" w:hAnsi="Calibri" w:cs="Calibri"/>
          <w:noProof w:val="0"/>
          <w:lang w:val="pt-BR"/>
        </w:rPr>
        <w:t>dia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31 de </w:t>
      </w:r>
      <w:r w:rsidRPr="3124799E" w:rsidR="3124799E">
        <w:rPr>
          <w:rFonts w:ascii="Calibri" w:hAnsi="Calibri" w:cs="Calibri"/>
          <w:noProof w:val="0"/>
          <w:lang w:val="pt-BR"/>
        </w:rPr>
        <w:t>dezembro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de 2024, </w:t>
      </w:r>
      <w:r w:rsidRPr="3124799E" w:rsidR="3124799E">
        <w:rPr>
          <w:rFonts w:ascii="Calibri" w:hAnsi="Calibri" w:cs="Calibri"/>
          <w:noProof w:val="0"/>
          <w:lang w:val="pt-BR"/>
        </w:rPr>
        <w:t>todas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as </w:t>
      </w:r>
      <w:r w:rsidRPr="3124799E" w:rsidR="3124799E">
        <w:rPr>
          <w:rFonts w:ascii="Calibri" w:hAnsi="Calibri" w:cs="Calibri"/>
          <w:noProof w:val="0"/>
          <w:lang w:val="pt-BR"/>
        </w:rPr>
        <w:t>etapas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preparatórias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foram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integralmente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concluídas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incluindo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o 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plano de 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>trabalho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 (100%)</w:t>
      </w:r>
      <w:r w:rsidRPr="3124799E" w:rsidR="3124799E">
        <w:rPr>
          <w:rFonts w:ascii="Calibri" w:hAnsi="Calibri" w:cs="Calibri"/>
          <w:noProof w:val="0"/>
          <w:lang w:val="pt-BR"/>
        </w:rPr>
        <w:t>, a 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>contratação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 da 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>curadoria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 (100%)</w:t>
      </w:r>
      <w:r w:rsidRPr="3124799E" w:rsidR="3124799E">
        <w:rPr>
          <w:rFonts w:ascii="Calibri" w:hAnsi="Calibri" w:cs="Calibri"/>
          <w:noProof w:val="0"/>
          <w:lang w:val="pt-BR"/>
        </w:rPr>
        <w:t>, a 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>contratação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 da 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>produtora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 local (100%)</w:t>
      </w:r>
      <w:r w:rsidRPr="3124799E" w:rsidR="3124799E">
        <w:rPr>
          <w:rFonts w:ascii="Calibri" w:hAnsi="Calibri" w:cs="Calibri"/>
          <w:noProof w:val="0"/>
          <w:lang w:val="pt-BR"/>
        </w:rPr>
        <w:t> e o 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>lançamento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 do 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>edital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 para 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>oficineiros</w:t>
      </w:r>
      <w:r w:rsidRPr="3124799E" w:rsidR="3124799E">
        <w:rPr>
          <w:rFonts w:ascii="Calibri" w:hAnsi="Calibri" w:cs="Calibri"/>
          <w:b w:val="1"/>
          <w:bCs w:val="1"/>
          <w:noProof w:val="0"/>
          <w:lang w:val="pt-BR"/>
        </w:rPr>
        <w:t xml:space="preserve"> (100%)</w:t>
      </w:r>
      <w:r w:rsidRPr="3124799E" w:rsidR="3124799E">
        <w:rPr>
          <w:rFonts w:ascii="Calibri" w:hAnsi="Calibri" w:cs="Calibri"/>
          <w:noProof w:val="0"/>
          <w:lang w:val="pt-BR"/>
        </w:rPr>
        <w:t xml:space="preserve">. A </w:t>
      </w:r>
      <w:r w:rsidRPr="3124799E" w:rsidR="3124799E">
        <w:rPr>
          <w:rFonts w:ascii="Calibri" w:hAnsi="Calibri" w:cs="Calibri"/>
          <w:noProof w:val="0"/>
          <w:lang w:val="pt-BR"/>
        </w:rPr>
        <w:t>única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etapa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pendente é a </w:t>
      </w:r>
      <w:r w:rsidRPr="3124799E" w:rsidR="3124799E">
        <w:rPr>
          <w:rFonts w:ascii="Calibri" w:hAnsi="Calibri" w:cs="Calibri"/>
          <w:noProof w:val="0"/>
          <w:lang w:val="pt-BR"/>
        </w:rPr>
        <w:t>realização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do </w:t>
      </w:r>
      <w:r w:rsidRPr="3124799E" w:rsidR="3124799E">
        <w:rPr>
          <w:rFonts w:ascii="Calibri" w:hAnsi="Calibri" w:cs="Calibri"/>
          <w:noProof w:val="0"/>
          <w:lang w:val="pt-BR"/>
        </w:rPr>
        <w:t>evento</w:t>
      </w:r>
      <w:r w:rsidRPr="3124799E" w:rsidR="3124799E">
        <w:rPr>
          <w:rFonts w:ascii="Calibri" w:hAnsi="Calibri" w:cs="Calibri"/>
          <w:noProof w:val="0"/>
          <w:lang w:val="pt-BR"/>
        </w:rPr>
        <w:t xml:space="preserve">, </w:t>
      </w:r>
      <w:r w:rsidRPr="3124799E" w:rsidR="3124799E">
        <w:rPr>
          <w:rFonts w:ascii="Calibri" w:hAnsi="Calibri" w:cs="Calibri"/>
          <w:noProof w:val="0"/>
          <w:lang w:val="pt-BR"/>
        </w:rPr>
        <w:t>programada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para </w:t>
      </w:r>
      <w:r w:rsidRPr="3124799E" w:rsidR="3124799E">
        <w:rPr>
          <w:rFonts w:ascii="Calibri" w:hAnsi="Calibri" w:cs="Calibri"/>
          <w:noProof w:val="0"/>
          <w:lang w:val="pt-BR"/>
        </w:rPr>
        <w:t>ocorrer</w:t>
      </w:r>
      <w:r w:rsidRPr="3124799E" w:rsidR="3124799E">
        <w:rPr>
          <w:rFonts w:ascii="Calibri" w:hAnsi="Calibri" w:cs="Calibri"/>
          <w:noProof w:val="0"/>
          <w:lang w:val="pt-BR"/>
        </w:rPr>
        <w:t xml:space="preserve"> </w:t>
      </w:r>
      <w:r w:rsidRPr="3124799E" w:rsidR="3124799E">
        <w:rPr>
          <w:rFonts w:ascii="Calibri" w:hAnsi="Calibri" w:cs="Calibri"/>
          <w:noProof w:val="0"/>
          <w:lang w:val="pt-BR"/>
        </w:rPr>
        <w:t>em</w:t>
      </w:r>
      <w:r w:rsidRPr="3124799E" w:rsidR="3124799E">
        <w:rPr>
          <w:rFonts w:ascii="Calibri" w:hAnsi="Calibri" w:cs="Calibri"/>
          <w:noProof w:val="0"/>
          <w:lang w:val="pt-BR"/>
        </w:rPr>
        <w:t> </w:t>
      </w:r>
      <w:r w:rsidRPr="3124799E" w:rsidR="3124799E">
        <w:rPr>
          <w:rFonts w:ascii="Calibri" w:hAnsi="Calibri" w:cs="Calibri"/>
          <w:b w:val="0"/>
          <w:bCs w:val="0"/>
          <w:noProof w:val="0"/>
          <w:lang w:val="pt-BR"/>
        </w:rPr>
        <w:t>Fortaleza-CE</w:t>
      </w:r>
      <w:r w:rsidRPr="3124799E" w:rsidR="3124799E">
        <w:rPr>
          <w:rFonts w:ascii="Calibri" w:hAnsi="Calibri" w:cs="Calibri"/>
          <w:b w:val="0"/>
          <w:bCs w:val="0"/>
          <w:noProof w:val="0"/>
          <w:lang w:val="pt-BR"/>
        </w:rPr>
        <w:t xml:space="preserve">, no </w:t>
      </w:r>
      <w:r w:rsidRPr="3124799E" w:rsidR="3124799E">
        <w:rPr>
          <w:rFonts w:ascii="Calibri" w:hAnsi="Calibri" w:cs="Calibri"/>
          <w:b w:val="0"/>
          <w:bCs w:val="0"/>
          <w:noProof w:val="0"/>
          <w:lang w:val="pt-BR"/>
        </w:rPr>
        <w:t>mês</w:t>
      </w:r>
      <w:r w:rsidRPr="3124799E" w:rsidR="3124799E">
        <w:rPr>
          <w:rFonts w:ascii="Calibri" w:hAnsi="Calibri" w:cs="Calibri"/>
          <w:b w:val="0"/>
          <w:bCs w:val="0"/>
          <w:noProof w:val="0"/>
          <w:lang w:val="pt-BR"/>
        </w:rPr>
        <w:t xml:space="preserve"> de </w:t>
      </w:r>
      <w:r w:rsidRPr="3124799E" w:rsidR="3124799E">
        <w:rPr>
          <w:rFonts w:ascii="Calibri" w:hAnsi="Calibri" w:cs="Calibri"/>
          <w:b w:val="0"/>
          <w:bCs w:val="0"/>
          <w:noProof w:val="0"/>
          <w:lang w:val="pt-BR"/>
        </w:rPr>
        <w:t>março</w:t>
      </w:r>
      <w:r w:rsidRPr="3124799E" w:rsidR="3124799E">
        <w:rPr>
          <w:rFonts w:ascii="Calibri" w:hAnsi="Calibri" w:cs="Calibri"/>
          <w:b w:val="0"/>
          <w:bCs w:val="0"/>
          <w:noProof w:val="0"/>
          <w:lang w:val="pt-BR"/>
        </w:rPr>
        <w:t xml:space="preserve"> de 2025</w:t>
      </w:r>
      <w:r w:rsidRPr="3124799E" w:rsidR="3124799E">
        <w:rPr>
          <w:rFonts w:ascii="Calibri" w:hAnsi="Calibri" w:cs="Calibri"/>
          <w:b w:val="0"/>
          <w:bCs w:val="0"/>
          <w:noProof w:val="0"/>
          <w:lang w:val="pt-BR"/>
        </w:rPr>
        <w:t>.</w:t>
      </w:r>
    </w:p>
    <w:p w:rsidRPr="005E1E73" w:rsidR="00CD44D5" w:rsidP="3124799E" w:rsidRDefault="00CD44D5" w14:paraId="6AB7D52C" w14:textId="77777777" w14:noSpellErr="1">
      <w:pPr>
        <w:rPr>
          <w:rFonts w:ascii="Calibri" w:hAnsi="Calibri" w:cs="Calibri"/>
          <w:noProof w:val="0"/>
          <w:lang w:val="pt-BR"/>
        </w:rPr>
      </w:pPr>
    </w:p>
    <w:p w:rsidRPr="00332EFF" w:rsidR="00D105D8" w:rsidRDefault="00D105D8" w14:paraId="02CC2436" w14:textId="77777777" w14:noSpellErr="1">
      <w:pPr>
        <w:rPr>
          <w:noProof w:val="0"/>
          <w:lang w:val="pt-BR"/>
        </w:rPr>
      </w:pPr>
    </w:p>
    <w:p w:rsidR="00D105D8" w:rsidRDefault="00D105D8" w14:paraId="02CC2437" w14:textId="77777777" w14:noSpellErr="1">
      <w:pPr>
        <w:rPr>
          <w:noProof w:val="0"/>
          <w:lang w:val="pt-BR"/>
        </w:rPr>
      </w:pPr>
    </w:p>
    <w:p w:rsidRPr="00332EFF" w:rsidR="00D105D8" w:rsidRDefault="00D105D8" w14:paraId="02CC2438" w14:textId="77777777" w14:noSpellErr="1">
      <w:pPr>
        <w:rPr>
          <w:noProof w:val="0"/>
          <w:lang w:val="pt-BR"/>
        </w:rPr>
      </w:pPr>
    </w:p>
    <w:p w:rsidR="00D105D8" w:rsidRDefault="00D105D8" w14:paraId="02CC2439" w14:textId="77777777" w14:noSpellErr="1">
      <w:pPr>
        <w:rPr>
          <w:noProof w:val="0"/>
          <w:lang w:val="pt-BR"/>
        </w:rPr>
      </w:pPr>
    </w:p>
    <w:p w:rsidR="00D105D8" w:rsidRDefault="00D105D8" w14:paraId="02CC243A" w14:textId="77777777" w14:noSpellErr="1">
      <w:pPr>
        <w:rPr>
          <w:noProof w:val="0"/>
          <w:lang w:val="pt-BR"/>
        </w:rPr>
      </w:pPr>
    </w:p>
    <w:p w:rsidR="00D105D8" w:rsidRDefault="00D105D8" w14:paraId="02CC243B" w14:textId="77777777">
      <w:pPr>
        <w:spacing w:after="120" w:line="240" w:lineRule="auto"/>
        <w:rPr>
          <w:b/>
          <w:bCs/>
          <w:sz w:val="22"/>
          <w:szCs w:val="22"/>
          <w:lang w:val="pt-BR"/>
        </w:rPr>
      </w:pPr>
    </w:p>
    <w:p w:rsidRPr="00332EFF" w:rsidR="00D105D8" w:rsidRDefault="00D105D8" w14:paraId="02CC243C" w14:textId="77777777">
      <w:pPr>
        <w:widowControl w:val="0"/>
        <w:suppressAutoHyphens/>
        <w:spacing w:after="0" w:line="240" w:lineRule="auto"/>
        <w:jc w:val="left"/>
        <w:rPr>
          <w:lang w:val="pt-BR"/>
        </w:rPr>
      </w:pPr>
    </w:p>
    <w:p w:rsidR="00D105D8" w:rsidRDefault="00D105D8" w14:paraId="02CC243D" w14:textId="77777777">
      <w:pPr>
        <w:rPr>
          <w:lang w:val="pt-BR"/>
        </w:rPr>
      </w:pPr>
    </w:p>
    <w:sectPr w:rsidR="00D105D8">
      <w:headerReference w:type="default" r:id="rId22"/>
      <w:footerReference w:type="default" r:id="rId23"/>
      <w:endnotePr>
        <w:numFmt w:val="decimal"/>
      </w:endnotePr>
      <w:pgSz w:w="15840" w:h="12240" w:orient="landscape"/>
      <w:pgMar w:top="1440" w:right="1440" w:bottom="1440" w:left="1440" w:header="708" w:footer="708" w:gutter="0"/>
      <w:cols w:space="708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7E0" w:rsidRDefault="005677E0" w14:paraId="7AE474F0" w14:textId="77777777">
      <w:pPr>
        <w:spacing w:after="0" w:line="240" w:lineRule="auto"/>
      </w:pPr>
      <w:r>
        <w:separator/>
      </w:r>
    </w:p>
  </w:endnote>
  <w:endnote w:type="continuationSeparator" w:id="0">
    <w:p w:rsidR="005677E0" w:rsidRDefault="005677E0" w14:paraId="72ACA7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P="3124799E" w:rsidRDefault="00471E6B" w14:paraId="02CC243F" w14:textId="77777777" w14:noSpellErr="1">
    <w:pPr>
      <w:pStyle w:val="Rodap"/>
      <w:spacing w:before="120" w:beforeAutospacing="off"/>
      <w:ind w:right="360"/>
      <w:rPr>
        <w:color w:val="FFFFFF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 wp14:anchorId="02CC2446" wp14:editId="02CC2447">
              <wp:simplePos x="0" y="0"/>
              <wp:positionH relativeFrom="outsideMargin">
                <wp:posOffset>-180340</wp:posOffset>
              </wp:positionH>
              <wp:positionV relativeFrom="page">
                <wp:align>bottom</wp:align>
              </wp:positionV>
              <wp:extent cx="179705" cy="629920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HAAAA5P7//wMAAAAAAAAAAAAAABsBAADgAwAAAAAAACQ3AADwKwAAKAAAAAgAAAABAAAAAQAAAA=="/>
                        </a:ext>
                      </a:extLst>
                    </wps:cNvSpPr>
                    <wps:spPr>
                      <a:xfrm>
                        <a:off x="0" y="0"/>
                        <a:ext cx="179705" cy="62992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105D8" w:rsidRDefault="00D105D8" w14:paraId="02CC244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spcFirstLastPara="1" vertOverflow="clip" horzOverflow="clip" lIns="91440" tIns="45720" rIns="91440" bIns="4572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style="position:absolute;left:0;text-align:left;margin-left:-14.2pt;margin-top:0;width:14.15pt;height:49.6pt;z-index:-251658237;visibility:visible;mso-wrap-style:square;mso-wrap-distance-left:9pt;mso-wrap-distance-top:0;mso-wrap-distance-right:9pt;mso-wrap-distance-bottom:0;mso-position-horizontal:absolute;mso-position-horizontal-relative:inner-margin-area;mso-position-vertical:bottom;mso-position-vertical-relative:page;v-text-anchor:middle" o:spid="_x0000_s1028" o:allowincell="f" fillcolor="#4a85c2" stroked="f" strokeweight="1pt" w14:anchorId="02CC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">
              <v:textbox>
                <w:txbxContent>
                  <w:p w:rsidR="00D105D8" w:rsidRDefault="00D105D8" w14:paraId="02CC244B" w14:textId="7777777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7E0" w:rsidRDefault="005677E0" w14:paraId="23201E05" w14:textId="77777777">
      <w:pPr>
        <w:spacing w:after="0" w:line="240" w:lineRule="auto"/>
      </w:pPr>
      <w:r>
        <w:separator/>
      </w:r>
    </w:p>
  </w:footnote>
  <w:footnote w:type="continuationSeparator" w:id="0">
    <w:p w:rsidR="005677E0" w:rsidRDefault="005677E0" w14:paraId="1C58CD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E" w14:textId="77777777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4" behindDoc="0" locked="0" layoutInCell="0" hidden="0" allowOverlap="1" wp14:anchorId="02CC2440" wp14:editId="02CC2441">
              <wp:simplePos x="0" y="0"/>
              <wp:positionH relativeFrom="margin">
                <wp:align>left</wp:align>
              </wp:positionH>
              <wp:positionV relativeFrom="page">
                <wp:posOffset>361950</wp:posOffset>
              </wp:positionV>
              <wp:extent cx="2581275" cy="11430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qBw4ZBMAAAAlAAAAZAAAAE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EAAAABAAAAAAAAAAAAAAAAAAAAOgIAAOEPAAC0AAAAAAAAAKAFAAA6AgAAKAAAAAgAAAABAAAAAQAAAA=="/>
                        </a:ext>
                      </a:extLst>
                    </wps:cNvSpPr>
                    <wps:spPr>
                      <a:xfrm>
                        <a:off x="0" y="0"/>
                        <a:ext cx="258127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05D8" w:rsidRDefault="00471E6B" w14:paraId="02CC2448" w14:textId="7C23FF2B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  <w:r w:rsidRPr="00332EFF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Transparência e Prestação de Contas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 xml:space="preserve"> – </w:t>
                          </w:r>
                          <w:r w:rsidR="00B41494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º trimestre de 202</w:t>
                          </w:r>
                          <w:r w:rsidR="00B41494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</w:p>
                        <w:p w:rsidR="00B41494" w:rsidRDefault="00B41494" w14:paraId="1E3B6EFD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  <w:p w:rsidR="00D105D8" w:rsidRDefault="00D105D8" w14:paraId="02CC2449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style="position:absolute;left:0;text-align:left;margin-left:0;margin-top:28.5pt;width:203.25pt;height:9pt;z-index:2516582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spid="_x0000_s1026" o:allowincell="f" stroked="f" strokeweight=".5pt" w14:anchorId="02CC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">
              <v:textbox inset="0,0,0,0">
                <w:txbxContent>
                  <w:p w:rsidR="00D105D8" w:rsidRDefault="00471E6B" w14:paraId="02CC2448" w14:textId="7C23FF2B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  <w:r w:rsidRPr="00332EFF">
                      <w:rPr>
                        <w:color w:val="595959"/>
                        <w:sz w:val="16"/>
                        <w:szCs w:val="16"/>
                        <w:lang w:val="pt-BR"/>
                      </w:rPr>
                      <w:t>Transparência e Prestação de Contas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 xml:space="preserve"> – </w:t>
                    </w:r>
                    <w:r w:rsidR="00B41494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>º trimestre de 202</w:t>
                    </w:r>
                    <w:r w:rsidR="00B41494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</w:p>
                  <w:p w:rsidR="00B41494" w:rsidRDefault="00B41494" w14:paraId="1E3B6EFD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</w:p>
                  <w:p w:rsidR="00D105D8" w:rsidRDefault="00D105D8" w14:paraId="02CC2449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5" behindDoc="0" locked="0" layoutInCell="0" hidden="0" allowOverlap="1" wp14:anchorId="02CC2442" wp14:editId="02CC2443">
              <wp:simplePos x="0" y="0"/>
              <wp:positionH relativeFrom="column">
                <wp:posOffset>-914400</wp:posOffset>
              </wp:positionH>
              <wp:positionV relativeFrom="paragraph">
                <wp:posOffset>-124460</wp:posOffset>
              </wp:positionV>
              <wp:extent cx="629920" cy="180340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CAAAAYPr//wAAAAACAAAAPP///+ADAAAcAQAAAAAAAAAAAAAAAgAAKAAAAAgAAAABAAAAAQAAAA=="/>
                        </a:ext>
                      </a:extLst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style="position:absolute;margin-left:-1in;margin-top:-9.8pt;width:49.6pt;height:14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o:allowincell="f" fillcolor="#4a85c2" stroked="f" strokeweight="1pt" w14:anchorId="50B49F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EAB"/>
    <w:multiLevelType w:val="hybridMultilevel"/>
    <w:tmpl w:val="67B4B9D4"/>
    <w:name w:val="Lista numerada 3"/>
    <w:lvl w:ilvl="0" w:tplc="881070A2">
      <w:numFmt w:val="bullet"/>
      <w:pStyle w:val="PargrafodaLista"/>
      <w:lvlText w:val=""/>
      <w:lvlJc w:val="left"/>
      <w:pPr>
        <w:ind w:left="360" w:firstLine="0"/>
      </w:pPr>
      <w:rPr>
        <w:rFonts w:ascii="Symbol" w:hAnsi="Symbol"/>
      </w:rPr>
    </w:lvl>
    <w:lvl w:ilvl="1" w:tplc="7AA6D4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6A8C3B2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27DEFD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C6D1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F8272E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4F0AD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0E65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09C4DE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1" w15:restartNumberingAfterBreak="0">
    <w:nsid w:val="26FE0E55"/>
    <w:multiLevelType w:val="hybridMultilevel"/>
    <w:tmpl w:val="2EA24DA6"/>
    <w:name w:val="Lista numerada 2"/>
    <w:lvl w:ilvl="0" w:tplc="466858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2903E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55C8D34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8320C1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89812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9708338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6A067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D4C6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1C2988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2" w15:restartNumberingAfterBreak="0">
    <w:nsid w:val="6C931FE3"/>
    <w:multiLevelType w:val="hybridMultilevel"/>
    <w:tmpl w:val="DD267E96"/>
    <w:lvl w:ilvl="0" w:tplc="C0D6677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C72B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0CE1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428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12603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7D2B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F009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61E3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4CC5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E94FAB"/>
    <w:multiLevelType w:val="hybridMultilevel"/>
    <w:tmpl w:val="15B66144"/>
    <w:name w:val="Lista numerada 1"/>
    <w:lvl w:ilvl="0" w:tplc="D1B6CBD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F14E0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34C4C0C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CA301E6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CA2DF6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042EC2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4EDCCF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066D6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4A0B3D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num w:numId="1" w16cid:durableId="1537112280">
    <w:abstractNumId w:val="3"/>
  </w:num>
  <w:num w:numId="2" w16cid:durableId="378667691">
    <w:abstractNumId w:val="1"/>
  </w:num>
  <w:num w:numId="3" w16cid:durableId="1842162035">
    <w:abstractNumId w:val="0"/>
  </w:num>
  <w:num w:numId="4" w16cid:durableId="992411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D8"/>
    <w:rsid w:val="00091D00"/>
    <w:rsid w:val="00095F3F"/>
    <w:rsid w:val="00194F5E"/>
    <w:rsid w:val="002D6CCB"/>
    <w:rsid w:val="00301EB6"/>
    <w:rsid w:val="00332EFF"/>
    <w:rsid w:val="003D2FA3"/>
    <w:rsid w:val="00471E6B"/>
    <w:rsid w:val="004A7FF2"/>
    <w:rsid w:val="005677E0"/>
    <w:rsid w:val="005A594E"/>
    <w:rsid w:val="007108BD"/>
    <w:rsid w:val="00AB17D5"/>
    <w:rsid w:val="00B41494"/>
    <w:rsid w:val="00CC0653"/>
    <w:rsid w:val="00CD44D5"/>
    <w:rsid w:val="00D105D8"/>
    <w:rsid w:val="00DC77D2"/>
    <w:rsid w:val="1E5902C1"/>
    <w:rsid w:val="2B58407A"/>
    <w:rsid w:val="2EB12822"/>
    <w:rsid w:val="3124799E"/>
    <w:rsid w:val="543DB0D0"/>
    <w:rsid w:val="65FAC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C242E"/>
  <w15:docId w15:val="{AF2BC8E3-6BCF-49B2-A18C-25E8808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4"/>
        <w:szCs w:val="24"/>
        <w:lang w:val="pt-BR" w:eastAsia="zh-CN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/>
      <w:lang w:val="en-US"/>
    </w:rPr>
  </w:style>
  <w:style w:type="paragraph" w:styleId="Ttulo1">
    <w:name w:val="heading 1"/>
    <w:basedOn w:val="Normal"/>
    <w:next w:val="Normal"/>
    <w:qFormat/>
    <w:pPr>
      <w:pBdr>
        <w:top w:val="nil"/>
        <w:left w:val="nil"/>
        <w:bottom w:val="single" w:color="4A85C2" w:sz="18" w:space="6"/>
        <w:right w:val="nil"/>
        <w:between w:val="nil"/>
      </w:pBdr>
      <w:outlineLvl w:val="0"/>
    </w:pPr>
    <w:rPr>
      <w:rFonts w:ascii="Impact" w:hAnsi="Impact"/>
      <w:color w:val="4A85C2"/>
      <w:sz w:val="28"/>
      <w:szCs w:val="28"/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basedOn w:val="Normal"/>
    <w:qFormat/>
    <w:pPr>
      <w:spacing w:before="120" w:line="240" w:lineRule="auto"/>
      <w:jc w:val="right"/>
    </w:pPr>
    <w:rPr>
      <w:sz w:val="18"/>
      <w:szCs w:val="18"/>
      <w:lang w:val="pt-B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</w:rPr>
  </w:style>
  <w:style w:type="paragraph" w:styleId="Unidade" w:customStyle="1">
    <w:name w:val="Unidade"/>
    <w:basedOn w:val="Ttulo1"/>
    <w:qFormat/>
    <w:pPr>
      <w:pBdr>
        <w:bottom w:val="nil"/>
      </w:pBdr>
      <w:spacing w:after="480" w:line="240" w:lineRule="auto"/>
      <w:jc w:val="left"/>
    </w:pPr>
    <w:rPr>
      <w:sz w:val="32"/>
      <w:szCs w:val="32"/>
    </w:rPr>
  </w:style>
  <w:style w:type="paragraph" w:styleId="Ttulo10" w:customStyle="1">
    <w:name w:val="Título1"/>
    <w:basedOn w:val="Normal"/>
    <w:qFormat/>
    <w:rPr>
      <w:b/>
      <w:bCs/>
      <w:sz w:val="22"/>
      <w:szCs w:val="22"/>
      <w:lang w:val="pt-BR"/>
    </w:rPr>
  </w:style>
  <w:style w:type="paragraph" w:styleId="PargrafodaLista">
    <w:name w:val="List Paragraph"/>
    <w:basedOn w:val="Normal"/>
    <w:qFormat/>
    <w:pPr>
      <w:numPr>
        <w:numId w:val="3"/>
      </w:numPr>
      <w:ind w:left="284" w:hanging="284"/>
      <w:contextualSpacing/>
    </w:pPr>
    <w:rPr>
      <w:lang w:val="pt-BR"/>
    </w:rPr>
  </w:style>
  <w:style w:type="paragraph" w:styleId="Heading2" w:customStyle="1">
    <w:name w:val="Heading2"/>
    <w:basedOn w:val="Normal"/>
    <w:qFormat/>
    <w:rPr>
      <w:color w:val="5885BD"/>
      <w:sz w:val="28"/>
      <w:szCs w:val="28"/>
      <w:lang w:val="pt-BR"/>
    </w:rPr>
  </w:style>
  <w:style w:type="paragraph" w:styleId="Heading3" w:customStyle="1">
    <w:name w:val="Heading3"/>
    <w:basedOn w:val="Normal"/>
    <w:qFormat/>
    <w:rPr>
      <w:color w:val="5885BD"/>
      <w:lang w:val="pt-BR"/>
    </w:rPr>
  </w:style>
  <w:style w:type="paragraph" w:styleId="Tabela-body" w:customStyle="1">
    <w:name w:val="Tabela - body"/>
    <w:basedOn w:val="Normal"/>
    <w:qFormat/>
    <w:pPr>
      <w:spacing w:after="0" w:line="240" w:lineRule="auto"/>
      <w:jc w:val="center"/>
    </w:pPr>
    <w:rPr>
      <w:rFonts w:eastAsia="Times New Roman"/>
      <w:color w:val="000000"/>
      <w:sz w:val="20"/>
      <w:szCs w:val="20"/>
      <w:lang w:val="pt-BR"/>
    </w:rPr>
  </w:style>
  <w:style w:type="paragraph" w:styleId="Tabela-header" w:customStyle="1">
    <w:name w:val="Tabela - header"/>
    <w:basedOn w:val="Normal"/>
    <w:qFormat/>
    <w:pPr>
      <w:spacing w:after="0" w:line="240" w:lineRule="auto"/>
      <w:jc w:val="center"/>
    </w:pPr>
    <w:rPr>
      <w:rFonts w:eastAsia="Times New Roman"/>
      <w:b/>
      <w:bCs/>
      <w:color w:val="FFFFFF"/>
      <w:sz w:val="18"/>
      <w:szCs w:val="18"/>
      <w:lang w:val="pt-BR"/>
    </w:rPr>
  </w:style>
  <w:style w:type="character" w:styleId="Ttulo1Char" w:customStyle="1">
    <w:name w:val="Título 1 Char"/>
    <w:basedOn w:val="Fontepargpadro"/>
    <w:rPr>
      <w:rFonts w:ascii="Impact" w:hAnsi="Impact"/>
      <w:color w:val="4A85C2"/>
      <w:sz w:val="28"/>
      <w:szCs w:val="28"/>
      <w:lang w:val="pt-BR"/>
    </w:rPr>
  </w:style>
  <w:style w:type="character" w:styleId="CabealhoChar" w:customStyle="1">
    <w:name w:val="Cabeçalho Char"/>
    <w:basedOn w:val="Fontepargpadro"/>
    <w:rPr>
      <w:rFonts w:ascii="Calibri Light" w:hAnsi="Calibri Light"/>
      <w:lang w:val="en-US"/>
    </w:rPr>
  </w:style>
  <w:style w:type="character" w:styleId="RodapChar" w:customStyle="1">
    <w:name w:val="Rodapé Char"/>
    <w:basedOn w:val="Fontepargpadro"/>
    <w:rPr>
      <w:rFonts w:ascii="Calibri Light" w:hAnsi="Calibri Light"/>
      <w:lang w:val="en-US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Calibri Light" w:hAnsi="Calibri Light"/>
      <w:color w:val="404040"/>
      <w:sz w:val="20"/>
    </w:rPr>
    <w:tblPr>
      <w:tblStyleRowBandSize w:val="1"/>
      <w:tblBorders>
        <w:insideV w:val="single" w:color="F2F2F2" w:sz="4" w:space="0"/>
      </w:tblBorders>
      <w:tblCellMar>
        <w:top w:w="113" w:type="dxa"/>
        <w:left w:w="170" w:type="dxa"/>
        <w:bottom w:w="113" w:type="dxa"/>
        <w:right w:w="170" w:type="dxa"/>
      </w:tblCellMar>
    </w:tblPr>
    <w:tblStylePr w:type="firstRow">
      <w:pPr>
        <w:jc w:val="center"/>
      </w:pPr>
      <w:rPr>
        <w:rFonts w:ascii="Calibri" w:hAnsi="Calibri"/>
        <w:color w:val="FFFFFF"/>
      </w:rPr>
      <w:tblPr/>
      <w:tcPr>
        <w:shd w:val="solid" w:color="5885BD" w:fill="auto"/>
      </w:tcPr>
    </w:tblStylePr>
    <w:tblStylePr w:type="lastRow">
      <w:tblPr/>
      <w:tcPr>
        <w:tcBorders>
          <w:bottom w:val="single" w:color="5885BD" w:sz="4" w:space="0"/>
        </w:tcBorders>
      </w:tcPr>
    </w:tblStylePr>
    <w:tblStylePr w:type="band1Horz">
      <w:tblPr/>
      <w:tcPr>
        <w:shd w:val="solid" w:color="E7EBF6" w:fill="auto"/>
      </w:tcPr>
    </w:tblStylePr>
  </w:style>
  <w:style w:type="table" w:styleId="TabeladeGrade1Clara-nfase61" w:customStyle="1">
    <w:name w:val="Tabela de Grade 1 Clara - Ênfase 61"/>
    <w:basedOn w:val="Tabelanormal"/>
    <w:uiPriority w:val="46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1" w:customStyle="1">
    <w:name w:val="Tabela de Grade Clara1"/>
    <w:basedOn w:val="Tabelanormal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SimplesTabela11" w:customStyle="1">
    <w:name w:val="Simples Tabela 11"/>
    <w:basedOn w:val="Tabelanormal"/>
    <w:uiPriority w:val="41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1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SimplesTabela21" w:customStyle="1">
    <w:name w:val="Simples Tabela 21"/>
    <w:basedOn w:val="Tabelanormal"/>
    <w:uiPriority w:val="42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SimplesTabela31" w:customStyle="1">
    <w:name w:val="Simples Tabela 31"/>
    <w:basedOn w:val="Tabela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character" w:styleId="Hyperlink">
    <w:name w:val="Hyperlink"/>
    <w:basedOn w:val="Fontepargpadro"/>
    <w:uiPriority w:val="99"/>
    <w:unhideWhenUsed/>
    <w:rsid w:val="00CD44D5"/>
    <w:rPr>
      <w:color w:val="0000FF" w:themeColor="hyperlink"/>
      <w:u w:val="single"/>
    </w:rPr>
  </w:style>
  <w:style w:type="paragraph" w:styleId="paragraph" w:customStyle="1">
    <w:name w:val="paragraph"/>
    <w:basedOn w:val="Normal"/>
    <w:qFormat/>
    <w:rsid w:val="00CD44D5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  <w:lang w:val="pt-BR" w:eastAsia="pt-BR"/>
    </w:rPr>
  </w:style>
  <w:style w:type="character" w:styleId="normaltextrun" w:customStyle="1">
    <w:name w:val="normaltextrun"/>
    <w:basedOn w:val="Fontepargpadro"/>
    <w:rsid w:val="00CD44D5"/>
  </w:style>
  <w:style w:type="character" w:styleId="eop" w:customStyle="1">
    <w:name w:val="eop"/>
    <w:basedOn w:val="Fontepargpadro"/>
    <w:rsid w:val="00CD44D5"/>
  </w:style>
  <w:style w:type="character" w:styleId="wacimagecontainer" w:customStyle="1">
    <w:name w:val="wacimagecontainer"/>
    <w:basedOn w:val="Fontepargpadro"/>
    <w:rsid w:val="00CD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image" Target="media/image3.png" Id="rId15" /><Relationship Type="http://schemas.openxmlformats.org/officeDocument/2006/relationships/footer" Target="footer1.xml" Id="rId23" /><Relationship Type="http://schemas.openxmlformats.org/officeDocument/2006/relationships/image" Target="media/image1.png" Id="rId10" /><Relationship Type="http://schemas.openxmlformats.org/officeDocument/2006/relationships/image" Target="media/image5.sv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22" /><Relationship Type="http://schemas.openxmlformats.org/officeDocument/2006/relationships/hyperlink" Target="https://www.gov.br/cultura/pt-br/assuntos/pnab/guias-praticos-1/guias-praticos" TargetMode="External" Id="Rcd780141576f4d23" /><Relationship Type="http://schemas.openxmlformats.org/officeDocument/2006/relationships/hyperlink" Target="https://www.gov.br/cultura/pt-br/assuntos/pnab/modelos-de-editais/modelos-de-editais" TargetMode="External" Id="R827719a3d68c40b6" /><Relationship Type="http://schemas.openxmlformats.org/officeDocument/2006/relationships/hyperlink" Target="https://www.gov.br/cultura/pt-br/assuntos/pnab/minutas" TargetMode="External" Id="R725455ad1d474f6e" /><Relationship Type="http://schemas.openxmlformats.org/officeDocument/2006/relationships/hyperlink" Target="https://www.youtube.com/watch?v=ttmhYZ8hjlM" TargetMode="External" Id="Re1da6e273ea049c5" /><Relationship Type="http://schemas.openxmlformats.org/officeDocument/2006/relationships/hyperlink" Target="https://www.youtube.com/watch?v=Unc8Id_mbD4&amp;list=PL8AWdr87f1TS1iIj4Bh-0zbmjQFhHqvyL" TargetMode="External" Id="R62b645afa53c471c" /><Relationship Type="http://schemas.openxmlformats.org/officeDocument/2006/relationships/hyperlink" Target="https://www.youtube.com/watch?v=HrhuKLDZVrg" TargetMode="External" Id="R59abe55cf2354e1f" /><Relationship Type="http://schemas.openxmlformats.org/officeDocument/2006/relationships/hyperlink" Target="https://www.gov.br/cultura/pt-br/assuntos/noticias/circula-minc-comeca-mais-uma-temporada-de-oficinas-do-ministerio-da-cultura-por-todo-o-pais" TargetMode="External" Id="R166e5847f8c548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Impact"/>
        <a:ea typeface="Calibri"/>
        <a:cs typeface="Times New Roman"/>
      </a:majorFont>
      <a:minorFont>
        <a:latin typeface="Calibri Light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b4926d-acbd-4078-80aa-364300a6e3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FF90457B8F8409F6C7AE72D71A1E2" ma:contentTypeVersion="6" ma:contentTypeDescription="Create a new document." ma:contentTypeScope="" ma:versionID="9eea61c054497a03fe14c664a20b4efc">
  <xsd:schema xmlns:xsd="http://www.w3.org/2001/XMLSchema" xmlns:xs="http://www.w3.org/2001/XMLSchema" xmlns:p="http://schemas.microsoft.com/office/2006/metadata/properties" xmlns:ns3="d0b4926d-acbd-4078-80aa-364300a6e3aa" targetNamespace="http://schemas.microsoft.com/office/2006/metadata/properties" ma:root="true" ma:fieldsID="107fe03300ed5a430800b222e9f04d51" ns3:_="">
    <xsd:import namespace="d0b4926d-acbd-4078-80aa-364300a6e3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926d-acbd-4078-80aa-364300a6e3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5CF9E-295C-401F-99E7-D430A6E01568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0b4926d-acbd-4078-80aa-364300a6e3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072543-D39E-410C-AF41-B493FCEC0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13703-2EA9-4D9D-BACC-DA9D55F06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926d-acbd-4078-80aa-364300a6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m62430</dc:creator>
  <lastModifiedBy>Usuário Convidado</lastModifiedBy>
  <revision>4</revision>
  <dcterms:created xsi:type="dcterms:W3CDTF">2025-01-31T13:59:00.0000000Z</dcterms:created>
  <dcterms:modified xsi:type="dcterms:W3CDTF">2025-01-31T21:19:21.1359886Z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0x010100E87FF90457B8F8409F6C7AE72D71A1E2</vt:lpwstr>
  </property>
  <property fmtid="{D5CDD505-2E9C-101B-9397-08002B2CF9AE}" pid="3" name="MediaServiceImageTags">
    <vt:lpwstr/>
  </property>
</Properties>
</file>