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25C6" w:rsidR="000312DF" w:rsidP="0997BA5F" w:rsidRDefault="000312DF" w14:paraId="620F7DD6" w14:textId="39944EE4">
      <w:pPr>
        <w:pStyle w:val="Unidade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</w:pPr>
      <w:r w:rsidRPr="0997BA5F" w:rsidR="57919550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  <w:t>Secretaria</w:t>
      </w:r>
      <w:r w:rsidRPr="0997BA5F" w:rsidR="57919550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  <w:t xml:space="preserve"> o Audiovisual (SAV</w:t>
      </w:r>
      <w:r w:rsidRPr="0997BA5F" w:rsidR="57919550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  <w:t>)</w:t>
      </w:r>
    </w:p>
    <w:p w:rsidRPr="002025C6" w:rsidR="000312DF" w:rsidP="0997BA5F" w:rsidRDefault="000312DF" w14:paraId="5D8436D6" w14:textId="23A36725">
      <w:pPr>
        <w:pStyle w:val="Ttulo1"/>
        <w:spacing w:before="0" w:beforeAutospacing="off" w:after="240" w:afterAutospacing="off" w:line="264" w:lineRule="auto"/>
        <w:jc w:val="both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sz w:val="28"/>
          <w:szCs w:val="28"/>
          <w:lang w:val="pt-BR"/>
        </w:rPr>
      </w:pPr>
      <w:r w:rsidRPr="0997BA5F" w:rsidR="4C95D721">
        <w:rPr>
          <w:rFonts w:ascii="Impact" w:hAnsi="Impact" w:eastAsia="Impact" w:cs="Impact"/>
          <w:b w:val="0"/>
          <w:bCs w:val="0"/>
          <w:noProof w:val="0"/>
          <w:color w:val="0070C0"/>
          <w:sz w:val="28"/>
          <w:szCs w:val="28"/>
          <w:lang w:val="pt-BR"/>
        </w:rPr>
        <w:t>Q</w:t>
      </w:r>
      <w:r w:rsidRPr="0997BA5F" w:rsidR="4C95D72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sz w:val="28"/>
          <w:szCs w:val="28"/>
          <w:lang w:val="pt-BR"/>
        </w:rPr>
        <w:t>uem somos?</w:t>
      </w:r>
    </w:p>
    <w:p w:rsidRPr="002025C6" w:rsidR="000312DF" w:rsidP="57919550" w:rsidRDefault="000312DF" w14:paraId="11CB88A7" w14:textId="187ABBD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A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Secretaria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do Audiovisual (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SAv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) é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responsável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por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propor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elaborar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e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supervisionar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a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política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para o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setor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audiovisual,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envolvendo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a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qualificação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de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profissionais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e a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preservação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e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difusão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da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memória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audiovisual,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em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defesa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do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patrimônio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audiovisual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brasileiro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e do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seu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reconhecimento</w:t>
      </w:r>
      <w:r w:rsidRPr="0997BA5F" w:rsidR="57919550">
        <w:rPr>
          <w:rFonts w:ascii="Calibri" w:hAnsi="Calibri" w:eastAsia="Calibri" w:cs="Calibri"/>
          <w:noProof w:val="0"/>
          <w:sz w:val="24"/>
          <w:szCs w:val="24"/>
          <w:lang w:val="pt-BR"/>
        </w:rPr>
        <w:t>.</w:t>
      </w:r>
    </w:p>
    <w:p w:rsidR="000312DF" w:rsidP="0997BA5F" w:rsidRDefault="000312DF" w14:paraId="6BCD0579" w14:textId="41ADCF75">
      <w:pPr>
        <w:pStyle w:val="Ttulo1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</w:pPr>
      <w:bookmarkStart w:name="_Hlk188880468" w:id="0"/>
      <w:r w:rsidRPr="0997BA5F" w:rsidR="57919550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noProof w:val="0"/>
          <w:color w:val="0070C0"/>
          <w:lang w:val="pt-BR"/>
        </w:rPr>
        <w:t>Nossa atuação em 2024, referente às iniciativas estratégicas</w:t>
      </w:r>
    </w:p>
    <w:bookmarkEnd w:id="0"/>
    <w:p w:rsidRPr="005E1E73" w:rsidR="000312DF" w:rsidP="57919550" w:rsidRDefault="000312DF" w14:paraId="3357E646" w14:textId="77777777">
      <w:pPr>
        <w:rPr>
          <w:rFonts w:ascii="Calibri" w:hAnsi="Calibri" w:eastAsia="Calibri" w:cs="Calibri"/>
          <w:b w:val="1"/>
          <w:bCs w:val="1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Secretaria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Audiovisual (SAV)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Ministério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Cultura (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MinC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)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consolidou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uma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série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ações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estratégicas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fortalecer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audiovisual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brasileiro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abrangendo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normatização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planejamento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fortalecimento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alcance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internacional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difusão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preservação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b w:val="1"/>
          <w:bCs w:val="1"/>
          <w:noProof w:val="0"/>
          <w:lang w:val="pt-BR"/>
        </w:rPr>
        <w:t>.</w:t>
      </w:r>
    </w:p>
    <w:p w:rsidRPr="005E1E73" w:rsidR="000312DF" w:rsidP="57919550" w:rsidRDefault="000312DF" w14:paraId="4E29D3E3" w14:textId="77777777">
      <w:pPr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Visando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fomentar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desenvolver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área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SAV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participou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criação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marco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legal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indústria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jogos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eletrônicos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Lei nº 14.852, de 2024,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normativo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possibilitou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ampliação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i w:val="1"/>
          <w:iCs w:val="1"/>
          <w:noProof w:val="0"/>
          <w:lang w:val="pt-BR"/>
        </w:rPr>
        <w:t>games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Lei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Rouanet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incentivo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i w:val="1"/>
          <w:iCs w:val="1"/>
          <w:noProof w:val="0"/>
          <w:lang w:val="pt-BR"/>
        </w:rPr>
        <w:t>games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passou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R$ 700 mil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para 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$ 1,5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milhão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projeto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além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serem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enquadrados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no art. 18 da Lei,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permite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abatimento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100% do valor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incentivado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Imposto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Renda, ante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40%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vigoraram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até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2023.</w:t>
      </w:r>
    </w:p>
    <w:p w:rsidRPr="005E1E73" w:rsidR="000312DF" w:rsidP="57919550" w:rsidRDefault="000312DF" w14:paraId="35B277BE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Também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atuou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ativamente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construção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Medida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Provisória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 º 1.280, de 23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dezembro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2023,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prorrogou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até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2029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mecanismos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incentivo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atualizou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aporte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Lei do Audiovisual (Lei nº 8.685, de 1993) para R$ 21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milhões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–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demanda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antiga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audiovisual -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garantiu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continuidade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Regime Especial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Tributação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Desenvolvimento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Atividade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Cinematográfica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(Recine),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assegurando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incentivos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fiscais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dedução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Imposto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Renda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projetos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fundos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beneficiam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modernização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parque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exibidor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financiamento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produções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nacionais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Pr="005E1E73" w:rsidR="000312DF" w:rsidP="57919550" w:rsidRDefault="000312DF" w14:paraId="1AA88A6B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Avanço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também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regulamentação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parceria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com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Ministério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Educação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da Lei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nº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13.006, de 2014,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obriga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filmes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produção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nacional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escolas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educação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básica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Ainda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2024,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proposta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regulamentação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ganhou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forma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passa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ajustes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finais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antes de ser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analisada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pela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Presidência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República.</w:t>
      </w:r>
    </w:p>
    <w:p w:rsidRPr="005E1E73" w:rsidR="000312DF" w:rsidP="57919550" w:rsidRDefault="000312DF" w14:paraId="4ED2EEE8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Outra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frente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atuação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é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planejamento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A SAV se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dedicou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à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construção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Plano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Diretrizes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Metas (PDM) do audiovisual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brasileiro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instrumento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definirá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objetivos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indicadores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metas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próximos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dez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orientará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atuação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gestores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públicos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entidades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privadas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construção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PDM,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está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fase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final,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conta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com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processo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participativo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contribuição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debate, tendo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sido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realizado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Seminário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Economia do Audiovisual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Interseccionalidades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encontros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regionais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quais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participaram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809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pessoas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distribuídas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35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grupos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trabalho</w:t>
      </w:r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Pr="005E1E73" w:rsidR="000312DF" w:rsidP="57919550" w:rsidRDefault="000312DF" w14:paraId="0D24116D" w14:textId="4083C85E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O fortalecimento das relações internacionais e da internacionalização do audiovisual brasileiro também foram prioridade. Em 2024, foram formalizadas quatro parcerias com instituições da China, Coreia do Sul e França abrangendo coproduções, formação e intercâmbio profissional e preservação audiovisual, que ao longo de suas execuções beneficiaram profissionais e empresas brasileiros. Para promover a internacionalização, o edital de intercâmbio para circulação audiovisual no exterior investiu R$ 986 mil em 80 candidaturas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que representaram o audiovisual brasileiro em eventos e festivais em 23 países, distribuídos nas Américas do Sul, Central e do Norte, Ásia, África e Europa.</w:t>
      </w:r>
    </w:p>
    <w:p w:rsidRPr="005E1E73" w:rsidR="000312DF" w:rsidP="57919550" w:rsidRDefault="000312DF" w14:paraId="3BBD3F97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No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atividades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difusão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SAV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atingiram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2024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120 mil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expectadores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Mostra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Difusão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13ª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Mostra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Cinema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Direitos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Humanos,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parceria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Ministério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Direitos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Humanos e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Cidadania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(MDHC),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reuniu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257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cineclubes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pontos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170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cidades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Com 18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filmes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251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sessões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mostra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atingiu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um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público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total de 13.309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pessoas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No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segundo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semestre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Mostra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Mercosul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: Ciclo de Curtas Infantis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contou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com 207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pontos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exibidores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cineclubes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150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municípios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Foram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registradas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208.350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minutos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assistidos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um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público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27.981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pessoas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Por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programação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das salas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exibição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Cinemateca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Brasileira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beneficiou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80.000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pessoas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atendidas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diversas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atividades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culturais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audiovisual.</w:t>
      </w:r>
    </w:p>
    <w:p w:rsidRPr="005E1E73" w:rsidR="000312DF" w:rsidP="57919550" w:rsidRDefault="000312DF" w14:paraId="663D5826" w14:textId="4FDE8D32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Paralelamente a essas atividades, a difusão também avança no desenvolvimento da plataforma de streaming público, denominada Plataforma Tela Brasil, em parceria com a Universidade Federal de Alagoas (UFAL). Recentemente, o desenvolvimento chegou à fase piloto, na qual foram realizados testes de funcionamento da plataforma a fim de coletar sugestões e críticas para aprimoramentos da plataforma. O processo de construção do catálogo conta com o levantamento e preparação de acervos próprios do MinC e de órgãos parceiros, e com chamada pública para licenciamento de obras do audiovisual, que, em 2024, investiu aproximadamente R$ 5 milhões na seleção de mais 450 obras nacionais a serem contratadas em 2025 para comporem o catálogo.</w:t>
      </w:r>
    </w:p>
    <w:p w:rsidRPr="005E1E73" w:rsidR="000312DF" w:rsidP="57919550" w:rsidRDefault="000312DF" w14:paraId="5A6B90E8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preservação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patrimônio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audiovisual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brasileiro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viu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conclusão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Projeto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Nitratos,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Cinemateca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com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3.300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rolos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filmes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analisados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1.785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obras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catalogadas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indexadas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base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Filmografia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644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obras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duplicadas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fotoquimicamente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328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digitalizadas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Além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disso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teve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início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projeto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recuperação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catalogação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digitalização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acervo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Canal 100,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acervo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cinematográfico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futebol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brasileiro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Pr="005E1E73" w:rsidR="000312DF" w:rsidP="57919550" w:rsidRDefault="000312DF" w14:paraId="6BA2EBB8" w14:textId="1BB4481F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Também foi instituído o Grupo de Trabalho (GT) responsável por formular diretrizes para o Programa Nacional de Preservação do Audiovisual, que resultou em propostas como o reconhecimento de obras audiovisuais como patrimônio cultural, a criação de um Inventário Nacional de Bens Audiovisuais, a certificação de raridade de acervos e a criação de uma proposta para a Rede Nacional de Arquivos Audiovisuais. </w:t>
      </w:r>
    </w:p>
    <w:p w:rsidRPr="005E1E73" w:rsidR="000312DF" w:rsidP="57919550" w:rsidRDefault="000312DF" w14:paraId="6439F112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íntegra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relatório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ser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acessada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: </w:t>
      </w:r>
      <w:hyperlink r:id="Rd3047c76c3b24ae5">
        <w:r w:rsidRPr="57919550" w:rsidR="57919550">
          <w:rPr>
            <w:rStyle w:val="Hyperlink"/>
            <w:rFonts w:ascii="Calibri" w:hAnsi="Calibri" w:eastAsia="Calibri" w:cs="Calibri"/>
            <w:noProof w:val="0"/>
            <w:lang w:val="pt-BR"/>
          </w:rPr>
          <w:t>https://www.gov.br/cultura/pt-br/centrais-de-conteudo/publicacoes/relatorio-do-grupo-de-trabalho-de-preservacao-audiovisual/a02-sei_1794420_relatorio_5-2.pdf</w:t>
        </w:r>
      </w:hyperlink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Pr="005E1E73" w:rsidR="000312DF" w:rsidP="57919550" w:rsidRDefault="000312DF" w14:paraId="1DE229DD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>Profissionais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pesquisadores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área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preservação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audiovisual se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reuniram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formalizar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criação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Comitê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Técnico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Consultivo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 Centro Técnico Audiovisual (CTAV),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irá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assessorar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elaboração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uma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Política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Acervo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órgão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garantindo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transparência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acesso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democrático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patrimônio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audiovisual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brasileiro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O CTAV,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embora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ainda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reforma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recebeu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atendeu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885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pedidos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acesso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títulos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concedeu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licenciamento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trechos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45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obras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digitalizou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15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títulos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daí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importância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implantação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uma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política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estruturada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Pr="005E1E73" w:rsidR="000312DF" w:rsidP="57919550" w:rsidRDefault="000312DF" w14:paraId="086CD376" w14:textId="77777777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Na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área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merecem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destaque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Edital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Premiação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Orlando Senna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Curta-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Metragem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Brasileiro e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curso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Inicial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Continuada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(FIC)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Assistente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Dramaturgia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no Rio de Janeiro/RJ.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edital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lançado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conjunto com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Universidade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Federal de Pelotas (UFPEL),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premiou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10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curtas-metragens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resultantes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Trabalhos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Conclusão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Curso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(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TCCs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)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graduações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audiovisual, cinema,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animação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artes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digitais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rádio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TV,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comunicação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social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publicidade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propaganda,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somando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R$ 140 mil.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Já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curso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Assistente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Dramaturgia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realizado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numa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parceria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entre o Centro Técnico Audiovisual (CTAV), o Instituto Federal do Rio de Janeiro (IFRJ) e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Museu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Imagem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do Som (MIS),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oferece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formação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50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mulheres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partir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dos 16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>.</w:t>
      </w:r>
    </w:p>
    <w:p w:rsidR="000312DF" w:rsidP="57919550" w:rsidRDefault="000312DF" w14:paraId="51F916FB" w14:textId="6D06352F">
      <w:pPr>
        <w:spacing w:after="120" w:line="240" w:lineRule="auto"/>
        <w:rPr>
          <w:rFonts w:ascii="Calibri" w:hAnsi="Calibri" w:eastAsia="Calibri" w:cs="Calibri"/>
          <w:noProof w:val="0"/>
          <w:lang w:val="pt-BR"/>
        </w:rPr>
      </w:pP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Por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atividade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transversal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todas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outras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enfrenta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desafios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operacionais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crescentes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Isso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significa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investimentos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no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setor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aumentam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cada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ano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. Em 2024, 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Secretaria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selecionou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aprovou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2.000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projetos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das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diversas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naturezas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que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somam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R$ 1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bilhão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entre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concessão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bolsas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para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intercâmbio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no exterior,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licenciamento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produção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preservação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distribuição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obras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audiovisuais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por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meio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de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direto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,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emendas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parlamentares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e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fomento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indireto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(</w:t>
      </w:r>
      <w:r w:rsidRPr="57919550" w:rsidR="57919550">
        <w:rPr>
          <w:rFonts w:ascii="Calibri" w:hAnsi="Calibri" w:eastAsia="Calibri" w:cs="Calibri"/>
          <w:noProof w:val="0"/>
          <w:lang w:val="pt-BR"/>
        </w:rPr>
        <w:t>benefícios</w:t>
      </w:r>
      <w:r w:rsidRPr="57919550" w:rsidR="57919550">
        <w:rPr>
          <w:rFonts w:ascii="Calibri" w:hAnsi="Calibri" w:eastAsia="Calibri" w:cs="Calibri"/>
          <w:noProof w:val="0"/>
          <w:lang w:val="pt-BR"/>
        </w:rPr>
        <w:t xml:space="preserve"> </w:t>
      </w:r>
      <w:r w:rsidRPr="57919550" w:rsidR="57919550">
        <w:rPr>
          <w:rFonts w:ascii="Calibri" w:hAnsi="Calibri" w:eastAsia="Calibri" w:cs="Calibri"/>
          <w:noProof w:val="0"/>
          <w:lang w:val="pt-BR"/>
        </w:rPr>
        <w:t>fiscais</w:t>
      </w:r>
      <w:r w:rsidRPr="57919550" w:rsidR="57919550">
        <w:rPr>
          <w:rFonts w:ascii="Calibri" w:hAnsi="Calibri" w:eastAsia="Calibri" w:cs="Calibri"/>
          <w:noProof w:val="0"/>
          <w:lang w:val="pt-BR"/>
        </w:rPr>
        <w:t>).</w:t>
      </w:r>
    </w:p>
    <w:p w:rsidR="00D105D8" w:rsidP="57919550" w:rsidRDefault="00D105D8" w14:paraId="02CC2439" w14:textId="77777777">
      <w:pPr>
        <w:rPr>
          <w:rFonts w:ascii="Calibri" w:hAnsi="Calibri" w:eastAsia="Calibri" w:cs="Calibri"/>
          <w:lang w:val="pt-BR"/>
        </w:rPr>
      </w:pPr>
    </w:p>
    <w:p w:rsidR="00D105D8" w:rsidP="57919550" w:rsidRDefault="00D105D8" w14:paraId="02CC243A" w14:textId="77777777">
      <w:pPr>
        <w:rPr>
          <w:rFonts w:ascii="Calibri" w:hAnsi="Calibri" w:eastAsia="Calibri" w:cs="Calibri"/>
          <w:lang w:val="pt-BR"/>
        </w:rPr>
      </w:pPr>
    </w:p>
    <w:p w:rsidR="00D105D8" w:rsidP="57919550" w:rsidRDefault="00D105D8" w14:paraId="02CC243B" w14:textId="77777777">
      <w:pPr>
        <w:spacing w:after="120" w:line="240" w:lineRule="auto"/>
        <w:rPr>
          <w:rFonts w:ascii="Calibri" w:hAnsi="Calibri" w:eastAsia="Calibri" w:cs="Calibri"/>
          <w:b w:val="1"/>
          <w:bCs w:val="1"/>
          <w:sz w:val="22"/>
          <w:szCs w:val="22"/>
          <w:lang w:val="pt-BR"/>
        </w:rPr>
      </w:pPr>
    </w:p>
    <w:p w:rsidRPr="00332EFF" w:rsidR="00D105D8" w:rsidP="57919550" w:rsidRDefault="00D105D8" w14:paraId="02CC243C" w14:textId="77777777">
      <w:pPr>
        <w:widowControl w:val="0"/>
        <w:suppressAutoHyphens/>
        <w:spacing w:after="0" w:line="240" w:lineRule="auto"/>
        <w:jc w:val="left"/>
        <w:rPr>
          <w:rFonts w:ascii="Calibri" w:hAnsi="Calibri" w:eastAsia="Calibri" w:cs="Calibri"/>
          <w:lang w:val="pt-BR"/>
        </w:rPr>
      </w:pPr>
    </w:p>
    <w:p w:rsidR="00D105D8" w:rsidP="57919550" w:rsidRDefault="00D105D8" w14:paraId="02CC243D" w14:textId="77777777">
      <w:pPr>
        <w:rPr>
          <w:rFonts w:ascii="Calibri" w:hAnsi="Calibri" w:eastAsia="Calibri" w:cs="Calibri"/>
          <w:lang w:val="pt-BR"/>
        </w:rPr>
      </w:pPr>
    </w:p>
    <w:sectPr w:rsidR="00D105D8">
      <w:headerReference w:type="default" r:id="rId15"/>
      <w:footerReference w:type="default" r:id="rId16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  <w:headerReference w:type="even" r:id="R121b85d179b44585"/>
      <w:footerReference w:type="even" r:id="Rce5f9522e73841d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6B" w:rsidRDefault="00471E6B" w14:paraId="5A719E70" w14:textId="77777777">
      <w:pPr>
        <w:spacing w:after="0" w:line="240" w:lineRule="auto"/>
      </w:pPr>
      <w:r>
        <w:separator/>
      </w:r>
    </w:p>
  </w:endnote>
  <w:endnote w:type="continuationSeparator" w:id="0">
    <w:p w:rsidR="00471E6B" w:rsidRDefault="00471E6B" w14:paraId="21C634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040"/>
      <w:gridCol w:w="2040"/>
      <w:gridCol w:w="2040"/>
    </w:tblGrid>
    <w:tr w:rsidR="57919550" w:rsidTr="57919550" w14:paraId="0E6490DD">
      <w:trPr>
        <w:trHeight w:val="300"/>
      </w:trPr>
      <w:tc>
        <w:tcPr>
          <w:tcW w:w="2040" w:type="dxa"/>
          <w:tcMar/>
        </w:tcPr>
        <w:p w:rsidR="57919550" w:rsidP="57919550" w:rsidRDefault="57919550" w14:paraId="22E05D2A" w14:textId="51BE12FA">
          <w:pPr>
            <w:pStyle w:val="Cabealho"/>
            <w:bidi w:val="0"/>
            <w:ind w:left="-115"/>
            <w:jc w:val="left"/>
          </w:pPr>
        </w:p>
      </w:tc>
      <w:tc>
        <w:tcPr>
          <w:tcW w:w="2040" w:type="dxa"/>
          <w:tcMar/>
        </w:tcPr>
        <w:p w:rsidR="57919550" w:rsidP="57919550" w:rsidRDefault="57919550" w14:paraId="14A30648" w14:textId="12EDFFC1">
          <w:pPr>
            <w:pStyle w:val="Cabealho"/>
            <w:bidi w:val="0"/>
            <w:jc w:val="center"/>
          </w:pPr>
        </w:p>
      </w:tc>
      <w:tc>
        <w:tcPr>
          <w:tcW w:w="2040" w:type="dxa"/>
          <w:tcMar/>
        </w:tcPr>
        <w:p w:rsidR="57919550" w:rsidP="57919550" w:rsidRDefault="57919550" w14:paraId="0B228194" w14:textId="1F56FC88">
          <w:pPr>
            <w:pStyle w:val="Cabealho"/>
            <w:bidi w:val="0"/>
            <w:ind w:right="-115"/>
            <w:jc w:val="right"/>
          </w:pPr>
        </w:p>
      </w:tc>
    </w:tr>
  </w:tbl>
  <w:p w:rsidR="57919550" w:rsidP="57919550" w:rsidRDefault="57919550" w14:paraId="2ED117E2" w14:textId="0D6426C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6B" w:rsidRDefault="00471E6B" w14:paraId="21EABFB2" w14:textId="77777777">
      <w:pPr>
        <w:spacing w:after="0" w:line="240" w:lineRule="auto"/>
      </w:pPr>
      <w:r>
        <w:separator/>
      </w:r>
    </w:p>
  </w:footnote>
  <w:footnote w:type="continuationSeparator" w:id="0">
    <w:p w:rsidR="00471E6B" w:rsidRDefault="00471E6B" w14:paraId="468D98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0312DF" w14:paraId="02CC243E" w14:textId="53815BE9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0" hidden="0" allowOverlap="1" wp14:anchorId="3129B7F1" wp14:editId="3D239FDE">
              <wp:simplePos x="0" y="0"/>
              <wp:positionH relativeFrom="margin">
                <wp:posOffset>0</wp:posOffset>
              </wp:positionH>
              <wp:positionV relativeFrom="page">
                <wp:posOffset>389890</wp:posOffset>
              </wp:positionV>
              <wp:extent cx="2581275" cy="114300"/>
              <wp:effectExtent l="0" t="0" r="0" b="0"/>
              <wp:wrapNone/>
              <wp:docPr id="13175229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312DF" w:rsidP="000312DF" w:rsidRDefault="000312DF" w14:paraId="34E6A9DD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4º trimestre de 2024</w:t>
                          </w:r>
                        </w:p>
                        <w:p w:rsidR="000312DF" w:rsidP="000312DF" w:rsidRDefault="000312DF" w14:paraId="100F5EC7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:rsidR="000312DF" w:rsidP="000312DF" w:rsidRDefault="000312DF" w14:paraId="38B3A374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30.7pt;width:203.25pt;height:9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spid="_x0000_s1026" o:allowincell="f" stroked="f" strokeweight=".5pt" w14:anchorId="3129B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">
              <v:textbox inset="0,0,0,0">
                <w:txbxContent>
                  <w:p w:rsidR="000312DF" w:rsidP="000312DF" w:rsidRDefault="000312DF" w14:paraId="34E6A9DD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4º trimestre de 2024</w:t>
                    </w:r>
                  </w:p>
                  <w:p w:rsidR="000312DF" w:rsidP="000312DF" w:rsidRDefault="000312DF" w14:paraId="100F5EC7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</w:t>
                    </w:r>
                  </w:p>
                  <w:p w:rsidR="000312DF" w:rsidP="000312DF" w:rsidRDefault="000312DF" w14:paraId="38B3A374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471E6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24AFDDD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2B124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"/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040"/>
      <w:gridCol w:w="2040"/>
      <w:gridCol w:w="2040"/>
    </w:tblGrid>
    <w:tr w:rsidR="57919550" w:rsidTr="57919550" w14:paraId="4A8B3BE9">
      <w:trPr>
        <w:trHeight w:val="300"/>
      </w:trPr>
      <w:tc>
        <w:tcPr>
          <w:tcW w:w="2040" w:type="dxa"/>
          <w:tcMar/>
        </w:tcPr>
        <w:p w:rsidR="57919550" w:rsidP="57919550" w:rsidRDefault="57919550" w14:paraId="1B942029" w14:textId="7D16CF58">
          <w:pPr>
            <w:pStyle w:val="Cabealho"/>
            <w:bidi w:val="0"/>
            <w:ind w:left="-115"/>
            <w:jc w:val="left"/>
          </w:pPr>
        </w:p>
      </w:tc>
      <w:tc>
        <w:tcPr>
          <w:tcW w:w="2040" w:type="dxa"/>
          <w:tcMar/>
        </w:tcPr>
        <w:p w:rsidR="57919550" w:rsidP="57919550" w:rsidRDefault="57919550" w14:paraId="65CE376A" w14:textId="55DCD83B">
          <w:pPr>
            <w:pStyle w:val="Cabealho"/>
            <w:bidi w:val="0"/>
            <w:jc w:val="center"/>
          </w:pPr>
        </w:p>
      </w:tc>
      <w:tc>
        <w:tcPr>
          <w:tcW w:w="2040" w:type="dxa"/>
          <w:tcMar/>
        </w:tcPr>
        <w:p w:rsidR="57919550" w:rsidP="57919550" w:rsidRDefault="57919550" w14:paraId="61790A38" w14:textId="5D1BE92A">
          <w:pPr>
            <w:pStyle w:val="Cabealho"/>
            <w:bidi w:val="0"/>
            <w:ind w:right="-115"/>
            <w:jc w:val="right"/>
          </w:pPr>
        </w:p>
      </w:tc>
    </w:tr>
  </w:tbl>
  <w:p w:rsidR="57919550" w:rsidP="57919550" w:rsidRDefault="57919550" w14:paraId="2AECCD3B" w14:textId="596F7B32">
    <w:pPr>
      <w:pStyle w:val="Cabealho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UqVVWteceKmuzy" int2:id="4nMHDJ6D">
      <int2:state int2:type="AugLoop_Text_Critique" int2:value="Rejected"/>
    </int2:textHash>
    <int2:textHash int2:hashCode="B8cRwAYcAPclJh" int2:id="FHGub8FH">
      <int2:state int2:type="AugLoop_Text_Critique" int2:value="Rejected"/>
    </int2:textHash>
    <int2:textHash int2:hashCode="Hyl8D/XMf5GFNq" int2:id="RJFO0ytX">
      <int2:state int2:type="AugLoop_Text_Critique" int2:value="Rejected"/>
    </int2:textHash>
    <int2:textHash int2:hashCode="RVtj4aQh9VZV5u" int2:id="6sDGweG8">
      <int2:state int2:type="AugLoop_Text_Critique" int2:value="Rejected"/>
    </int2:textHash>
    <int2:textHash int2:hashCode="z1+fCj6eenACKw" int2:id="GwIkt3D5">
      <int2:state int2:type="AugLoop_Text_Critique" int2:value="Rejected"/>
    </int2:textHash>
    <int2:textHash int2:hashCode="xnFL0dMoOBDwhV" int2:id="q7JBrePo">
      <int2:state int2:type="AugLoop_Text_Critique" int2:value="Rejected"/>
    </int2:textHash>
    <int2:textHash int2:hashCode="lYwekR9FyE7P5J" int2:id="mnIehVhz">
      <int2:state int2:type="AugLoop_Text_Critique" int2:value="Rejected"/>
    </int2:textHash>
    <int2:textHash int2:hashCode="GmYlp4dNDZ3qLc" int2:id="LPmskF28">
      <int2:state int2:type="AugLoop_Text_Critique" int2:value="Rejected"/>
    </int2:textHash>
    <int2:textHash int2:hashCode="OETx2X5Osiz8sf" int2:id="E9g75TDm">
      <int2:state int2:type="AugLoop_Text_Critique" int2:value="Rejected"/>
    </int2:textHash>
    <int2:textHash int2:hashCode="CtiCL9gqS0uOSD" int2:id="qdie2rsA">
      <int2:state int2:type="AugLoop_Text_Critique" int2:value="Rejected"/>
    </int2:textHash>
    <int2:textHash int2:hashCode="TbUJZFj+2KyV81" int2:id="YpcerlFc">
      <int2:state int2:type="AugLoop_Text_Critique" int2:value="Rejected"/>
    </int2:textHash>
    <int2:textHash int2:hashCode="DkQ0lgxju0neJa" int2:id="9aWaM6j4">
      <int2:state int2:type="AugLoop_Text_Critique" int2:value="Rejected"/>
    </int2:textHash>
    <int2:textHash int2:hashCode="4W01y8a/nIjwba" int2:id="8hJJ9xz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683283689">
    <w:abstractNumId w:val="3"/>
  </w:num>
  <w:num w:numId="2" w16cid:durableId="968318762">
    <w:abstractNumId w:val="1"/>
  </w:num>
  <w:num w:numId="3" w16cid:durableId="1582910517">
    <w:abstractNumId w:val="0"/>
  </w:num>
  <w:num w:numId="4" w16cid:durableId="143701757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D8"/>
    <w:rsid w:val="000312DF"/>
    <w:rsid w:val="00095F3F"/>
    <w:rsid w:val="00194F5E"/>
    <w:rsid w:val="002D6CCB"/>
    <w:rsid w:val="00301EB6"/>
    <w:rsid w:val="00332EFF"/>
    <w:rsid w:val="003D2FA3"/>
    <w:rsid w:val="003D76D0"/>
    <w:rsid w:val="00471E6B"/>
    <w:rsid w:val="004A7FF2"/>
    <w:rsid w:val="005A594E"/>
    <w:rsid w:val="006541AA"/>
    <w:rsid w:val="00CC0653"/>
    <w:rsid w:val="00D05C0C"/>
    <w:rsid w:val="00D105D8"/>
    <w:rsid w:val="00DC77D2"/>
    <w:rsid w:val="0997BA5F"/>
    <w:rsid w:val="1E5902C1"/>
    <w:rsid w:val="2B58407A"/>
    <w:rsid w:val="2EB12822"/>
    <w:rsid w:val="4C95D721"/>
    <w:rsid w:val="57919550"/>
    <w:rsid w:val="5FA1CAE5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7919550"/>
    <w:rPr>
      <w:rFonts w:ascii="Calibri Light" w:hAnsi="Calibri Light"/>
      <w:noProof w:val="0"/>
    </w:rPr>
  </w:style>
  <w:style w:type="paragraph" w:styleId="Ttulo1">
    <w:uiPriority w:val="1"/>
    <w:name w:val="heading 1"/>
    <w:basedOn w:val="Normal"/>
    <w:next w:val="Normal"/>
    <w:qFormat/>
    <w:rsid w:val="57919550"/>
    <w:rPr>
      <w:rFonts w:ascii="Impact" w:hAnsi="Impact"/>
      <w:color w:val="4A85C2"/>
      <w:sz w:val="28"/>
      <w:szCs w:val="28"/>
    </w:rPr>
    <w:pPr>
      <w:pBdr>
        <w:top w:val="nil" w:color="000000" w:sz="0" w:space="0"/>
        <w:left w:val="nil" w:color="000000" w:sz="0" w:space="0"/>
        <w:bottom w:val="single" w:color="4A85C2" w:sz="18" w:space="6"/>
        <w:right w:val="nil" w:color="000000" w:sz="0" w:space="0"/>
        <w:between w:val="nil" w:color="000000" w:sz="0" w:space="0"/>
      </w:pBdr>
      <w:outlineLvl w:val="0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uiPriority w:val="1"/>
    <w:name w:val="header"/>
    <w:basedOn w:val="Normal"/>
    <w:qFormat/>
    <w:rsid w:val="579195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Rodap">
    <w:uiPriority w:val="1"/>
    <w:name w:val="footer"/>
    <w:basedOn w:val="Normal"/>
    <w:qFormat/>
    <w:rsid w:val="579195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SemEspaamento">
    <w:uiPriority w:val="1"/>
    <w:name w:val="No Spacing"/>
    <w:basedOn w:val="Normal"/>
    <w:qFormat/>
    <w:rsid w:val="57919550"/>
    <w:rPr>
      <w:sz w:val="18"/>
      <w:szCs w:val="18"/>
    </w:rPr>
    <w:pPr>
      <w:spacing w:before="120" w:line="240" w:lineRule="auto"/>
      <w:jc w:val="right"/>
    </w:pPr>
  </w:style>
  <w:style w:type="paragraph" w:styleId="NormalWeb">
    <w:uiPriority w:val="1"/>
    <w:name w:val="Normal (Web)"/>
    <w:basedOn w:val="Normal"/>
    <w:qFormat/>
    <w:rsid w:val="57919550"/>
    <w:rPr>
      <w:rFonts w:ascii="Times New Roman" w:hAnsi="Times New Roman" w:eastAsia="Times New Roman"/>
    </w:rPr>
    <w:pPr>
      <w:spacing w:beforeAutospacing="on" w:afterAutospacing="on" w:line="240" w:lineRule="auto"/>
      <w:jc w:val="left"/>
    </w:p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true">
    <w:uiPriority w:val="1"/>
    <w:name w:val="Título1"/>
    <w:basedOn w:val="Normal"/>
    <w:qFormat/>
    <w:rsid w:val="57919550"/>
    <w:rPr>
      <w:b w:val="1"/>
      <w:bCs w:val="1"/>
      <w:sz w:val="22"/>
      <w:szCs w:val="22"/>
    </w:rPr>
  </w:style>
  <w:style w:type="paragraph" w:styleId="PargrafodaLista">
    <w:uiPriority w:val="1"/>
    <w:name w:val="List Paragraph"/>
    <w:basedOn w:val="Normal"/>
    <w:qFormat/>
    <w:rsid w:val="57919550"/>
    <w:pPr>
      <w:numPr>
        <w:numId w:val="3"/>
      </w:numPr>
      <w:spacing/>
      <w:ind w:left="284" w:hanging="284"/>
      <w:contextualSpacing/>
    </w:pPr>
  </w:style>
  <w:style w:type="paragraph" w:styleId="Heading2" w:customStyle="true">
    <w:uiPriority w:val="1"/>
    <w:name w:val="Heading2"/>
    <w:basedOn w:val="Normal"/>
    <w:qFormat/>
    <w:rsid w:val="57919550"/>
    <w:rPr>
      <w:color w:val="5885BD"/>
      <w:sz w:val="28"/>
      <w:szCs w:val="28"/>
    </w:rPr>
  </w:style>
  <w:style w:type="paragraph" w:styleId="Heading3" w:customStyle="true">
    <w:uiPriority w:val="1"/>
    <w:name w:val="Heading3"/>
    <w:basedOn w:val="Normal"/>
    <w:qFormat/>
    <w:rsid w:val="57919550"/>
    <w:rPr>
      <w:color w:val="5885BD"/>
    </w:rPr>
  </w:style>
  <w:style w:type="paragraph" w:styleId="Tabela-body" w:customStyle="true">
    <w:uiPriority w:val="1"/>
    <w:name w:val="Tabela - body"/>
    <w:basedOn w:val="Normal"/>
    <w:qFormat/>
    <w:rsid w:val="57919550"/>
    <w:rPr>
      <w:rFonts w:eastAsia="Times New Roman"/>
      <w:color w:val="000000" w:themeColor="text1" w:themeTint="FF" w:themeShade="FF"/>
      <w:sz w:val="20"/>
      <w:szCs w:val="20"/>
    </w:rPr>
    <w:pPr>
      <w:spacing w:after="0" w:line="240" w:lineRule="auto"/>
      <w:jc w:val="center"/>
    </w:pPr>
  </w:style>
  <w:style w:type="paragraph" w:styleId="Tabela-header" w:customStyle="true">
    <w:uiPriority w:val="1"/>
    <w:name w:val="Tabela - header"/>
    <w:basedOn w:val="Normal"/>
    <w:qFormat/>
    <w:rsid w:val="57919550"/>
    <w:rPr>
      <w:rFonts w:eastAsia="Times New Roman"/>
      <w:b w:val="1"/>
      <w:bCs w:val="1"/>
      <w:color w:val="FFFFFF" w:themeColor="background1" w:themeTint="FF" w:themeShade="FF"/>
      <w:sz w:val="18"/>
      <w:szCs w:val="18"/>
    </w:rPr>
    <w:pPr>
      <w:spacing w:after="0" w:line="240" w:lineRule="auto"/>
      <w:jc w:val="center"/>
    </w:p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character" w:styleId="Hyperlink">
    <w:name w:val="Hyperlink"/>
    <w:basedOn w:val="Fontepargpadro"/>
    <w:uiPriority w:val="99"/>
    <w:unhideWhenUsed/>
    <w:rsid w:val="000312DF"/>
    <w:rPr>
      <w:color w:val="0000FF" w:themeColor="hyperlink"/>
      <w:u w:val="single"/>
    </w:rPr>
  </w:style>
  <w:style w:type="paragraph" w:styleId="Textodecomentrio">
    <w:uiPriority w:val="99"/>
    <w:name w:val="annotation text"/>
    <w:basedOn w:val="Normal"/>
    <w:link w:val="TextodecomentrioChar"/>
    <w:rsid w:val="57919550"/>
    <w:rPr>
      <w:sz w:val="20"/>
      <w:szCs w:val="20"/>
    </w:rPr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rPr>
      <w:rFonts w:ascii="Calibri Light" w:hAnsi="Calibri Light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br/cultura/pt-br/centrais-de-conteudo/publicacoes/relatorio-do-grupo-de-trabalho-de-preservacao-audiovisual/a02-sei_1794420_relatorio_5-2.pdf" TargetMode="External" Id="Rd3047c76c3b24ae5" /><Relationship Type="http://schemas.openxmlformats.org/officeDocument/2006/relationships/header" Target="header2.xml" Id="R121b85d179b44585" /><Relationship Type="http://schemas.openxmlformats.org/officeDocument/2006/relationships/footer" Target="footer2.xml" Id="Rce5f9522e73841df" /><Relationship Type="http://schemas.microsoft.com/office/2020/10/relationships/intelligence" Target="intelligence2.xml" Id="R3e9c362f684749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Props1.xml><?xml version="1.0" encoding="utf-8"?>
<ds:datastoreItem xmlns:ds="http://schemas.openxmlformats.org/officeDocument/2006/customXml" ds:itemID="{2F733B5A-4D80-4D6E-9532-E83F076F0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CF9E-295C-401F-99E7-D430A6E01568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d0b4926d-acbd-4078-80aa-364300a6e3aa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4</revision>
  <dcterms:created xsi:type="dcterms:W3CDTF">2025-01-31T13:58:00.0000000Z</dcterms:created>
  <dcterms:modified xsi:type="dcterms:W3CDTF">2025-01-31T21:20:31.2828032Z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