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5CA1" w:rsidR="00EC5CA1" w:rsidP="3E497AD9" w:rsidRDefault="00EC5CA1" w14:paraId="388A132A" w14:textId="77777777">
      <w:pPr>
        <w:widowControl w:val="0"/>
        <w:autoSpaceDE w:val="0"/>
        <w:autoSpaceDN w:val="0"/>
        <w:spacing w:before="60" w:after="0" w:line="240" w:lineRule="auto"/>
        <w:ind w:right="30"/>
        <w:rPr>
          <w:rFonts w:ascii="Impact" w:hAnsi="Impact" w:eastAsia="Aptos" w:asciiTheme="majorAscii" w:hAnsiTheme="majorAscii"/>
          <w:noProof w:val="0"/>
          <w:color w:val="0070C0"/>
          <w:sz w:val="32"/>
          <w:szCs w:val="32"/>
          <w:lang w:val="pt-BR" w:eastAsia="en-US"/>
        </w:rPr>
      </w:pPr>
      <w:r w:rsidRPr="3E497AD9" w:rsidR="3E497AD9">
        <w:rPr>
          <w:rFonts w:ascii="Impact" w:hAnsi="Impact" w:eastAsia="Aptos" w:asciiTheme="majorAscii" w:hAnsiTheme="majorAscii"/>
          <w:noProof w:val="0"/>
          <w:color w:val="0070C0"/>
          <w:sz w:val="32"/>
          <w:szCs w:val="32"/>
          <w:lang w:val="pt-BR" w:eastAsia="en-US"/>
        </w:rPr>
        <w:t>Secretaria de Formação, Livro e Leitura (SEFLI)</w:t>
      </w:r>
    </w:p>
    <w:p w:rsidRPr="00EC5CA1" w:rsidR="00EC5CA1" w:rsidP="3E497AD9" w:rsidRDefault="00EC5CA1" w14:paraId="240E06EE" w14:textId="77777777" w14:noSpellErr="1">
      <w:pPr>
        <w:widowControl w:val="0"/>
        <w:autoSpaceDE w:val="0"/>
        <w:autoSpaceDN w:val="0"/>
        <w:spacing w:before="60" w:after="0" w:line="240" w:lineRule="auto"/>
        <w:ind w:right="30"/>
        <w:rPr>
          <w:rFonts w:ascii="Impact" w:hAnsi="Impact" w:eastAsia="Arial" w:asciiTheme="majorAscii" w:hAnsiTheme="majorAscii"/>
          <w:noProof w:val="0"/>
          <w:color w:val="0070C0"/>
          <w:sz w:val="32"/>
          <w:szCs w:val="32"/>
          <w:lang w:val="pt-BR" w:eastAsia="en-US"/>
        </w:rPr>
      </w:pPr>
    </w:p>
    <w:p w:rsidRPr="00EC5CA1" w:rsidR="00EC5CA1" w:rsidP="3E497AD9" w:rsidRDefault="00EC5CA1" w14:paraId="492C95AD" w14:textId="77777777">
      <w:pPr>
        <w:pBdr>
          <w:top w:val="nil" w:color="000000" w:sz="0" w:space="0"/>
          <w:left w:val="nil" w:color="000000" w:sz="0" w:space="0"/>
          <w:bottom w:val="single" w:color="4A85C2" w:sz="18" w:space="6"/>
          <w:right w:val="nil" w:color="000000" w:sz="0" w:space="0"/>
          <w:between w:val="nil" w:color="000000" w:sz="0" w:space="0"/>
        </w:pBdr>
        <w:outlineLvl w:val="0"/>
        <w:rPr>
          <w:rFonts w:ascii="Impact" w:hAnsi="Impact"/>
          <w:noProof w:val="0"/>
          <w:color w:val="0070C0"/>
          <w:sz w:val="28"/>
          <w:szCs w:val="28"/>
          <w:lang w:val="pt-BR"/>
        </w:rPr>
      </w:pPr>
      <w:r w:rsidRPr="3E497AD9" w:rsidR="3E497AD9">
        <w:rPr>
          <w:rFonts w:ascii="Impact" w:hAnsi="Impact"/>
          <w:noProof w:val="0"/>
          <w:color w:val="0070C0"/>
          <w:sz w:val="28"/>
          <w:szCs w:val="28"/>
          <w:lang w:val="pt-BR"/>
        </w:rPr>
        <w:t>Quem somos?</w:t>
      </w:r>
    </w:p>
    <w:p w:rsidRPr="00EC5CA1" w:rsidR="00EC5CA1" w:rsidP="3E497AD9" w:rsidRDefault="00EC5CA1" w14:paraId="4E76F70C" w14:textId="77777777">
      <w:pPr>
        <w:spacing w:after="0"/>
        <w:rPr>
          <w:rFonts w:ascii="Calibri" w:hAnsi="Calibri" w:eastAsia="Aptos" w:cs="Calibri"/>
          <w:noProof w:val="0"/>
          <w:lang w:val="pt-BR"/>
        </w:rPr>
      </w:pP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A </w:t>
      </w:r>
      <w:r w:rsidRPr="3E497AD9" w:rsidR="3E497AD9">
        <w:rPr>
          <w:rFonts w:ascii="Calibri" w:hAnsi="Calibri" w:eastAsia="Aptos" w:cs="Calibri"/>
          <w:noProof w:val="0"/>
          <w:lang w:val="pt-BR"/>
        </w:rPr>
        <w:t>Secretaria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noProof w:val="0"/>
          <w:lang w:val="pt-BR"/>
        </w:rPr>
        <w:t>Formação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, </w:t>
      </w:r>
      <w:r w:rsidRPr="3E497AD9" w:rsidR="3E497AD9">
        <w:rPr>
          <w:rFonts w:ascii="Calibri" w:hAnsi="Calibri" w:eastAsia="Aptos" w:cs="Calibri"/>
          <w:noProof w:val="0"/>
          <w:lang w:val="pt-BR"/>
        </w:rPr>
        <w:t>Livro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lang w:val="pt-BR"/>
        </w:rPr>
        <w:t>Leitura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(SEFLI) </w:t>
      </w:r>
      <w:r w:rsidRPr="3E497AD9" w:rsidR="3E497AD9">
        <w:rPr>
          <w:rFonts w:ascii="Calibri" w:hAnsi="Calibri" w:eastAsia="Aptos" w:cs="Calibri"/>
          <w:noProof w:val="0"/>
          <w:lang w:val="pt-BR"/>
        </w:rPr>
        <w:t>tem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como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missão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formular, </w:t>
      </w:r>
      <w:r w:rsidRPr="3E497AD9" w:rsidR="3E497AD9">
        <w:rPr>
          <w:rFonts w:ascii="Calibri" w:hAnsi="Calibri" w:eastAsia="Aptos" w:cs="Calibri"/>
          <w:noProof w:val="0"/>
          <w:lang w:val="pt-BR"/>
        </w:rPr>
        <w:t>coordenar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, </w:t>
      </w:r>
      <w:r w:rsidRPr="3E497AD9" w:rsidR="3E497AD9">
        <w:rPr>
          <w:rFonts w:ascii="Calibri" w:hAnsi="Calibri" w:eastAsia="Aptos" w:cs="Calibri"/>
          <w:noProof w:val="0"/>
          <w:lang w:val="pt-BR"/>
        </w:rPr>
        <w:t>implementar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lang w:val="pt-BR"/>
        </w:rPr>
        <w:t>avaliar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políticas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, </w:t>
      </w:r>
      <w:r w:rsidRPr="3E497AD9" w:rsidR="3E497AD9">
        <w:rPr>
          <w:rFonts w:ascii="Calibri" w:hAnsi="Calibri" w:eastAsia="Aptos" w:cs="Calibri"/>
          <w:noProof w:val="0"/>
          <w:lang w:val="pt-BR"/>
        </w:rPr>
        <w:t>programas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lang w:val="pt-BR"/>
        </w:rPr>
        <w:t>ações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intersetoriais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voltadas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para a </w:t>
      </w:r>
      <w:r w:rsidRPr="3E497AD9" w:rsidR="3E497AD9">
        <w:rPr>
          <w:rFonts w:ascii="Calibri" w:hAnsi="Calibri" w:eastAsia="Aptos" w:cs="Calibri"/>
          <w:noProof w:val="0"/>
          <w:lang w:val="pt-BR"/>
        </w:rPr>
        <w:t>formação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no campo </w:t>
      </w:r>
      <w:r w:rsidRPr="3E497AD9" w:rsidR="3E497AD9">
        <w:rPr>
          <w:rFonts w:ascii="Calibri" w:hAnsi="Calibri" w:eastAsia="Aptos" w:cs="Calibri"/>
          <w:noProof w:val="0"/>
          <w:lang w:val="pt-BR"/>
        </w:rPr>
        <w:t>artístico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-cultural e para a </w:t>
      </w:r>
      <w:r w:rsidRPr="3E497AD9" w:rsidR="3E497AD9">
        <w:rPr>
          <w:rFonts w:ascii="Calibri" w:hAnsi="Calibri" w:eastAsia="Aptos" w:cs="Calibri"/>
          <w:noProof w:val="0"/>
          <w:lang w:val="pt-BR"/>
        </w:rPr>
        <w:t>democratização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do </w:t>
      </w:r>
      <w:r w:rsidRPr="3E497AD9" w:rsidR="3E497AD9">
        <w:rPr>
          <w:rFonts w:ascii="Calibri" w:hAnsi="Calibri" w:eastAsia="Aptos" w:cs="Calibri"/>
          <w:noProof w:val="0"/>
          <w:lang w:val="pt-BR"/>
        </w:rPr>
        <w:t>acesso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ao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livro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, à </w:t>
      </w:r>
      <w:r w:rsidRPr="3E497AD9" w:rsidR="3E497AD9">
        <w:rPr>
          <w:rFonts w:ascii="Calibri" w:hAnsi="Calibri" w:eastAsia="Aptos" w:cs="Calibri"/>
          <w:noProof w:val="0"/>
          <w:lang w:val="pt-BR"/>
        </w:rPr>
        <w:t>leitura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e à </w:t>
      </w:r>
      <w:r w:rsidRPr="3E497AD9" w:rsidR="3E497AD9">
        <w:rPr>
          <w:rFonts w:ascii="Calibri" w:hAnsi="Calibri" w:eastAsia="Aptos" w:cs="Calibri"/>
          <w:noProof w:val="0"/>
          <w:lang w:val="pt-BR"/>
        </w:rPr>
        <w:t>literatura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. </w:t>
      </w:r>
      <w:r w:rsidRPr="3E497AD9" w:rsidR="3E497AD9">
        <w:rPr>
          <w:rFonts w:ascii="Calibri" w:hAnsi="Calibri" w:eastAsia="Aptos" w:cs="Calibri"/>
          <w:noProof w:val="0"/>
          <w:lang w:val="pt-BR"/>
        </w:rPr>
        <w:t>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atuação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envolve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, </w:t>
      </w:r>
      <w:r w:rsidRPr="3E497AD9" w:rsidR="3E497AD9">
        <w:rPr>
          <w:rFonts w:ascii="Calibri" w:hAnsi="Calibri" w:eastAsia="Aptos" w:cs="Calibri"/>
          <w:noProof w:val="0"/>
          <w:lang w:val="pt-BR"/>
        </w:rPr>
        <w:t>em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especial, </w:t>
      </w:r>
      <w:r w:rsidRPr="3E497AD9" w:rsidR="3E497AD9">
        <w:rPr>
          <w:rFonts w:ascii="Calibri" w:hAnsi="Calibri" w:eastAsia="Aptos" w:cs="Calibri"/>
          <w:noProof w:val="0"/>
          <w:lang w:val="pt-BR"/>
        </w:rPr>
        <w:t>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articulação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entre as </w:t>
      </w:r>
      <w:r w:rsidRPr="3E497AD9" w:rsidR="3E497AD9">
        <w:rPr>
          <w:rFonts w:ascii="Calibri" w:hAnsi="Calibri" w:eastAsia="Aptos" w:cs="Calibri"/>
          <w:noProof w:val="0"/>
          <w:lang w:val="pt-BR"/>
        </w:rPr>
        <w:t>políticas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noProof w:val="0"/>
          <w:lang w:val="pt-BR"/>
        </w:rPr>
        <w:t>cultura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lang w:val="pt-BR"/>
        </w:rPr>
        <w:t>educação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, </w:t>
      </w:r>
      <w:r w:rsidRPr="3E497AD9" w:rsidR="3E497AD9">
        <w:rPr>
          <w:rFonts w:ascii="Calibri" w:hAnsi="Calibri" w:eastAsia="Aptos" w:cs="Calibri"/>
          <w:noProof w:val="0"/>
          <w:lang w:val="pt-BR"/>
        </w:rPr>
        <w:t>em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parceria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com </w:t>
      </w:r>
      <w:r w:rsidRPr="3E497AD9" w:rsidR="3E497AD9">
        <w:rPr>
          <w:rFonts w:ascii="Calibri" w:hAnsi="Calibri" w:eastAsia="Aptos" w:cs="Calibri"/>
          <w:noProof w:val="0"/>
          <w:lang w:val="pt-BR"/>
        </w:rPr>
        <w:t>os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demais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órgãos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setoriais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, </w:t>
      </w:r>
      <w:r w:rsidRPr="3E497AD9" w:rsidR="3E497AD9">
        <w:rPr>
          <w:rFonts w:ascii="Calibri" w:hAnsi="Calibri" w:eastAsia="Aptos" w:cs="Calibri"/>
          <w:noProof w:val="0"/>
          <w:lang w:val="pt-BR"/>
        </w:rPr>
        <w:t>entes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federativos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lang w:val="pt-BR"/>
        </w:rPr>
        <w:t>instituições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da </w:t>
      </w:r>
      <w:r w:rsidRPr="3E497AD9" w:rsidR="3E497AD9">
        <w:rPr>
          <w:rFonts w:ascii="Calibri" w:hAnsi="Calibri" w:eastAsia="Aptos" w:cs="Calibri"/>
          <w:noProof w:val="0"/>
          <w:lang w:val="pt-BR"/>
        </w:rPr>
        <w:t>sociedade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civil.</w:t>
      </w:r>
    </w:p>
    <w:p w:rsidRPr="00EC5CA1" w:rsidR="00EC5CA1" w:rsidP="3E497AD9" w:rsidRDefault="00EC5CA1" w14:paraId="44F06219" w14:textId="77777777" w14:noSpellErr="1">
      <w:pPr>
        <w:spacing w:after="0"/>
        <w:rPr>
          <w:rFonts w:ascii="Calibri" w:hAnsi="Calibri" w:eastAsia="Aptos" w:cs="Calibri"/>
          <w:noProof w:val="0"/>
          <w:lang w:val="pt-BR"/>
        </w:rPr>
      </w:pPr>
    </w:p>
    <w:p w:rsidRPr="00EC5CA1" w:rsidR="00EC5CA1" w:rsidP="3E497AD9" w:rsidRDefault="00EC5CA1" w14:paraId="54F031A5" w14:textId="1D640E20">
      <w:pPr>
        <w:pBdr>
          <w:top w:val="nil" w:color="000000" w:sz="0" w:space="0"/>
          <w:left w:val="nil" w:color="000000" w:sz="0" w:space="0"/>
          <w:bottom w:val="single" w:color="4A85C2" w:sz="18" w:space="6"/>
          <w:right w:val="nil" w:color="000000" w:sz="0" w:space="0"/>
          <w:between w:val="nil" w:color="000000" w:sz="0" w:space="0"/>
        </w:pBdr>
        <w:outlineLvl w:val="0"/>
        <w:rPr>
          <w:rFonts w:ascii="Impact" w:hAnsi="Impact" w:cs="Calibri" w:asciiTheme="majorAscii" w:hAnsiTheme="majorAscii"/>
          <w:noProof w:val="0"/>
          <w:color w:val="0070C0"/>
          <w:sz w:val="28"/>
          <w:szCs w:val="28"/>
          <w:lang w:val="pt-BR"/>
        </w:rPr>
      </w:pPr>
      <w:bookmarkStart w:name="_Hlk189052243" w:id="0"/>
      <w:r w:rsidRPr="3E497AD9" w:rsidR="3E497AD9">
        <w:rPr>
          <w:rFonts w:ascii="Impact" w:hAnsi="Impact" w:cs="Calibri" w:asciiTheme="majorAscii" w:hAnsiTheme="majorAscii"/>
          <w:noProof w:val="0"/>
          <w:color w:val="0070C0"/>
          <w:sz w:val="28"/>
          <w:szCs w:val="28"/>
          <w:lang w:val="pt-BR"/>
        </w:rPr>
        <w:t>Nossa atuação em 2024, referente às iniciativas estratégicas</w:t>
      </w:r>
    </w:p>
    <w:bookmarkEnd w:id="0"/>
    <w:p w:rsidRPr="00EC5CA1" w:rsidR="00EC5CA1" w:rsidP="3E497AD9" w:rsidRDefault="00EC5CA1" w14:paraId="1DAD7B9B" w14:textId="77777777">
      <w:pPr>
        <w:spacing w:after="0"/>
        <w:rPr>
          <w:rFonts w:ascii="Calibri" w:hAnsi="Calibri" w:eastAsia="Aptos" w:cs="Calibri"/>
          <w:noProof w:val="0"/>
          <w:lang w:val="pt-BR"/>
        </w:rPr>
      </w:pP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Com o </w:t>
      </w:r>
      <w:r w:rsidRPr="3E497AD9" w:rsidR="3E497AD9">
        <w:rPr>
          <w:rFonts w:ascii="Calibri" w:hAnsi="Calibri" w:eastAsia="Aptos" w:cs="Calibri"/>
          <w:noProof w:val="0"/>
          <w:lang w:val="pt-BR"/>
        </w:rPr>
        <w:t>Ministério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da </w:t>
      </w:r>
      <w:r w:rsidRPr="3E497AD9" w:rsidR="3E497AD9">
        <w:rPr>
          <w:rFonts w:ascii="Calibri" w:hAnsi="Calibri" w:eastAsia="Aptos" w:cs="Calibri"/>
          <w:noProof w:val="0"/>
          <w:lang w:val="pt-BR"/>
        </w:rPr>
        <w:t>Educação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fortalecemos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a </w:t>
      </w:r>
      <w:r w:rsidRPr="3E497AD9" w:rsidR="3E497AD9">
        <w:rPr>
          <w:rFonts w:ascii="Calibri" w:hAnsi="Calibri" w:eastAsia="Aptos" w:cs="Calibri"/>
          <w:noProof w:val="0"/>
          <w:lang w:val="pt-BR"/>
        </w:rPr>
        <w:t>parceria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ministerial, </w:t>
      </w:r>
      <w:r w:rsidRPr="3E497AD9" w:rsidR="3E497AD9">
        <w:rPr>
          <w:rFonts w:ascii="Calibri" w:hAnsi="Calibri" w:eastAsia="Aptos" w:cs="Calibri"/>
          <w:noProof w:val="0"/>
          <w:lang w:val="pt-BR"/>
        </w:rPr>
        <w:t>firmando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 xml:space="preserve">Dois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>Acordos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>Cooperação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 xml:space="preserve"> Técnica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(ACT), um para </w:t>
      </w:r>
      <w:r w:rsidRPr="3E497AD9" w:rsidR="3E497AD9">
        <w:rPr>
          <w:rFonts w:ascii="Calibri" w:hAnsi="Calibri" w:eastAsia="Aptos" w:cs="Calibri"/>
          <w:noProof w:val="0"/>
          <w:lang w:val="pt-BR"/>
        </w:rPr>
        <w:t>implementar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ações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de Cultura </w:t>
      </w:r>
      <w:r w:rsidRPr="3E497AD9" w:rsidR="3E497AD9">
        <w:rPr>
          <w:rFonts w:ascii="Calibri" w:hAnsi="Calibri" w:eastAsia="Aptos" w:cs="Calibri"/>
          <w:noProof w:val="0"/>
          <w:lang w:val="pt-BR"/>
        </w:rPr>
        <w:t>nas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Escolas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de Tempo Integral e </w:t>
      </w:r>
      <w:r w:rsidRPr="3E497AD9" w:rsidR="3E497AD9">
        <w:rPr>
          <w:rFonts w:ascii="Calibri" w:hAnsi="Calibri" w:eastAsia="Aptos" w:cs="Calibri"/>
          <w:noProof w:val="0"/>
          <w:lang w:val="pt-BR"/>
        </w:rPr>
        <w:t>nas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Universidades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e o outro </w:t>
      </w:r>
      <w:r w:rsidRPr="3E497AD9" w:rsidR="3E497AD9">
        <w:rPr>
          <w:rFonts w:ascii="Calibri" w:hAnsi="Calibri" w:eastAsia="Aptos" w:cs="Calibri"/>
          <w:noProof w:val="0"/>
          <w:lang w:val="pt-BR"/>
        </w:rPr>
        <w:t>contando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também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com a </w:t>
      </w:r>
      <w:r w:rsidRPr="3E497AD9" w:rsidR="3E497AD9">
        <w:rPr>
          <w:rFonts w:ascii="Calibri" w:hAnsi="Calibri" w:eastAsia="Aptos" w:cs="Calibri"/>
          <w:noProof w:val="0"/>
          <w:lang w:val="pt-BR"/>
        </w:rPr>
        <w:t>Fundação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Itaú para o </w:t>
      </w:r>
      <w:r w:rsidRPr="3E497AD9" w:rsidR="3E497AD9">
        <w:rPr>
          <w:rFonts w:ascii="Calibri" w:hAnsi="Calibri" w:eastAsia="Aptos" w:cs="Calibri"/>
          <w:noProof w:val="0"/>
          <w:lang w:val="pt-BR"/>
        </w:rPr>
        <w:t>levantamento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de dados que </w:t>
      </w:r>
      <w:r w:rsidRPr="3E497AD9" w:rsidR="3E497AD9">
        <w:rPr>
          <w:rFonts w:ascii="Calibri" w:hAnsi="Calibri" w:eastAsia="Aptos" w:cs="Calibri"/>
          <w:noProof w:val="0"/>
          <w:lang w:val="pt-BR"/>
        </w:rPr>
        <w:t>colaborem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com o </w:t>
      </w:r>
      <w:r w:rsidRPr="3E497AD9" w:rsidR="3E497AD9">
        <w:rPr>
          <w:rFonts w:ascii="Calibri" w:hAnsi="Calibri" w:eastAsia="Aptos" w:cs="Calibri"/>
          <w:noProof w:val="0"/>
          <w:lang w:val="pt-BR"/>
        </w:rPr>
        <w:t>desenvolvimento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das </w:t>
      </w:r>
      <w:r w:rsidRPr="3E497AD9" w:rsidR="3E497AD9">
        <w:rPr>
          <w:rFonts w:ascii="Calibri" w:hAnsi="Calibri" w:eastAsia="Aptos" w:cs="Calibri"/>
          <w:noProof w:val="0"/>
          <w:lang w:val="pt-BR"/>
        </w:rPr>
        <w:t>Políticas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Públicas</w:t>
      </w:r>
      <w:r w:rsidRPr="3E497AD9" w:rsidR="3E497AD9">
        <w:rPr>
          <w:rFonts w:ascii="Calibri" w:hAnsi="Calibri" w:eastAsia="Aptos" w:cs="Calibri"/>
          <w:noProof w:val="0"/>
          <w:lang w:val="pt-BR"/>
        </w:rPr>
        <w:t>.</w:t>
      </w:r>
    </w:p>
    <w:p w:rsidRPr="00EC5CA1" w:rsidR="00EC5CA1" w:rsidP="3E497AD9" w:rsidRDefault="00EC5CA1" w14:paraId="236BBC08" w14:textId="77777777" w14:noSpellErr="1">
      <w:pPr>
        <w:spacing w:after="0"/>
        <w:ind w:left="-709"/>
        <w:rPr>
          <w:rFonts w:ascii="Calibri" w:hAnsi="Calibri" w:eastAsia="Aptos" w:cs="Calibri"/>
          <w:noProof w:val="0"/>
          <w:lang w:val="pt-BR"/>
        </w:rPr>
      </w:pP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</w:p>
    <w:p w:rsidRPr="00EC5CA1" w:rsidR="00EC5CA1" w:rsidP="3E497AD9" w:rsidRDefault="00EC5CA1" w14:paraId="771946C2" w14:textId="77777777">
      <w:pPr>
        <w:spacing w:after="0"/>
        <w:rPr>
          <w:rFonts w:ascii="Calibri" w:hAnsi="Calibri" w:eastAsia="Aptos" w:cs="Calibri"/>
          <w:noProof w:val="0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>Objetivo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 xml:space="preserve"> Mapa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>Estratégico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: </w:t>
      </w:r>
      <w:r w:rsidRPr="3E497AD9" w:rsidR="3E497AD9">
        <w:rPr>
          <w:rFonts w:ascii="Calibri" w:hAnsi="Calibri" w:eastAsia="Aptos" w:cs="Calibri"/>
          <w:noProof w:val="0"/>
          <w:lang w:val="pt-BR"/>
        </w:rPr>
        <w:t>Promover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política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noProof w:val="0"/>
          <w:lang w:val="pt-BR"/>
        </w:rPr>
        <w:t>conhecimento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lang w:val="pt-BR"/>
        </w:rPr>
        <w:t>formação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em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lang w:val="pt-BR"/>
        </w:rPr>
        <w:t>arte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lang w:val="pt-BR"/>
        </w:rPr>
        <w:t>cultura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. </w:t>
      </w:r>
    </w:p>
    <w:p w:rsidRPr="00EC5CA1" w:rsidR="00EC5CA1" w:rsidP="3E497AD9" w:rsidRDefault="00EC5CA1" w14:paraId="1FBC8819" w14:textId="77777777" w14:noSpellErr="1">
      <w:pPr>
        <w:spacing w:after="0"/>
        <w:rPr>
          <w:rFonts w:ascii="Calibri" w:hAnsi="Calibri" w:cs="Calibri"/>
          <w:noProof w:val="0"/>
          <w:lang w:val="pt-BR"/>
        </w:rPr>
      </w:pPr>
    </w:p>
    <w:p w:rsidRPr="00EC5CA1" w:rsidR="00EC5CA1" w:rsidP="3E497AD9" w:rsidRDefault="00EC5CA1" w14:paraId="1EBDF83B" w14:textId="77777777">
      <w:pPr>
        <w:spacing w:after="0"/>
        <w:ind w:left="142" w:hanging="142"/>
        <w:rPr>
          <w:rFonts w:ascii="Calibri" w:hAnsi="Calibri" w:eastAsia="Aptos" w:cs="Calibri"/>
          <w:noProof w:val="0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>Indicador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>execução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>: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100% </w:t>
      </w:r>
    </w:p>
    <w:p w:rsidRPr="00EC5CA1" w:rsidR="00EC5CA1" w:rsidP="3E497AD9" w:rsidRDefault="00EC5CA1" w14:paraId="78E8BE68" w14:textId="77777777" w14:noSpellErr="1">
      <w:pPr>
        <w:spacing w:after="0"/>
        <w:ind w:left="142" w:hanging="142"/>
        <w:rPr>
          <w:rFonts w:ascii="Calibri" w:hAnsi="Calibri" w:eastAsia="Aptos" w:cs="Calibri"/>
          <w:noProof w:val="0"/>
          <w:lang w:val="pt-BR"/>
        </w:rPr>
      </w:pPr>
    </w:p>
    <w:p w:rsidRPr="00EC5CA1" w:rsidR="00EC5CA1" w:rsidP="3E497AD9" w:rsidRDefault="00EC5CA1" w14:paraId="13DD86DB" w14:textId="77777777">
      <w:pPr>
        <w:pStyle w:val="PargrafodaLista"/>
        <w:spacing w:after="0" w:line="278" w:lineRule="auto"/>
        <w:ind w:left="567" w:hanging="567"/>
        <w:rPr>
          <w:rFonts w:ascii="Calibri" w:hAnsi="Calibri" w:eastAsia="Aptos" w:cs="Calibri"/>
          <w:noProof w:val="0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 xml:space="preserve">Crianças e adolescentes: 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Através das ações da Secretaria no combate à violência nas escolas, a SEFLI atuou diretamente na formação e qualificação e educadores e arte educadores, bem como indiretamente sobre as escolas que integram o Programa Escola em Tempo Integral, do Ministério da Educação; </w:t>
      </w:r>
    </w:p>
    <w:p w:rsidRPr="00EC5CA1" w:rsidR="00EC5CA1" w:rsidP="00EC5CA1" w:rsidRDefault="00EC5CA1" w14:paraId="348B48C4" w14:textId="77777777" w14:noSpellErr="1">
      <w:pPr>
        <w:spacing w:after="0"/>
        <w:ind w:left="-709"/>
        <w:contextualSpacing/>
        <w:rPr>
          <w:rFonts w:ascii="Calibri" w:hAnsi="Calibri" w:cs="Calibri"/>
          <w:noProof w:val="0"/>
          <w:lang w:val="pt-BR"/>
        </w:rPr>
      </w:pPr>
    </w:p>
    <w:p w:rsidRPr="00EC5CA1" w:rsidR="00EC5CA1" w:rsidP="00EC5CA1" w:rsidRDefault="00EC5CA1" w14:paraId="5E734C6F" w14:textId="61FEB7A5">
      <w:pPr>
        <w:numPr>
          <w:ilvl w:val="2"/>
          <w:numId w:val="5"/>
        </w:numPr>
        <w:spacing w:after="0" w:line="278" w:lineRule="auto"/>
        <w:ind w:left="709" w:hanging="709"/>
        <w:contextualSpacing/>
        <w:rPr>
          <w:rFonts w:ascii="Calibri" w:hAnsi="Calibri" w:eastAsia="Aptos" w:cs="Calibri"/>
          <w:noProof w:val="0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>Indígenas: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TED firmado entre a SEFLI e a UFG, que tem por objeto a criação de uma plataforma para difusão de pesquisas sobre Arte e Cultura produzida por pesquisadores e mestres de origem indígena. A plataforma, em formato de Revista Digital (Revista PIHHY) foi lançada em janeiro de 2024. </w:t>
      </w:r>
    </w:p>
    <w:p w:rsidRPr="00EC5CA1" w:rsidR="00EC5CA1" w:rsidP="3E497AD9" w:rsidRDefault="00EC5CA1" w14:paraId="0848383C" w14:textId="77777777" w14:noSpellErr="1">
      <w:pPr>
        <w:spacing w:after="0"/>
        <w:ind w:left="360"/>
        <w:rPr>
          <w:rFonts w:ascii="Calibri" w:hAnsi="Calibri" w:cs="Calibri"/>
          <w:noProof w:val="0"/>
          <w:lang w:val="pt-BR"/>
        </w:rPr>
      </w:pPr>
    </w:p>
    <w:p w:rsidRPr="00EC5CA1" w:rsidR="00EC5CA1" w:rsidP="00EC5CA1" w:rsidRDefault="00EC5CA1" w14:paraId="55A21D94" w14:textId="77777777">
      <w:pPr>
        <w:numPr>
          <w:ilvl w:val="2"/>
          <w:numId w:val="5"/>
        </w:numPr>
        <w:spacing w:after="0" w:line="278" w:lineRule="auto"/>
        <w:ind w:left="0" w:firstLine="0"/>
        <w:contextualSpacing/>
        <w:rPr>
          <w:rFonts w:ascii="Calibri" w:hAnsi="Calibri" w:eastAsia="Aptos" w:cs="Calibri"/>
          <w:noProof w:val="0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lang w:val="pt-BR"/>
        </w:rPr>
        <w:t>Pessoas com Deficiência: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 Além do Mapeamento Acessa Mais a SEFLI, juntamente com a SCDC e a SCC, firmou TED com a UFRJ para realização do 10º Encontro Nacional de Acessibilidade Cultural (ENAC), Conferência Temática</w:t>
      </w:r>
      <w:r w:rsidRPr="3E497AD9" w:rsidR="3E497AD9">
        <w:rPr>
          <w:rFonts w:ascii="Calibri" w:hAnsi="Calibri" w:eastAsia="Calibri" w:cs="Calibri" w:eastAsiaTheme="minorEastAsia"/>
          <w:noProof w:val="0"/>
          <w:lang w:val="pt-BR"/>
        </w:rPr>
        <w:t xml:space="preserve">, Encontro Deficiência, Cidadania Cultural e Direitos Humanos, Curso para gestores </w:t>
      </w:r>
      <w:r w:rsidRPr="3E497AD9" w:rsidR="3E497AD9">
        <w:rPr>
          <w:rFonts w:ascii="Calibri" w:hAnsi="Calibri" w:eastAsia="Aptos" w:cs="Calibri"/>
          <w:noProof w:val="0"/>
          <w:lang w:val="pt-BR"/>
        </w:rPr>
        <w:t xml:space="preserve">e atividades presenciais. Também participou ativamente da elaboração do Guia de Acessibilidade da PNAB, do Grupo de Trabalho de Acessibilidade da Funarte, das Oficinas do Plano Nacional de Cultura e do Conselho Nacional dos Direitos da Pessoa com Deficiência do MDHC. </w:t>
      </w:r>
    </w:p>
    <w:p w:rsidRPr="00EC5CA1" w:rsidR="00EC5CA1" w:rsidP="00EC5CA1" w:rsidRDefault="00EC5CA1" w14:paraId="4755910E" w14:textId="77777777" w14:noSpellErr="1">
      <w:pPr>
        <w:spacing/>
        <w:ind w:left="284"/>
        <w:contextualSpacing/>
        <w:rPr>
          <w:rFonts w:ascii="Times New Roman" w:hAnsi="Times New Roman" w:eastAsia="Aptos"/>
          <w:noProof w:val="0"/>
          <w:lang w:val="pt-BR"/>
        </w:rPr>
      </w:pPr>
    </w:p>
    <w:p w:rsidRPr="00EC5CA1" w:rsidR="00EC5CA1" w:rsidP="00EC5CA1" w:rsidRDefault="00EC5CA1" w14:paraId="38AA9B35" w14:textId="77777777">
      <w:pPr>
        <w:numPr>
          <w:ilvl w:val="0"/>
          <w:numId w:val="8"/>
        </w:numPr>
        <w:spacing w:after="120"/>
        <w:ind w:hanging="720"/>
        <w:contextualSpacing/>
        <w:rPr>
          <w:rFonts w:ascii="Calibri" w:hAnsi="Calibri" w:eastAsia="Aptos" w:cs="Calibri"/>
          <w:noProof w:val="0"/>
          <w:lang w:val="pt-BR"/>
        </w:rPr>
      </w:pPr>
      <w:r w:rsidRPr="3E497AD9" w:rsidR="3E497AD9">
        <w:rPr>
          <w:rFonts w:ascii="Calibri" w:hAnsi="Calibri" w:eastAsia="Aptos" w:cs="Calibri"/>
          <w:noProof w:val="0"/>
          <w:lang w:val="pt-BR"/>
        </w:rPr>
        <w:t>Programa Olhos D'água - Rede Nacional de Escolas Livres de Formação em Arte e Cultura</w:t>
      </w:r>
    </w:p>
    <w:p w:rsidR="3E497AD9" w:rsidP="3E497AD9" w:rsidRDefault="3E497AD9" w14:paraId="641A9E92" w14:textId="69762A2D">
      <w:pPr>
        <w:spacing w:after="120"/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</w:pPr>
    </w:p>
    <w:p w:rsidRPr="00EC5CA1" w:rsidR="00EC5CA1" w:rsidP="3E497AD9" w:rsidRDefault="00EC5CA1" w14:paraId="041100EC" w14:textId="77777777">
      <w:pPr>
        <w:spacing w:after="120"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No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Edital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Escolas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Livres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Formação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em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Arte e Cultura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foram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investidos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R$ 19.197.458,33,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distribuído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entre 68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projetos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Organizações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Sociedade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Civil, com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objetivo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criar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a Rede Nacional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Escolas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Livres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Formação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de Arte e Cultura - RELFAC.</w:t>
      </w:r>
    </w:p>
    <w:p w:rsidRPr="00EC5CA1" w:rsidR="00EC5CA1" w:rsidP="3E497AD9" w:rsidRDefault="00EC5CA1" w14:paraId="1B5D07D9" w14:textId="77777777">
      <w:pPr>
        <w:spacing w:after="120"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Visando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garantir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desenvolvimento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,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apoio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fortalecimento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da Rede,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foram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realizadas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em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2024 seis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reuniões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temáticas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acompanhamento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,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promovendo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encontro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trocas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entre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os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projetos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que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compõem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a Rede. </w:t>
      </w:r>
    </w:p>
    <w:p w:rsidRPr="00EC5CA1" w:rsidR="00EC5CA1" w:rsidP="3E497AD9" w:rsidRDefault="00EC5CA1" w14:paraId="5B02C674" w14:textId="77777777">
      <w:pPr>
        <w:spacing w:after="0"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Em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parceria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com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ENAP,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consolidou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-se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uma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Comunidade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Rede Nacional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Escolas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Livres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Formação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em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Arte e Cultura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na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plataforma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da Rede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InovaGov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. Este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ambiente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tem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como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objetivo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promover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colaboração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 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compartilhamento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conhecimentos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entre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os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membros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da rede,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fortalecendo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as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práticas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gestão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inovadora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no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setor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público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ampliando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alcance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Programa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Olhos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D’Água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,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podendo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ser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acessada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por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meio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endereço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eletrônico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: </w:t>
      </w:r>
      <w:hyperlink r:id="R0f5912a614df473b">
        <w:r w:rsidRPr="3E497AD9" w:rsidR="3E497AD9">
          <w:rPr>
            <w:rFonts w:ascii="Calibri" w:hAnsi="Calibri" w:eastAsia="Aptos" w:cs="Calibri"/>
            <w:noProof w:val="0"/>
            <w:color w:val="0000FF"/>
            <w:u w:val="single"/>
            <w:lang w:val="pt-BR"/>
          </w:rPr>
          <w:t>https://inovagov.enap.gov.br/</w:t>
        </w:r>
      </w:hyperlink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.</w:t>
      </w:r>
    </w:p>
    <w:p w:rsidRPr="00EC5CA1" w:rsidR="00EC5CA1" w:rsidP="3E497AD9" w:rsidRDefault="00EC5CA1" w14:paraId="148439F1" w14:textId="77777777" w14:noSpellErr="1">
      <w:pPr>
        <w:spacing w:after="0"/>
        <w:ind w:left="-709"/>
        <w:rPr>
          <w:rFonts w:ascii="Calibri" w:hAnsi="Calibri" w:eastAsia="Aptos" w:cs="Calibri"/>
          <w:noProof w:val="0"/>
          <w:color w:val="000000" w:themeColor="text1"/>
          <w:lang w:val="pt-BR"/>
        </w:rPr>
      </w:pPr>
    </w:p>
    <w:p w:rsidRPr="00EC5CA1" w:rsidR="00EC5CA1" w:rsidP="3E497AD9" w:rsidRDefault="00EC5CA1" w14:paraId="2FAF984F" w14:textId="77777777">
      <w:pPr>
        <w:spacing w:after="0"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Objetivo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Mapa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Estratégico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: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Promover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políticas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conhecimento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formação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em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arte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cultura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</w:p>
    <w:p w:rsidRPr="00EC5CA1" w:rsidR="00EC5CA1" w:rsidP="3E497AD9" w:rsidRDefault="00EC5CA1" w14:paraId="7E72ECA8" w14:textId="77777777" w14:noSpellErr="1">
      <w:pPr>
        <w:spacing w:after="0"/>
        <w:rPr>
          <w:rFonts w:ascii="Calibri" w:hAnsi="Calibri" w:eastAsia="Aptos" w:cs="Calibri"/>
          <w:noProof w:val="0"/>
          <w:color w:val="000000" w:themeColor="text1"/>
          <w:lang w:val="pt-BR"/>
        </w:rPr>
      </w:pPr>
    </w:p>
    <w:p w:rsidRPr="00EC5CA1" w:rsidR="00EC5CA1" w:rsidP="00EC5CA1" w:rsidRDefault="00EC5CA1" w14:paraId="55D1C349" w14:textId="04C873E8">
      <w:pPr>
        <w:spacing w:after="0" w:line="278" w:lineRule="auto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Pautas transversais: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Na seleção das propostas houve a previsão de pontuação para pessoas negras e pessoas com deficiência nas equipes dos projetos, assim como para ações que promovessem acessibilidade do público. O edital previu também pontuação para propostas pedagógicas que beneficiassem segmentos submetidos aos processos históricos de vulnerabilidade social, como renda/classe, raça, cor, etnia e gênero. </w:t>
      </w:r>
    </w:p>
    <w:p w:rsidRPr="00EC5CA1" w:rsidR="00EC5CA1" w:rsidP="00EC5CA1" w:rsidRDefault="00EC5CA1" w14:paraId="6B3DB151" w14:textId="77777777" w14:noSpellErr="1">
      <w:pPr>
        <w:spacing w:after="0" w:line="278" w:lineRule="auto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</w:p>
    <w:p w:rsidRPr="00EC5CA1" w:rsidR="00EC5CA1" w:rsidP="3E497AD9" w:rsidRDefault="00EC5CA1" w14:paraId="38C85C8C" w14:textId="77777777">
      <w:pPr>
        <w:spacing w:after="120"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No campo da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promoção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 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difusão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escrita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literária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,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foi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lançado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edital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“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Territórios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da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Escrita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” que é a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primeira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formação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pública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gratuita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para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escritores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.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Fruto de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parceria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com 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Universidade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Federal do Rio Grande do Sul (UFRGS),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ação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teve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mais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de 23 mil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inscritos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no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edital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que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prevê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1000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vagas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,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sendo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que, 100 delas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receberão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bolsa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criação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literária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para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finalização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suas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obras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.</w:t>
      </w:r>
    </w:p>
    <w:p w:rsidRPr="00EC5CA1" w:rsidR="00EC5CA1" w:rsidP="00EC5CA1" w:rsidRDefault="00EC5CA1" w14:paraId="799344E4" w14:textId="77777777">
      <w:pPr>
        <w:numPr>
          <w:ilvl w:val="0"/>
          <w:numId w:val="6"/>
        </w:numPr>
        <w:spacing w:after="120" w:line="278" w:lineRule="auto"/>
        <w:ind w:hanging="720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Periferia Brasileira de Letras (PBL)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, em parceria com a Fiocruz, que realizou importante e abrangente pesquisa com coletivos literários periféricos realizadores de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saraus,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slams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, roda de rima, biblioteca comunitária, teatro de rua, editoras independentes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, entre outras. A ação busca aprofundar o entendimento sobre o impacto cultural desses coletivos em 10 estados e contribuir com subsídios para a criação de políticas públicas da área de livro e leitura.  </w:t>
      </w:r>
    </w:p>
    <w:p w:rsidRPr="00EC5CA1" w:rsidR="00EC5CA1" w:rsidP="00EC5CA1" w:rsidRDefault="00EC5CA1" w14:paraId="21C6DD76" w14:textId="77777777" w14:noSpellErr="1">
      <w:pPr>
        <w:spacing w:after="120"/>
        <w:ind w:left="-709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</w:p>
    <w:p w:rsidRPr="00EC5CA1" w:rsidR="00EC5CA1" w:rsidP="00EC5CA1" w:rsidRDefault="00EC5CA1" w14:paraId="652AAA71" w14:textId="484F59CD">
      <w:pPr>
        <w:numPr>
          <w:ilvl w:val="0"/>
          <w:numId w:val="6"/>
        </w:numPr>
        <w:spacing w:after="120" w:line="278" w:lineRule="auto"/>
        <w:ind w:hanging="720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PNLD Literário Mais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Bibliotecas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 :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A articulação entre MinC e MEC, com a parceria do FNDE, possibilitou a assinatura do Decreto nº 12.021/2024, que altera o Programa Nacional do Livro Didático com o objetivo de ampliar o alcance para 6 mil bibliotecas públicas e comunitárias em todo o país, por meio da distribuição de livros. O decreto está em fase de regulamentação, com minuta aprovada pelo FNDE e MEC, a ser encaminhado para apreciação da CONJUR/MinC para a devida assinatura dos Ministros. </w:t>
      </w:r>
    </w:p>
    <w:p w:rsidRPr="00EC5CA1" w:rsidR="00EC5CA1" w:rsidP="00EC5CA1" w:rsidRDefault="00EC5CA1" w14:paraId="30D9A232" w14:textId="7D6900CC">
      <w:pPr>
        <w:numPr>
          <w:ilvl w:val="0"/>
          <w:numId w:val="7"/>
        </w:numPr>
        <w:spacing w:after="120" w:line="278" w:lineRule="auto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Bibliotecas Minha Casa, Minha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Vida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 :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Em articulação com o Ministério das Cidades (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MCid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) e com a SEEC, foi assinado o protocolo de intenções entre 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MCid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 MinC. Serão implementadas cerca de 1,5 mil bibliotecas, com entregas previstas entre o segundo semestre de 2025 e o fim de 2026. Cada biblioteca comunitária terá um acervo inicial de aproximadamente 500 livros (são 750 mil livros no total), selecionados pelo PNLD Literário e material de orientação para a dinamização das bibliotecas, além do credenciamento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delas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no SNBP.   </w:t>
      </w:r>
    </w:p>
    <w:p w:rsidRPr="00EC5CA1" w:rsidR="00EC5CA1" w:rsidP="00EC5CA1" w:rsidRDefault="00EC5CA1" w14:paraId="28301648" w14:textId="77777777" w14:noSpellErr="1">
      <w:pPr>
        <w:spacing w:after="120" w:line="278" w:lineRule="auto"/>
        <w:ind w:left="142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</w:p>
    <w:p w:rsidRPr="00EC5CA1" w:rsidR="00EC5CA1" w:rsidP="00EC5CA1" w:rsidRDefault="00EC5CA1" w14:paraId="57D391E2" w14:textId="77777777">
      <w:pPr>
        <w:numPr>
          <w:ilvl w:val="0"/>
          <w:numId w:val="7"/>
        </w:numPr>
        <w:spacing w:after="120" w:line="278" w:lineRule="auto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Bibliotecas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CEUs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da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Cultura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 :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Participação na equipe de elaboração do projeto de referência do MinC para a construção das bibliotecas dos novos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CEUs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da Cultura, considerando as referências técnicas de materiais e potenciais de usos da biblioteca, bem como no planejamento de acervo. </w:t>
      </w:r>
    </w:p>
    <w:p w:rsidRPr="00EC5CA1" w:rsidR="00EC5CA1" w:rsidP="00EC5CA1" w:rsidRDefault="00EC5CA1" w14:paraId="6A90811D" w14:textId="77777777" w14:noSpellErr="1">
      <w:pPr>
        <w:spacing/>
        <w:ind w:left="284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</w:p>
    <w:p w:rsidRPr="00EC5CA1" w:rsidR="00EC5CA1" w:rsidP="00EC5CA1" w:rsidRDefault="00EC5CA1" w14:paraId="44B61299" w14:textId="77777777">
      <w:pPr>
        <w:numPr>
          <w:ilvl w:val="0"/>
          <w:numId w:val="7"/>
        </w:numPr>
        <w:spacing w:after="120" w:line="278" w:lineRule="auto"/>
        <w:ind w:left="0" w:firstLine="142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Encontro do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SNBP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 :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Com coordenadores representantes dos Sistemas Estaduais de Bibliotecas Públicas de 20 unidades da federação (incluindo o Distrito Federal), o Encontro Anual do Sistema Nacional de Bibliotecas Públicas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ocorreu entre os dias 26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30 de novembro de 2024, em Recife (PE). O encontro teve como objetivo alinhar as diretrizes das políticas públicas para as bibliotecas do país e para a troca de experiências e informações entre as unidades federativas. Nesta oportunidade, o MinC participou também do Fórum Nacional de Bibliotecas Públicas, repactuando a parceria com a Federação Brasileira de Associações de Bibliotecários, Cientistas de Informação e Instituições (FEBAB). </w:t>
      </w:r>
    </w:p>
    <w:p w:rsidRPr="00EC5CA1" w:rsidR="00EC5CA1" w:rsidP="00EC5CA1" w:rsidRDefault="00EC5CA1" w14:paraId="17F441FD" w14:textId="77777777" w14:noSpellErr="1">
      <w:pPr>
        <w:spacing/>
        <w:ind w:left="284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</w:p>
    <w:p w:rsidRPr="00EC5CA1" w:rsidR="00EC5CA1" w:rsidP="3E497AD9" w:rsidRDefault="00EC5CA1" w14:paraId="23B00132" w14:textId="42728C29">
      <w:pPr>
        <w:numPr>
          <w:ilvl w:val="0"/>
          <w:numId w:val="7"/>
        </w:numPr>
        <w:spacing w:after="120" w:line="278" w:lineRule="auto"/>
        <w:ind w:left="142" w:firstLine="0"/>
        <w:contextualSpacing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Programa Iberbibliotecas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: Por meio da parceria continuada com o Centro Regional para a Promoção do Livro na América Latina e no Caribe (CERLALC), o Brasil, enquanto país membro do Programa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Iberbibliotecas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, proporcionou apoio financeiro a projetos de bibliotecas públicas e comunitárias (2 projetos contemplados), formações online (199 profissionais contemplados), estágio internacional (2 profissionais contemplados) e bolsa de assistência a evento internacional (1 profissional contemplado).</w:t>
      </w:r>
      <w:proofErr w:type="gramStart"/>
      <w:proofErr w:type="gramEnd"/>
    </w:p>
    <w:p w:rsidRPr="00EC5CA1" w:rsidR="00EC5CA1" w:rsidP="3E497AD9" w:rsidRDefault="00EC5CA1" w14:paraId="322AA8F1" w14:textId="77777777">
      <w:pPr>
        <w:spacing w:after="0"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Objetivo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Mapa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Estratégico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: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Consolidar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o Sistema Nacional de Cultura, com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ativação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presença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das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políticas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culturais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nos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municípios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e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estados</w:t>
      </w:r>
    </w:p>
    <w:p w:rsidRPr="00EC5CA1" w:rsidR="00EC5CA1" w:rsidP="3E497AD9" w:rsidRDefault="00EC5CA1" w14:paraId="299FEDDC" w14:textId="77777777">
      <w:pPr>
        <w:spacing w:after="0"/>
        <w:ind w:left="-851"/>
        <w:rPr>
          <w:rFonts w:ascii="Calibri" w:hAnsi="Calibri" w:eastAsia="Aptos" w:cs="Calibri"/>
          <w:b w:val="1"/>
          <w:bCs w:val="1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               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Indicadores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execução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: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50%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 </w:t>
      </w:r>
    </w:p>
    <w:p w:rsidRPr="00EC5CA1" w:rsidR="00EC5CA1" w:rsidP="3E497AD9" w:rsidRDefault="00EC5CA1" w14:paraId="7774CF42" w14:textId="77777777">
      <w:pPr>
        <w:spacing w:after="0"/>
        <w:rPr>
          <w:rFonts w:ascii="Calibri" w:hAnsi="Calibri" w:eastAsia="Aptos" w:cs="Calibri"/>
          <w:b w:val="1"/>
          <w:bCs w:val="1"/>
          <w:noProof w:val="0"/>
          <w:color w:val="000000" w:themeColor="text1"/>
          <w:lang w:val="pt-BR"/>
        </w:rPr>
      </w:pPr>
      <w:r w:rsidRPr="3E497AD9">
        <w:rPr>
          <w:rFonts w:ascii="Calibri" w:hAnsi="Calibri" w:eastAsia="Aptos" w:cs="Calibri"/>
          <w:b w:val="1"/>
          <w:bCs w:val="1"/>
          <w:noProof w:val="0"/>
          <w:color w:val="000000" w:themeColor="text1"/>
          <w:lang w:val="pt-BR"/>
        </w:rPr>
        <w:t>Pautas transversais:</w:t>
      </w:r>
      <w:r w:rsidRPr="3E497AD9">
        <w:rPr>
          <w:rFonts w:ascii="Calibri" w:hAnsi="Calibri" w:cs="Calibri"/>
          <w:b w:val="1"/>
          <w:bCs w:val="1"/>
          <w:noProof w:val="0"/>
          <w:color w:val="000000"/>
          <w:shd w:val="clear" w:color="auto" w:fill="FFFFFF"/>
          <w:lang w:val="pt-BR"/>
        </w:rPr>
        <w:t xml:space="preserve"> </w:t>
      </w:r>
      <w:r w:rsidRPr="3E497AD9">
        <w:rPr>
          <w:rFonts w:ascii="Calibri" w:hAnsi="Calibri" w:eastAsia="Aptos" w:cs="Calibri"/>
          <w:noProof w:val="0"/>
          <w:color w:val="000000" w:themeColor="text1"/>
          <w:lang w:val="pt-BR"/>
        </w:rPr>
        <w:t>crianças, adolescentes e jovens, negros, indígenas e PCD</w:t>
      </w:r>
      <w:r w:rsidRPr="3E497AD9">
        <w:rPr>
          <w:rFonts w:ascii="Calibri" w:hAnsi="Calibri" w:eastAsia="Aptos" w:cs="Calibri"/>
          <w:b w:val="1"/>
          <w:bCs w:val="1"/>
          <w:noProof w:val="0"/>
          <w:color w:val="000000" w:themeColor="text1"/>
          <w:lang w:val="pt-BR"/>
        </w:rPr>
        <w:t>.  </w:t>
      </w:r>
    </w:p>
    <w:p w:rsidRPr="00EC5CA1" w:rsidR="00EC5CA1" w:rsidP="3E497AD9" w:rsidRDefault="00EC5CA1" w14:paraId="57401BF9" w14:textId="77777777" w14:noSpellErr="1">
      <w:pPr>
        <w:spacing w:after="0"/>
        <w:ind w:left="142"/>
        <w:rPr>
          <w:rFonts w:ascii="Calibri" w:hAnsi="Calibri" w:eastAsia="Aptos" w:cs="Calibri"/>
          <w:b w:val="1"/>
          <w:bCs w:val="1"/>
          <w:noProof w:val="0"/>
          <w:color w:val="000000" w:themeColor="text1"/>
          <w:lang w:val="pt-BR"/>
        </w:rPr>
      </w:pPr>
    </w:p>
    <w:p w:rsidRPr="00EC5CA1" w:rsidR="00EC5CA1" w:rsidP="3E497AD9" w:rsidRDefault="00EC5CA1" w14:paraId="6B330EDD" w14:textId="4DBABE5E">
      <w:pPr>
        <w:pStyle w:val="PargrafodaLista"/>
        <w:spacing w:after="0"/>
        <w:ind w:left="0" w:firstLine="0"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Promoção e difusão do livro, leitura e da criação literária nacional, no Brasil e no exterior: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No campo da internacionalização da literatura brasileira, destaca-se a participação do país como homenageado na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Feira Internacional do Livro de Havana, Feira Internacional do Livro de La Paz e Feira Internacional do Livro de Bogotá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. Em todas elas, uma média de 20 escritoras e escritores, por feira, compuseram a comitiva brasileira que divulgou e promoveu nossa literatura nesses países. Além disso, o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Programa de Apoio à Tradução e à Publicação de Autores Brasileiros no Exterior,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realizado em parceria com a Fundação Biblioteca Nacional (FBN) e o Ministério das Relações Exteriores, selecionou projetos de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96 editoras estrangeiras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para a apoio financeiro à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tradução de obras literárias brasileiras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em diversos países</w:t>
      </w:r>
      <w:proofErr w:type="gramStart"/>
      <w:proofErr w:type="gramEnd"/>
    </w:p>
    <w:p w:rsidRPr="00EC5CA1" w:rsidR="00EC5CA1" w:rsidP="3E497AD9" w:rsidRDefault="00EC5CA1" w14:paraId="20CE165E" w14:textId="77777777">
      <w:pPr>
        <w:spacing w:after="0"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Objetivo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Mapa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Estratégico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: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7 –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Reposicionar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a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cultura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brasileira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no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cenário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 xml:space="preserve">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internacional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 </w:t>
      </w:r>
    </w:p>
    <w:p w:rsidRPr="00EC5CA1" w:rsidR="00EC5CA1" w:rsidP="3E497AD9" w:rsidRDefault="00EC5CA1" w14:paraId="1D3CE526" w14:textId="77777777" w14:noSpellErr="1">
      <w:pPr>
        <w:spacing w:after="0"/>
        <w:ind w:left="-709"/>
        <w:rPr>
          <w:rFonts w:ascii="Calibri" w:hAnsi="Calibri" w:eastAsia="Aptos" w:cs="Calibri"/>
          <w:noProof w:val="0"/>
          <w:color w:val="000000" w:themeColor="text1"/>
          <w:lang w:val="pt-BR"/>
        </w:rPr>
      </w:pPr>
    </w:p>
    <w:p w:rsidRPr="00EC5CA1" w:rsidR="00EC5CA1" w:rsidP="3E497AD9" w:rsidRDefault="00EC5CA1" w14:paraId="442FA3D8" w14:textId="77777777">
      <w:pPr>
        <w:spacing w:after="0"/>
        <w:ind w:left="-142" w:firstLine="142"/>
        <w:rPr>
          <w:rFonts w:ascii="Calibri" w:hAnsi="Calibri" w:eastAsia="Aptos" w:cs="Calibri"/>
          <w:noProof w:val="0"/>
          <w:color w:val="000000" w:themeColor="text1"/>
          <w:lang w:val="pt-BR"/>
        </w:rPr>
      </w:pP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Indicadores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 de 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>execução</w:t>
      </w:r>
      <w:r w:rsidRPr="3E497AD9" w:rsidR="3E497AD9">
        <w:rPr>
          <w:rFonts w:ascii="Calibri" w:hAnsi="Calibri" w:eastAsia="Aptos" w:cs="Calibri"/>
          <w:b w:val="1"/>
          <w:bCs w:val="1"/>
          <w:noProof w:val="0"/>
          <w:color w:val="000000" w:themeColor="text1" w:themeTint="FF" w:themeShade="FF"/>
          <w:lang w:val="pt-BR"/>
        </w:rPr>
        <w:t xml:space="preserve">: </w:t>
      </w:r>
      <w:r w:rsidRPr="3E497AD9" w:rsidR="3E497AD9">
        <w:rPr>
          <w:rFonts w:ascii="Calibri" w:hAnsi="Calibri" w:eastAsia="Aptos" w:cs="Calibri"/>
          <w:noProof w:val="0"/>
          <w:color w:val="000000" w:themeColor="text1" w:themeTint="FF" w:themeShade="FF"/>
          <w:lang w:val="pt-BR"/>
        </w:rPr>
        <w:t>100% </w:t>
      </w:r>
    </w:p>
    <w:p w:rsidRPr="00332EFF" w:rsidR="00D105D8" w:rsidRDefault="00D105D8" w14:paraId="02CC2436" w14:textId="77777777">
      <w:pPr>
        <w:rPr>
          <w:lang w:val="pt-BR"/>
        </w:rPr>
      </w:pPr>
    </w:p>
    <w:p w:rsidR="00D105D8" w:rsidRDefault="00D105D8" w14:paraId="02CC2437" w14:textId="77777777">
      <w:pPr>
        <w:rPr>
          <w:lang w:val="pt-BR"/>
        </w:rPr>
      </w:pPr>
    </w:p>
    <w:p w:rsidRPr="00332EFF" w:rsidR="00D105D8" w:rsidRDefault="00D105D8" w14:paraId="02CC2438" w14:textId="77777777">
      <w:pPr>
        <w:rPr>
          <w:lang w:val="pt-BR"/>
        </w:rPr>
      </w:pPr>
    </w:p>
    <w:p w:rsidR="00D105D8" w:rsidRDefault="00D105D8" w14:paraId="02CC2439" w14:textId="77777777">
      <w:pPr>
        <w:rPr>
          <w:lang w:val="pt-BR"/>
        </w:rPr>
      </w:pPr>
    </w:p>
    <w:p w:rsidR="00D105D8" w:rsidRDefault="00D105D8" w14:paraId="02CC243A" w14:textId="77777777">
      <w:pPr>
        <w:rPr>
          <w:lang w:val="pt-BR"/>
        </w:rPr>
      </w:pPr>
    </w:p>
    <w:p w:rsidR="00D105D8" w:rsidRDefault="00D105D8" w14:paraId="02CC243B" w14:textId="77777777">
      <w:pPr>
        <w:spacing w:after="120" w:line="240" w:lineRule="auto"/>
        <w:rPr>
          <w:b/>
          <w:bCs/>
          <w:sz w:val="22"/>
          <w:szCs w:val="22"/>
          <w:lang w:val="pt-BR"/>
        </w:rPr>
      </w:pPr>
    </w:p>
    <w:p w:rsidRPr="00332EFF" w:rsidR="00D105D8" w:rsidRDefault="00D105D8" w14:paraId="02CC243C" w14:textId="77777777">
      <w:pPr>
        <w:widowControl w:val="0"/>
        <w:suppressAutoHyphens/>
        <w:spacing w:after="0" w:line="240" w:lineRule="auto"/>
        <w:jc w:val="left"/>
        <w:rPr>
          <w:lang w:val="pt-BR"/>
        </w:rPr>
      </w:pPr>
    </w:p>
    <w:p w:rsidR="00D105D8" w:rsidRDefault="00D105D8" w14:paraId="02CC243D" w14:textId="77777777">
      <w:pPr>
        <w:rPr>
          <w:lang w:val="pt-BR"/>
        </w:rPr>
      </w:pPr>
    </w:p>
    <w:sectPr w:rsidR="00D105D8">
      <w:headerReference w:type="default" r:id="rId11"/>
      <w:footerReference w:type="default" r:id="rId12"/>
      <w:endnotePr>
        <w:numFmt w:val="decimal"/>
      </w:endnotePr>
      <w:pgSz w:w="15840" w:h="12240" w:orient="landscape"/>
      <w:pgMar w:top="1440" w:right="1440" w:bottom="1440" w:left="1440" w:header="708" w:footer="708" w:gutter="0"/>
      <w:cols w:space="708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E6B" w:rsidRDefault="00471E6B" w14:paraId="5A719E70" w14:textId="77777777">
      <w:pPr>
        <w:spacing w:after="0" w:line="240" w:lineRule="auto"/>
      </w:pPr>
      <w:r>
        <w:separator/>
      </w:r>
    </w:p>
  </w:endnote>
  <w:endnote w:type="continuationSeparator" w:id="0">
    <w:p w:rsidR="00471E6B" w:rsidRDefault="00471E6B" w14:paraId="21C634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F" w14:textId="77777777" w14:noSpellErr="1">
    <w:pPr>
      <w:pStyle w:val="Rodap"/>
      <w:ind w:right="360"/>
      <w:rPr>
        <w:color w:val="FFFFFF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3" behindDoc="1" locked="0" layoutInCell="0" hidden="0" allowOverlap="1" wp14:anchorId="02CC2446" wp14:editId="02CC2447">
              <wp:simplePos x="0" y="0"/>
              <wp:positionH relativeFrom="outsideMargin">
                <wp:posOffset>-180340</wp:posOffset>
              </wp:positionH>
              <wp:positionV relativeFrom="page">
                <wp:align>bottom</wp:align>
              </wp:positionV>
              <wp:extent cx="179705" cy="629920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HAAAA5P7//wMAAAAAAAAAAAAAABsBAADgAwAAAAAAACQ3AADwKwAAKAAAAAgAAAABAAAAAQAAAA=="/>
                        </a:ext>
                      </a:extLst>
                    </wps:cNvSpPr>
                    <wps:spPr>
                      <a:xfrm>
                        <a:off x="0" y="0"/>
                        <a:ext cx="179705" cy="62992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D105D8" w:rsidRDefault="00D105D8" w14:paraId="02CC244B" w14:textId="77777777">
                          <w:pPr>
                            <w:jc w:val="center"/>
                          </w:pPr>
                        </w:p>
                      </w:txbxContent>
                    </wps:txbx>
                    <wps:bodyPr spcFirstLastPara="1" vertOverflow="clip" horzOverflow="clip" lIns="91440" tIns="45720" rIns="91440" bIns="45720" anchor="ctr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style="position:absolute;left:0;text-align:left;margin-left:-14.2pt;margin-top:0;width:14.15pt;height:49.6pt;z-index:-251658237;visibility:visible;mso-wrap-style:square;mso-wrap-distance-left:9pt;mso-wrap-distance-top:0;mso-wrap-distance-right:9pt;mso-wrap-distance-bottom:0;mso-position-horizontal:absolute;mso-position-horizontal-relative:inner-margin-area;mso-position-vertical:bottom;mso-position-vertical-relative:page;v-text-anchor:middle" o:spid="_x0000_s1028" o:allowincell="f" fillcolor="#4a85c2" stroked="f" strokeweight="1pt" w14:anchorId="02CC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">
              <v:textbox>
                <w:txbxContent>
                  <w:p w:rsidR="00D105D8" w:rsidRDefault="00D105D8" w14:paraId="02CC244B" w14:textId="77777777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E6B" w:rsidRDefault="00471E6B" w14:paraId="21EABFB2" w14:textId="77777777">
      <w:pPr>
        <w:spacing w:after="0" w:line="240" w:lineRule="auto"/>
      </w:pPr>
      <w:r>
        <w:separator/>
      </w:r>
    </w:p>
  </w:footnote>
  <w:footnote w:type="continuationSeparator" w:id="0">
    <w:p w:rsidR="00471E6B" w:rsidRDefault="00471E6B" w14:paraId="468D98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E" w14:textId="77777777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4" behindDoc="0" locked="0" layoutInCell="0" hidden="0" allowOverlap="1" wp14:anchorId="02CC2440" wp14:editId="02CC2441">
              <wp:simplePos x="0" y="0"/>
              <wp:positionH relativeFrom="margin">
                <wp:align>left</wp:align>
              </wp:positionH>
              <wp:positionV relativeFrom="page">
                <wp:posOffset>361950</wp:posOffset>
              </wp:positionV>
              <wp:extent cx="2581275" cy="11430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AAAAAAAAAAAAAAAAA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EAAAABAAAAAAAAAAAAAAAAAAAAOgIAAOEPAAC0AAAAAAAAAKAFAAA6AgAAKAAAAAgAAAABAAAAAQAAAA=="/>
                        </a:ext>
                      </a:extLst>
                    </wps:cNvSpPr>
                    <wps:spPr>
                      <a:xfrm>
                        <a:off x="0" y="0"/>
                        <a:ext cx="258127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05D8" w:rsidRDefault="00471E6B" w14:paraId="02CC2448" w14:textId="7F1A99D5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  <w:r w:rsidRPr="00332EFF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Transparência e Prestação de Contas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 xml:space="preserve"> – </w:t>
                          </w:r>
                          <w:r w:rsidR="00EC5CA1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º trimestre de 202</w:t>
                          </w:r>
                          <w:r w:rsidR="00EC5CA1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</w:p>
                        <w:p w:rsidR="00D105D8" w:rsidRDefault="00D105D8" w14:paraId="02CC2449" w14:textId="77777777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style="position:absolute;left:0;text-align:left;margin-left:0;margin-top:28.5pt;width:203.25pt;height:9pt;z-index:2516582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spid="_x0000_s1026" o:allowincell="f" stroked="f" strokeweight=".5pt" w14:anchorId="02CC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">
              <v:textbox inset="0,0,0,0">
                <w:txbxContent>
                  <w:p w:rsidR="00D105D8" w:rsidRDefault="00471E6B" w14:paraId="02CC2448" w14:textId="7F1A99D5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  <w:r w:rsidRPr="00332EFF">
                      <w:rPr>
                        <w:color w:val="595959"/>
                        <w:sz w:val="16"/>
                        <w:szCs w:val="16"/>
                        <w:lang w:val="pt-BR"/>
                      </w:rPr>
                      <w:t>Transparência e Prestação de Contas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 xml:space="preserve"> – </w:t>
                    </w:r>
                    <w:r w:rsidR="00EC5CA1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>º trimestre de 202</w:t>
                    </w:r>
                    <w:r w:rsidR="00EC5CA1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</w:p>
                  <w:p w:rsidR="00D105D8" w:rsidRDefault="00D105D8" w14:paraId="02CC2449" w14:textId="77777777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5" behindDoc="0" locked="0" layoutInCell="0" hidden="0" allowOverlap="1" wp14:anchorId="02CC2442" wp14:editId="02CC2443">
              <wp:simplePos x="0" y="0"/>
              <wp:positionH relativeFrom="column">
                <wp:posOffset>-914400</wp:posOffset>
              </wp:positionH>
              <wp:positionV relativeFrom="paragraph">
                <wp:posOffset>-124460</wp:posOffset>
              </wp:positionV>
              <wp:extent cx="629920" cy="180340"/>
              <wp:effectExtent l="0" t="0" r="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AAAAACAAAAYPr//wAAAAACAAAAPP///+ADAAAcAQAAAAAAAAAAAAAAAgAAKAAAAAgAAAABAAAAAQAAAA=="/>
                        </a:ext>
                      </a:extLst>
                    </wps:cNvSpPr>
                    <wps:spPr>
                      <a:xfrm>
                        <a:off x="0" y="0"/>
                        <a:ext cx="629920" cy="18034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style="position:absolute;margin-left:-1in;margin-top:-9.8pt;width:49.6pt;height:14.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o:allowincell="f" fillcolor="#4a85c2" stroked="f" strokeweight="1pt" w14:anchorId="50085F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EAB"/>
    <w:multiLevelType w:val="hybridMultilevel"/>
    <w:tmpl w:val="67B4B9D4"/>
    <w:name w:val="Lista numerada 3"/>
    <w:lvl w:ilvl="0" w:tplc="881070A2">
      <w:numFmt w:val="bullet"/>
      <w:pStyle w:val="PargrafodaLista"/>
      <w:lvlText w:val=""/>
      <w:lvlJc w:val="left"/>
      <w:pPr>
        <w:ind w:left="360" w:firstLine="0"/>
      </w:pPr>
      <w:rPr>
        <w:rFonts w:ascii="Symbol" w:hAnsi="Symbol"/>
      </w:rPr>
    </w:lvl>
    <w:lvl w:ilvl="1" w:tplc="7AA6D4E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6A8C3B2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27DEFD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C6D1C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F8272E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4F0AD3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0E65F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09C4DE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1" w15:restartNumberingAfterBreak="0">
    <w:nsid w:val="11A764E6"/>
    <w:multiLevelType w:val="hybridMultilevel"/>
    <w:tmpl w:val="4D9CDE40"/>
    <w:lvl w:ilvl="0" w:tplc="04160001">
      <w:start w:val="1"/>
      <w:numFmt w:val="bullet"/>
      <w:lvlText w:val=""/>
      <w:lvlJc w:val="left"/>
      <w:pPr>
        <w:ind w:left="-731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-11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70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</w:abstractNum>
  <w:abstractNum w:abstractNumId="2" w15:restartNumberingAfterBreak="0">
    <w:nsid w:val="212B2DB3"/>
    <w:multiLevelType w:val="hybridMultilevel"/>
    <w:tmpl w:val="C80880B6"/>
    <w:lvl w:ilvl="0" w:tplc="04160001">
      <w:start w:val="1"/>
      <w:numFmt w:val="bullet"/>
      <w:lvlText w:val=""/>
      <w:lvlJc w:val="left"/>
      <w:pPr>
        <w:ind w:left="142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582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302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022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742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462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182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902" w:hanging="360"/>
      </w:pPr>
      <w:rPr>
        <w:rFonts w:hint="default" w:ascii="Wingdings" w:hAnsi="Wingdings"/>
      </w:rPr>
    </w:lvl>
  </w:abstractNum>
  <w:abstractNum w:abstractNumId="3" w15:restartNumberingAfterBreak="0">
    <w:nsid w:val="26FE0E55"/>
    <w:multiLevelType w:val="hybridMultilevel"/>
    <w:tmpl w:val="2EA24DA6"/>
    <w:name w:val="Lista numerada 2"/>
    <w:lvl w:ilvl="0" w:tplc="466858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2903E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55C8D34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8320C1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89812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9708338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6A067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8D4C6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1C2988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4" w15:restartNumberingAfterBreak="0">
    <w:nsid w:val="37AD369E"/>
    <w:multiLevelType w:val="hybridMultilevel"/>
    <w:tmpl w:val="343E936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3771F5"/>
    <w:multiLevelType w:val="hybridMultilevel"/>
    <w:tmpl w:val="E65AC86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FA41A3"/>
    <w:multiLevelType w:val="hybridMultilevel"/>
    <w:tmpl w:val="0D1404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931FE3"/>
    <w:multiLevelType w:val="hybridMultilevel"/>
    <w:tmpl w:val="DD267E96"/>
    <w:lvl w:ilvl="0" w:tplc="C0D6677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C72BF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0CE15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D428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126032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7D2B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F0099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61E3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04CC5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0FF36D4"/>
    <w:multiLevelType w:val="multilevel"/>
    <w:tmpl w:val="4BE0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1E94FAB"/>
    <w:multiLevelType w:val="hybridMultilevel"/>
    <w:tmpl w:val="15B66144"/>
    <w:name w:val="Lista numerada 1"/>
    <w:lvl w:ilvl="0" w:tplc="D1B6CBD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F14E03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34C4C0C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CA301E6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CA2DF6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3042EC2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4EDCCF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066D6E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4A0B3D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num w:numId="1" w16cid:durableId="1585842540">
    <w:abstractNumId w:val="9"/>
  </w:num>
  <w:num w:numId="2" w16cid:durableId="1668943797">
    <w:abstractNumId w:val="3"/>
  </w:num>
  <w:num w:numId="3" w16cid:durableId="1985236839">
    <w:abstractNumId w:val="0"/>
  </w:num>
  <w:num w:numId="4" w16cid:durableId="2024742138">
    <w:abstractNumId w:val="7"/>
  </w:num>
  <w:num w:numId="5" w16cid:durableId="1050154347">
    <w:abstractNumId w:val="8"/>
  </w:num>
  <w:num w:numId="6" w16cid:durableId="369766027">
    <w:abstractNumId w:val="5"/>
  </w:num>
  <w:num w:numId="7" w16cid:durableId="1133598744">
    <w:abstractNumId w:val="6"/>
  </w:num>
  <w:num w:numId="8" w16cid:durableId="437919369">
    <w:abstractNumId w:val="4"/>
  </w:num>
  <w:num w:numId="9" w16cid:durableId="1004360215">
    <w:abstractNumId w:val="1"/>
  </w:num>
  <w:num w:numId="10" w16cid:durableId="83869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5D8"/>
    <w:rsid w:val="00095F3F"/>
    <w:rsid w:val="000A7EC0"/>
    <w:rsid w:val="00194F5E"/>
    <w:rsid w:val="002D6CCB"/>
    <w:rsid w:val="00301EB6"/>
    <w:rsid w:val="00332EFF"/>
    <w:rsid w:val="003D2FA3"/>
    <w:rsid w:val="00471E6B"/>
    <w:rsid w:val="004A7FF2"/>
    <w:rsid w:val="005A594E"/>
    <w:rsid w:val="00CC0653"/>
    <w:rsid w:val="00CF103C"/>
    <w:rsid w:val="00D105D8"/>
    <w:rsid w:val="00D47FA3"/>
    <w:rsid w:val="00DC77D2"/>
    <w:rsid w:val="00E26B2E"/>
    <w:rsid w:val="00EC5CA1"/>
    <w:rsid w:val="1E5902C1"/>
    <w:rsid w:val="2B58407A"/>
    <w:rsid w:val="2EB12822"/>
    <w:rsid w:val="3E497AD9"/>
    <w:rsid w:val="65FAC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C242E"/>
  <w15:docId w15:val="{AF2BC8E3-6BCF-49B2-A18C-25E88087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4"/>
        <w:szCs w:val="24"/>
        <w:lang w:val="pt-BR" w:eastAsia="zh-CN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/>
      <w:lang w:val="en-US"/>
    </w:rPr>
  </w:style>
  <w:style w:type="paragraph" w:styleId="Ttulo1">
    <w:name w:val="heading 1"/>
    <w:basedOn w:val="Normal"/>
    <w:next w:val="Normal"/>
    <w:qFormat/>
    <w:pPr>
      <w:pBdr>
        <w:top w:val="nil"/>
        <w:left w:val="nil"/>
        <w:bottom w:val="single" w:color="4A85C2" w:sz="18" w:space="6"/>
        <w:right w:val="nil"/>
        <w:between w:val="nil"/>
      </w:pBdr>
      <w:outlineLvl w:val="0"/>
    </w:pPr>
    <w:rPr>
      <w:rFonts w:ascii="Impact" w:hAnsi="Impact"/>
      <w:color w:val="4A85C2"/>
      <w:sz w:val="28"/>
      <w:szCs w:val="28"/>
      <w:lang w:val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basedOn w:val="Normal"/>
    <w:qFormat/>
    <w:pPr>
      <w:spacing w:before="120" w:line="240" w:lineRule="auto"/>
      <w:jc w:val="right"/>
    </w:pPr>
    <w:rPr>
      <w:sz w:val="18"/>
      <w:szCs w:val="18"/>
      <w:lang w:val="pt-BR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/>
    </w:rPr>
  </w:style>
  <w:style w:type="paragraph" w:styleId="Unidade" w:customStyle="1">
    <w:name w:val="Unidade"/>
    <w:basedOn w:val="Ttulo1"/>
    <w:qFormat/>
    <w:pPr>
      <w:pBdr>
        <w:bottom w:val="nil"/>
      </w:pBdr>
      <w:spacing w:after="480" w:line="240" w:lineRule="auto"/>
      <w:jc w:val="left"/>
    </w:pPr>
    <w:rPr>
      <w:sz w:val="32"/>
      <w:szCs w:val="32"/>
    </w:rPr>
  </w:style>
  <w:style w:type="paragraph" w:styleId="Ttulo10" w:customStyle="1">
    <w:name w:val="Título1"/>
    <w:basedOn w:val="Normal"/>
    <w:qFormat/>
    <w:rPr>
      <w:b/>
      <w:bCs/>
      <w:sz w:val="22"/>
      <w:szCs w:val="22"/>
      <w:lang w:val="pt-BR"/>
    </w:rPr>
  </w:style>
  <w:style w:type="paragraph" w:styleId="PargrafodaLista">
    <w:name w:val="List Paragraph"/>
    <w:basedOn w:val="Normal"/>
    <w:qFormat/>
    <w:pPr>
      <w:numPr>
        <w:numId w:val="3"/>
      </w:numPr>
      <w:ind w:left="284" w:hanging="284"/>
      <w:contextualSpacing/>
    </w:pPr>
    <w:rPr>
      <w:lang w:val="pt-BR"/>
    </w:rPr>
  </w:style>
  <w:style w:type="paragraph" w:styleId="Heading2" w:customStyle="1">
    <w:name w:val="Heading2"/>
    <w:basedOn w:val="Normal"/>
    <w:qFormat/>
    <w:rPr>
      <w:color w:val="5885BD"/>
      <w:sz w:val="28"/>
      <w:szCs w:val="28"/>
      <w:lang w:val="pt-BR"/>
    </w:rPr>
  </w:style>
  <w:style w:type="paragraph" w:styleId="Heading3" w:customStyle="1">
    <w:name w:val="Heading3"/>
    <w:basedOn w:val="Normal"/>
    <w:qFormat/>
    <w:rPr>
      <w:color w:val="5885BD"/>
      <w:lang w:val="pt-BR"/>
    </w:rPr>
  </w:style>
  <w:style w:type="paragraph" w:styleId="Tabela-body" w:customStyle="1">
    <w:name w:val="Tabela - body"/>
    <w:basedOn w:val="Normal"/>
    <w:qFormat/>
    <w:pPr>
      <w:spacing w:after="0" w:line="240" w:lineRule="auto"/>
      <w:jc w:val="center"/>
    </w:pPr>
    <w:rPr>
      <w:rFonts w:eastAsia="Times New Roman"/>
      <w:color w:val="000000"/>
      <w:sz w:val="20"/>
      <w:szCs w:val="20"/>
      <w:lang w:val="pt-BR"/>
    </w:rPr>
  </w:style>
  <w:style w:type="paragraph" w:styleId="Tabela-header" w:customStyle="1">
    <w:name w:val="Tabela - header"/>
    <w:basedOn w:val="Normal"/>
    <w:qFormat/>
    <w:pPr>
      <w:spacing w:after="0" w:line="240" w:lineRule="auto"/>
      <w:jc w:val="center"/>
    </w:pPr>
    <w:rPr>
      <w:rFonts w:eastAsia="Times New Roman"/>
      <w:b/>
      <w:bCs/>
      <w:color w:val="FFFFFF"/>
      <w:sz w:val="18"/>
      <w:szCs w:val="18"/>
      <w:lang w:val="pt-BR"/>
    </w:rPr>
  </w:style>
  <w:style w:type="character" w:styleId="Ttulo1Char" w:customStyle="1">
    <w:name w:val="Título 1 Char"/>
    <w:basedOn w:val="Fontepargpadro"/>
    <w:rPr>
      <w:rFonts w:ascii="Impact" w:hAnsi="Impact"/>
      <w:color w:val="4A85C2"/>
      <w:sz w:val="28"/>
      <w:szCs w:val="28"/>
      <w:lang w:val="pt-BR"/>
    </w:rPr>
  </w:style>
  <w:style w:type="character" w:styleId="CabealhoChar" w:customStyle="1">
    <w:name w:val="Cabeçalho Char"/>
    <w:basedOn w:val="Fontepargpadro"/>
    <w:rPr>
      <w:rFonts w:ascii="Calibri Light" w:hAnsi="Calibri Light"/>
      <w:lang w:val="en-US"/>
    </w:rPr>
  </w:style>
  <w:style w:type="character" w:styleId="RodapChar" w:customStyle="1">
    <w:name w:val="Rodapé Char"/>
    <w:basedOn w:val="Fontepargpadro"/>
    <w:rPr>
      <w:rFonts w:ascii="Calibri Light" w:hAnsi="Calibri Light"/>
      <w:lang w:val="en-US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Calibri Light" w:hAnsi="Calibri Light"/>
      <w:color w:val="404040"/>
      <w:sz w:val="20"/>
    </w:rPr>
    <w:tblPr>
      <w:tblStyleRowBandSize w:val="1"/>
      <w:tblBorders>
        <w:insideV w:val="single" w:color="F2F2F2" w:sz="4" w:space="0"/>
      </w:tblBorders>
      <w:tblCellMar>
        <w:top w:w="113" w:type="dxa"/>
        <w:left w:w="170" w:type="dxa"/>
        <w:bottom w:w="113" w:type="dxa"/>
        <w:right w:w="170" w:type="dxa"/>
      </w:tblCellMar>
    </w:tblPr>
    <w:tblStylePr w:type="firstRow">
      <w:pPr>
        <w:jc w:val="center"/>
      </w:pPr>
      <w:rPr>
        <w:rFonts w:ascii="Calibri" w:hAnsi="Calibri"/>
        <w:color w:val="FFFFFF"/>
      </w:rPr>
      <w:tblPr/>
      <w:tcPr>
        <w:shd w:val="solid" w:color="5885BD" w:fill="auto"/>
      </w:tcPr>
    </w:tblStylePr>
    <w:tblStylePr w:type="lastRow">
      <w:tblPr/>
      <w:tcPr>
        <w:tcBorders>
          <w:bottom w:val="single" w:color="5885BD" w:sz="4" w:space="0"/>
        </w:tcBorders>
      </w:tcPr>
    </w:tblStylePr>
    <w:tblStylePr w:type="band1Horz">
      <w:tblPr/>
      <w:tcPr>
        <w:shd w:val="solid" w:color="E7EBF6" w:fill="auto"/>
      </w:tcPr>
    </w:tblStylePr>
  </w:style>
  <w:style w:type="table" w:styleId="TabeladeGrade1Clara-nfase61" w:customStyle="1">
    <w:name w:val="Tabela de Grade 1 Clara - Ênfase 61"/>
    <w:basedOn w:val="Tabelanormal"/>
    <w:uiPriority w:val="46"/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1" w:customStyle="1">
    <w:name w:val="Tabela de Grade Clara1"/>
    <w:basedOn w:val="Tabelanormal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SimplesTabela11" w:customStyle="1">
    <w:name w:val="Simples Tabela 11"/>
    <w:basedOn w:val="Tabelanormal"/>
    <w:uiPriority w:val="41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1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SimplesTabela21" w:customStyle="1">
    <w:name w:val="Simples Tabela 21"/>
    <w:basedOn w:val="Tabelanormal"/>
    <w:uiPriority w:val="42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SimplesTabela31" w:customStyle="1">
    <w:name w:val="Simples Tabela 31"/>
    <w:basedOn w:val="Tabela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inovagov.enap.gov.br/" TargetMode="External" Id="R0f5912a614df47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Impact"/>
        <a:ea typeface="Calibri"/>
        <a:cs typeface="Times New Roman"/>
      </a:majorFont>
      <a:minorFont>
        <a:latin typeface="Calibri Light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FF90457B8F8409F6C7AE72D71A1E2" ma:contentTypeVersion="6" ma:contentTypeDescription="Create a new document." ma:contentTypeScope="" ma:versionID="9eea61c054497a03fe14c664a20b4efc">
  <xsd:schema xmlns:xsd="http://www.w3.org/2001/XMLSchema" xmlns:xs="http://www.w3.org/2001/XMLSchema" xmlns:p="http://schemas.microsoft.com/office/2006/metadata/properties" xmlns:ns3="d0b4926d-acbd-4078-80aa-364300a6e3aa" targetNamespace="http://schemas.microsoft.com/office/2006/metadata/properties" ma:root="true" ma:fieldsID="107fe03300ed5a430800b222e9f04d51" ns3:_="">
    <xsd:import namespace="d0b4926d-acbd-4078-80aa-364300a6e3a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926d-acbd-4078-80aa-364300a6e3a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b4926d-acbd-4078-80aa-364300a6e3aa" xsi:nil="true"/>
  </documentManagement>
</p:properties>
</file>

<file path=customXml/itemProps1.xml><?xml version="1.0" encoding="utf-8"?>
<ds:datastoreItem xmlns:ds="http://schemas.openxmlformats.org/officeDocument/2006/customXml" ds:itemID="{FCDEF870-F61D-4011-A59A-DAFC216B1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926d-acbd-4078-80aa-364300a6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72543-D39E-410C-AF41-B493FCEC0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5CF9E-295C-401F-99E7-D430A6E01568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0b4926d-acbd-4078-80aa-364300a6e3aa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m62430</dc:creator>
  <lastModifiedBy>Usuário Convidado</lastModifiedBy>
  <revision>3</revision>
  <dcterms:created xsi:type="dcterms:W3CDTF">2025-01-31T14:01:00.0000000Z</dcterms:created>
  <dcterms:modified xsi:type="dcterms:W3CDTF">2025-01-31T20:25:10.8192145Z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0x010100E87FF90457B8F8409F6C7AE72D71A1E2</vt:lpwstr>
  </property>
  <property fmtid="{D5CDD505-2E9C-101B-9397-08002B2CF9AE}" pid="3" name="MediaServiceImageTags">
    <vt:lpwstr/>
  </property>
</Properties>
</file>