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7AB5" w:rsidP="10ECA7A6" w:rsidRDefault="00C77AB5" w14:paraId="76EAE358" w14:textId="77777777">
      <w:pPr>
        <w:spacing w:after="120"/>
        <w:rPr>
          <w:rFonts w:ascii="Impact" w:hAnsi="Impact" w:eastAsia="Impact" w:cs="Impact" w:asciiTheme="majorAscii" w:hAnsiTheme="majorAscii" w:eastAsiaTheme="majorAscii" w:cstheme="majorAscii"/>
          <w:color w:val="0070C0"/>
          <w:sz w:val="32"/>
          <w:szCs w:val="32"/>
          <w:lang w:val="pt-PT"/>
        </w:rPr>
      </w:pPr>
      <w:r w:rsidRPr="10ECA7A6" w:rsidR="10ECA7A6">
        <w:rPr>
          <w:rFonts w:ascii="Impact" w:hAnsi="Impact" w:eastAsia="Impact" w:cs="Impact" w:asciiTheme="majorAscii" w:hAnsiTheme="majorAscii" w:eastAsiaTheme="majorAscii" w:cstheme="majorAscii"/>
          <w:color w:val="0070C0"/>
          <w:sz w:val="32"/>
          <w:szCs w:val="32"/>
          <w:lang w:val="pt-PT"/>
        </w:rPr>
        <w:t>Secretaria de Direitos Autorais e Intelectuais (SDAI)</w:t>
      </w:r>
    </w:p>
    <w:p w:rsidRPr="00EC3AB7" w:rsidR="00C77AB5" w:rsidP="10ECA7A6" w:rsidRDefault="00C77AB5" w14:paraId="2C2093EB" w14:textId="77777777">
      <w:pPr>
        <w:pStyle w:val="Ttulo1"/>
        <w:rPr>
          <w:rFonts w:ascii="Impact" w:hAnsi="Impact" w:eastAsia="Impact" w:cs="Impact" w:asciiTheme="majorAscii" w:hAnsiTheme="majorAscii" w:eastAsiaTheme="majorAscii" w:cstheme="majorAscii"/>
          <w:color w:val="0070C0"/>
        </w:rPr>
      </w:pPr>
      <w:r w:rsidRPr="10ECA7A6" w:rsidR="10ECA7A6">
        <w:rPr>
          <w:rFonts w:ascii="Impact" w:hAnsi="Impact" w:eastAsia="Impact" w:cs="Impact" w:asciiTheme="majorAscii" w:hAnsiTheme="majorAscii" w:eastAsiaTheme="majorAscii" w:cstheme="majorAscii"/>
          <w:color w:val="0070C0"/>
        </w:rPr>
        <w:t>Quem somos?</w:t>
      </w:r>
    </w:p>
    <w:p w:rsidRPr="00C537F2" w:rsidR="00C77AB5" w:rsidP="5731C505" w:rsidRDefault="00C77AB5" w14:paraId="78D7560A" w14:textId="77777777">
      <w:pPr>
        <w:autoSpaceDE w:val="0"/>
        <w:autoSpaceDN w:val="0"/>
        <w:adjustRightInd w:val="0"/>
        <w:spacing w:after="120" w:afterAutospacing="off" w:line="240" w:lineRule="auto"/>
        <w:rPr>
          <w:rFonts w:ascii="Calibri" w:hAnsi="Calibri" w:cs="Calibri"/>
          <w:noProof w:val="0"/>
          <w:lang w:val="pt-BR"/>
        </w:rPr>
      </w:pPr>
      <w:r w:rsidRPr="5731C505" w:rsidR="5731C505">
        <w:rPr>
          <w:rFonts w:ascii="Calibri" w:hAnsi="Calibri" w:cs="Calibri"/>
          <w:noProof w:val="0"/>
          <w:lang w:val="pt-BR"/>
        </w:rPr>
        <w:t>A Secretaria de Direitos Autorais e Intelectuais (SDAI) é responsável pela formulação e gestão da política do Ministério da Cultura sobre direitos autorais, sendo constituída por duas diretorias: a Diretoria de Gestão Coletiva de Direitos Autorais (DIGEC) e a Diretoria de Regulação de Direitos Autorais (DIREG).</w:t>
      </w:r>
    </w:p>
    <w:p w:rsidRPr="00C537F2" w:rsidR="00C77AB5" w:rsidP="5731C505" w:rsidRDefault="00C77AB5" w14:paraId="780CBC42" w14:textId="77777777" w14:noSpellErr="1">
      <w:pPr>
        <w:autoSpaceDE w:val="0"/>
        <w:autoSpaceDN w:val="0"/>
        <w:adjustRightInd w:val="0"/>
        <w:spacing w:after="120" w:afterAutospacing="off" w:line="240" w:lineRule="auto"/>
        <w:rPr>
          <w:rFonts w:ascii="Calibri" w:hAnsi="Calibri" w:cs="Calibri"/>
          <w:noProof w:val="0"/>
          <w:lang w:val="pt-BR"/>
        </w:rPr>
      </w:pPr>
    </w:p>
    <w:p w:rsidRPr="00EC3AB7" w:rsidR="00C77AB5" w:rsidP="5731C505" w:rsidRDefault="00C77AB5" w14:paraId="1B9F2F48" w14:textId="237CCB6B">
      <w:pPr>
        <w:pStyle w:val="Ttulo1"/>
        <w:spacing w:after="120" w:afterAutospacing="off" w:line="240" w:lineRule="auto"/>
        <w:rPr>
          <w:rFonts w:ascii="Impact" w:hAnsi="Impact" w:cs="Calibri" w:asciiTheme="majorAscii" w:hAnsiTheme="majorAscii"/>
          <w:noProof w:val="0"/>
          <w:color w:val="0070C0"/>
          <w:lang w:val="pt-BR"/>
        </w:rPr>
      </w:pPr>
      <w:r w:rsidRPr="5731C505" w:rsidR="5731C505">
        <w:rPr>
          <w:rFonts w:ascii="Impact" w:hAnsi="Impact" w:cs="Calibri" w:asciiTheme="majorAscii" w:hAnsiTheme="majorAscii"/>
          <w:noProof w:val="0"/>
          <w:color w:val="0070C0"/>
          <w:lang w:val="pt-BR"/>
        </w:rPr>
        <w:t>Nossa atuação em 2024, referente às iniciativas estratégicas</w:t>
      </w:r>
    </w:p>
    <w:p w:rsidRPr="00C537F2" w:rsidR="00C77AB5" w:rsidP="5731C505" w:rsidRDefault="00C77AB5" w14:paraId="44E5A802" w14:textId="77777777">
      <w:pPr>
        <w:autoSpaceDE w:val="0"/>
        <w:autoSpaceDN w:val="0"/>
        <w:adjustRightInd w:val="0"/>
        <w:spacing w:after="120" w:afterAutospacing="off" w:line="240" w:lineRule="auto"/>
        <w:rPr>
          <w:rFonts w:ascii="Calibri" w:hAnsi="Calibri" w:cs="Calibri"/>
          <w:noProof w:val="0"/>
          <w:lang w:val="pt-BR"/>
        </w:rPr>
      </w:pPr>
      <w:r w:rsidRPr="5731C505" w:rsidR="5731C505">
        <w:rPr>
          <w:rFonts w:ascii="Calibri" w:hAnsi="Calibri" w:cs="Calibri"/>
          <w:noProof w:val="0"/>
          <w:lang w:val="pt-BR"/>
        </w:rPr>
        <w:t xml:space="preserve">A atuação da SDAI em 2024 foi pautada em fortalecer um sistema equilibrado de direitos autorais no Brasil e posicionar o país como referência global. </w:t>
      </w:r>
    </w:p>
    <w:p w:rsidRPr="00C537F2" w:rsidR="00C77AB5" w:rsidP="5731C505" w:rsidRDefault="00C77AB5" w14:paraId="396B402D" w14:textId="77777777">
      <w:pPr>
        <w:autoSpaceDE w:val="0"/>
        <w:autoSpaceDN w:val="0"/>
        <w:adjustRightInd w:val="0"/>
        <w:spacing w:after="120" w:afterAutospacing="off" w:line="240" w:lineRule="auto"/>
        <w:rPr>
          <w:rFonts w:ascii="Calibri" w:hAnsi="Calibri" w:cs="Calibri"/>
          <w:noProof w:val="0"/>
          <w:lang w:val="pt-BR"/>
        </w:rPr>
      </w:pPr>
      <w:r w:rsidRPr="5731C505">
        <w:rPr>
          <w:rFonts w:ascii="Calibri" w:hAnsi="Calibri" w:cs="Calibri"/>
          <w:noProof w:val="0"/>
          <w:lang w:val="pt-BR"/>
        </w:rPr>
        <w:t>Em dezembro, em esforço conjunto com a DIREG, foi publicada a Portaria Normativa nº 169, de 02 de dezembro de 2024</w:t>
      </w:r>
      <w:r w:rsidRPr="5731C505">
        <w:rPr>
          <w:rFonts w:ascii="Calibri" w:hAnsi="Calibri" w:cs="Calibri"/>
          <w:noProof w:val="0"/>
          <w:lang w:val="pt-BR"/>
        </w:rPr>
        <w:t xml:space="preserve">, passo importante para a modernização e restauração da Comissão Permanente para o Aperfeiçoamento da Gestão Coletiva - CPAGC, a fim de garantir a participação social nas políticas de supervisão estatal da gestão coletiva, bem como propor medidas para atuação mais transparente e eficaz das </w:t>
      </w:r>
      <w:r w:rsidRPr="5731C505">
        <w:rPr>
          <w:rFonts w:ascii="Calibri" w:hAnsi="Calibri" w:cs="Calibri"/>
          <w:noProof w:val="0"/>
          <w:lang w:val="pt-BR"/>
        </w:rPr>
        <w:t>sociedades de gestão coletiva de direitos de autor e direitos conexos no País</w:t>
      </w:r>
    </w:p>
    <w:p w:rsidR="5731C505" w:rsidP="5731C505" w:rsidRDefault="5731C505" w14:paraId="595E0333" w14:textId="1A32519A">
      <w:pPr>
        <w:spacing w:after="120" w:afterAutospacing="off" w:line="240" w:lineRule="auto"/>
        <w:rPr>
          <w:rFonts w:ascii="Calibri" w:hAnsi="Calibri" w:cs="Calibri"/>
          <w:noProof w:val="0"/>
          <w:lang w:val="pt-BR"/>
        </w:rPr>
      </w:pPr>
      <w:r w:rsidRPr="5731C505" w:rsidR="5731C505">
        <w:rPr>
          <w:rFonts w:ascii="Calibri" w:hAnsi="Calibri" w:cs="Calibri"/>
          <w:noProof w:val="0"/>
          <w:lang w:val="pt-BR"/>
        </w:rPr>
        <w:t>A fiscalização também tem sido de fluxo constante, decorrendo especialmente de denúncias de cidadãos e entidades. No ano de 2024, destacamos a elaboração de 37 expedientes contendo notificação ao ECAD (ente arrecadador), associações de gestão coletiva de direitos autorais ou usuários. Destes, 22 se referiam a processos instaurados na nova gestão e 15 a processos instaurados na gestão anterior (passivo). Foram também produzidas 19 notas técnicas nos processos de fiscalização/sancionamento, demandando estudos e excelência técnica para subsidiar decisões de alta complexidade.</w:t>
      </w:r>
    </w:p>
    <w:p w:rsidRPr="00C537F2" w:rsidR="00C77AB5" w:rsidP="5731C505" w:rsidRDefault="00C77AB5" w14:paraId="5A2F5E07" w14:textId="77777777">
      <w:pPr>
        <w:autoSpaceDE w:val="0"/>
        <w:autoSpaceDN w:val="0"/>
        <w:adjustRightInd w:val="0"/>
        <w:spacing w:after="120" w:afterAutospacing="off" w:line="240" w:lineRule="auto"/>
        <w:rPr>
          <w:rFonts w:ascii="Calibri" w:hAnsi="Calibri" w:cs="Calibri"/>
          <w:noProof w:val="0"/>
          <w:lang w:val="pt-BR"/>
        </w:rPr>
      </w:pPr>
      <w:r w:rsidRPr="5731C505" w:rsidR="5731C505">
        <w:rPr>
          <w:rFonts w:ascii="Calibri" w:hAnsi="Calibri" w:cs="Calibri"/>
          <w:noProof w:val="0"/>
          <w:lang w:val="pt-BR"/>
        </w:rPr>
        <w:t>Adicionalmente, cabe mencionar o tratamento de 29 demandas externas (manifestações, sugestões e pedidos de informação) recebidas por diversos meios, gerando informação qualificada sobre gestão coletiva e contribuindo para o respeito aos direitos autorais.</w:t>
      </w:r>
    </w:p>
    <w:p w:rsidRPr="00C537F2" w:rsidR="00C77AB5" w:rsidP="5731C505" w:rsidRDefault="00C77AB5" w14:paraId="68D75DCA" w14:textId="77777777">
      <w:pPr>
        <w:autoSpaceDE w:val="0"/>
        <w:autoSpaceDN w:val="0"/>
        <w:adjustRightInd w:val="0"/>
        <w:spacing w:after="120" w:afterAutospacing="off" w:line="240" w:lineRule="auto"/>
        <w:rPr>
          <w:rFonts w:ascii="Calibri" w:hAnsi="Calibri" w:cs="Calibri"/>
          <w:noProof w:val="0"/>
          <w:lang w:val="pt-BR"/>
        </w:rPr>
      </w:pPr>
      <w:r w:rsidRPr="5731C505">
        <w:rPr>
          <w:rFonts w:ascii="Calibri" w:hAnsi="Calibri" w:cs="Calibri"/>
          <w:noProof w:val="0"/>
          <w:lang w:val="pt-BR"/>
        </w:rPr>
        <w:t>Na esfera legislativa, a Secretaria teve notável atuação no Projeto de Lei nº 2.338/2023, de regulação da inteligência artificial, aprovado pelo Plenário do Senado Federal em 10/12/2024</w:t>
      </w:r>
      <w:r w:rsidRPr="5731C505">
        <w:rPr>
          <w:rFonts w:ascii="Calibri" w:hAnsi="Calibri" w:cs="Calibri"/>
          <w:noProof w:val="0"/>
          <w:lang w:val="pt-BR"/>
        </w:rPr>
        <w:t xml:space="preserve">. Para tanto, organizou e participou de uma série de reuniões no âmbito interministerial, bem como com parlamentares, representantes do setor artístico e do setor empresarial, prestando apoio técnico às disposições sobre direitos autorais do PL e contribuindo para a condução </w:t>
      </w:r>
      <w:r w:rsidRPr="5731C505">
        <w:rPr>
          <w:rFonts w:ascii="Calibri" w:hAnsi="Calibri" w:cs="Calibri"/>
          <w:noProof w:val="0"/>
          <w:lang w:val="pt-BR"/>
        </w:rPr>
        <w:lastRenderedPageBreak/>
        <w:t>estratégica do processo legislativo. Ainda no campo legislativo, a Secretaria realizou diversas reuniões com representantes do setor artístico e setor empresarial para as negociações em torno do Projeto de Lei nº 2.370/2019, em tramitação na Câmara dos Deputados, que busca assegurar o direito de remuneração a título de direitos autorais no ambiente digital, elaborando subsídios técnicos para os dispositivos deste projeto de lei. O conteúdo do referido PL foi também apresentado no Senado Federal, na forma do Projeto de Lei nº 4968/2024.</w:t>
      </w:r>
    </w:p>
    <w:p w:rsidRPr="00C537F2" w:rsidR="00C77AB5" w:rsidP="5731C505" w:rsidRDefault="00C77AB5" w14:paraId="2935F842" w14:textId="77777777">
      <w:pPr>
        <w:autoSpaceDE w:val="0"/>
        <w:autoSpaceDN w:val="0"/>
        <w:adjustRightInd w:val="0"/>
        <w:spacing w:after="120" w:afterAutospacing="off" w:line="240" w:lineRule="auto"/>
        <w:rPr>
          <w:rFonts w:ascii="Calibri" w:hAnsi="Calibri" w:cs="Calibri"/>
          <w:noProof w:val="0"/>
          <w:vertAlign w:val="superscript"/>
          <w:lang w:val="pt-BR"/>
        </w:rPr>
      </w:pPr>
      <w:r w:rsidRPr="5731C505">
        <w:rPr>
          <w:rFonts w:ascii="Calibri" w:hAnsi="Calibri" w:cs="Calibri"/>
          <w:noProof w:val="0"/>
          <w:lang w:val="pt-BR"/>
        </w:rPr>
        <w:t xml:space="preserve">Já na esfera internacional, a SDAI participou das negociações, na OMPI, do Comitê de Direitos Autorais (SCCR, da sigla em inglês), do Comitê de Conhecimentos Tradicionais e Expressões Culturais Tradicionais (IGC sigla em inglês) e do Comitê de Desenvolvimento (CDIP). A Secretaria forneceu subsídios e apoio técnico ao MRE nas negociações, além de realizar reuniões bilaterais com as contrapartes de países como Coreia do Sul, Australia, China, GRULAC, Grupo Africano e os Dirigentes da OMPI. </w:t>
      </w:r>
      <w:r w:rsidRPr="5731C505">
        <w:rPr>
          <w:rFonts w:ascii="Calibri" w:hAnsi="Calibri" w:cs="Calibri"/>
          <w:b w:val="1"/>
          <w:bCs w:val="1"/>
          <w:noProof w:val="0"/>
          <w:lang w:val="pt-BR"/>
        </w:rPr>
        <w:t>Também organizou, em Brasília, com o apoio da OMPI, Encontro dos Chefes de Oficina de Direitos Autorais da América Latina e Caribe, oportunidade para a troca de experiências e alinhamentos de posicionamentos sobre o tema entre os países latinos.</w:t>
      </w:r>
    </w:p>
    <w:p w:rsidRPr="00C537F2" w:rsidR="00C77AB5" w:rsidP="5731C505" w:rsidRDefault="00C77AB5" w14:paraId="1681C8B5" w14:textId="77777777">
      <w:pPr>
        <w:autoSpaceDE w:val="0"/>
        <w:autoSpaceDN w:val="0"/>
        <w:adjustRightInd w:val="0"/>
        <w:spacing w:after="120" w:afterAutospacing="off" w:line="240" w:lineRule="auto"/>
        <w:rPr>
          <w:rFonts w:ascii="Calibri" w:hAnsi="Calibri" w:cs="Calibri"/>
          <w:noProof w:val="0"/>
          <w:lang w:val="pt-BR"/>
        </w:rPr>
      </w:pPr>
      <w:r w:rsidRPr="5731C505" w:rsidR="5731C505">
        <w:rPr>
          <w:rFonts w:ascii="Calibri" w:hAnsi="Calibri" w:cs="Calibri"/>
          <w:noProof w:val="0"/>
          <w:lang w:val="pt-BR"/>
        </w:rPr>
        <w:t xml:space="preserve">A SDAI </w:t>
      </w:r>
      <w:r w:rsidRPr="5731C505" w:rsidR="5731C505">
        <w:rPr>
          <w:rFonts w:ascii="Calibri" w:hAnsi="Calibri" w:cs="Calibri"/>
          <w:noProof w:val="0"/>
          <w:lang w:val="pt-BR"/>
        </w:rPr>
        <w:t>atuou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para </w:t>
      </w:r>
      <w:r w:rsidRPr="5731C505" w:rsidR="5731C505">
        <w:rPr>
          <w:rFonts w:ascii="Calibri" w:hAnsi="Calibri" w:cs="Calibri"/>
          <w:noProof w:val="0"/>
          <w:lang w:val="pt-BR"/>
        </w:rPr>
        <w:t>avançar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</w:t>
      </w:r>
      <w:r w:rsidRPr="5731C505" w:rsidR="5731C505">
        <w:rPr>
          <w:rFonts w:ascii="Calibri" w:hAnsi="Calibri" w:cs="Calibri"/>
          <w:noProof w:val="0"/>
          <w:lang w:val="pt-BR"/>
        </w:rPr>
        <w:t>os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interesses </w:t>
      </w:r>
      <w:r w:rsidRPr="5731C505" w:rsidR="5731C505">
        <w:rPr>
          <w:rFonts w:ascii="Calibri" w:hAnsi="Calibri" w:cs="Calibri"/>
          <w:noProof w:val="0"/>
          <w:lang w:val="pt-BR"/>
        </w:rPr>
        <w:t>relacionados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a </w:t>
      </w:r>
      <w:r w:rsidRPr="5731C505" w:rsidR="5731C505">
        <w:rPr>
          <w:rFonts w:ascii="Calibri" w:hAnsi="Calibri" w:cs="Calibri"/>
          <w:noProof w:val="0"/>
          <w:lang w:val="pt-BR"/>
        </w:rPr>
        <w:t>direitos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</w:t>
      </w:r>
      <w:r w:rsidRPr="5731C505" w:rsidR="5731C505">
        <w:rPr>
          <w:rFonts w:ascii="Calibri" w:hAnsi="Calibri" w:cs="Calibri"/>
          <w:noProof w:val="0"/>
          <w:lang w:val="pt-BR"/>
        </w:rPr>
        <w:t>autorais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e </w:t>
      </w:r>
      <w:r w:rsidRPr="5731C505" w:rsidR="5731C505">
        <w:rPr>
          <w:rFonts w:ascii="Calibri" w:hAnsi="Calibri" w:cs="Calibri"/>
          <w:noProof w:val="0"/>
          <w:lang w:val="pt-BR"/>
        </w:rPr>
        <w:t>intelectuais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do </w:t>
      </w:r>
      <w:r w:rsidRPr="5731C505" w:rsidR="5731C505">
        <w:rPr>
          <w:rFonts w:ascii="Calibri" w:hAnsi="Calibri" w:cs="Calibri"/>
          <w:noProof w:val="0"/>
          <w:lang w:val="pt-BR"/>
        </w:rPr>
        <w:t>setor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</w:t>
      </w:r>
      <w:r w:rsidRPr="5731C505" w:rsidR="5731C505">
        <w:rPr>
          <w:rFonts w:ascii="Calibri" w:hAnsi="Calibri" w:cs="Calibri"/>
          <w:noProof w:val="0"/>
          <w:lang w:val="pt-BR"/>
        </w:rPr>
        <w:t>artístico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</w:t>
      </w:r>
      <w:r w:rsidRPr="5731C505" w:rsidR="5731C505">
        <w:rPr>
          <w:rFonts w:ascii="Calibri" w:hAnsi="Calibri" w:cs="Calibri"/>
          <w:noProof w:val="0"/>
          <w:lang w:val="pt-BR"/>
        </w:rPr>
        <w:t>brasileiro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</w:t>
      </w:r>
      <w:r w:rsidRPr="5731C505" w:rsidR="5731C505">
        <w:rPr>
          <w:rFonts w:ascii="Calibri" w:hAnsi="Calibri" w:cs="Calibri"/>
          <w:noProof w:val="0"/>
          <w:lang w:val="pt-BR"/>
        </w:rPr>
        <w:t>em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</w:t>
      </w:r>
      <w:r w:rsidRPr="5731C505" w:rsidR="5731C505">
        <w:rPr>
          <w:rFonts w:ascii="Calibri" w:hAnsi="Calibri" w:cs="Calibri"/>
          <w:noProof w:val="0"/>
          <w:lang w:val="pt-BR"/>
        </w:rPr>
        <w:t>tratados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de </w:t>
      </w:r>
      <w:r w:rsidRPr="5731C505" w:rsidR="5731C505">
        <w:rPr>
          <w:rFonts w:ascii="Calibri" w:hAnsi="Calibri" w:cs="Calibri"/>
          <w:noProof w:val="0"/>
          <w:lang w:val="pt-BR"/>
        </w:rPr>
        <w:t>comércio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e de </w:t>
      </w:r>
      <w:r w:rsidRPr="5731C505" w:rsidR="5731C505">
        <w:rPr>
          <w:rFonts w:ascii="Calibri" w:hAnsi="Calibri" w:cs="Calibri"/>
          <w:noProof w:val="0"/>
          <w:lang w:val="pt-BR"/>
        </w:rPr>
        <w:t>cooperação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cultural, a </w:t>
      </w:r>
      <w:r w:rsidRPr="5731C505" w:rsidR="5731C505">
        <w:rPr>
          <w:rFonts w:ascii="Calibri" w:hAnsi="Calibri" w:cs="Calibri"/>
          <w:noProof w:val="0"/>
          <w:lang w:val="pt-BR"/>
        </w:rPr>
        <w:t>exemplo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dos </w:t>
      </w:r>
      <w:r w:rsidRPr="5731C505" w:rsidR="5731C505">
        <w:rPr>
          <w:rFonts w:ascii="Calibri" w:hAnsi="Calibri" w:cs="Calibri"/>
          <w:noProof w:val="0"/>
          <w:lang w:val="pt-BR"/>
        </w:rPr>
        <w:t>seguintes</w:t>
      </w:r>
      <w:r w:rsidRPr="5731C505" w:rsidR="5731C505">
        <w:rPr>
          <w:rFonts w:ascii="Calibri" w:hAnsi="Calibri" w:cs="Calibri"/>
          <w:noProof w:val="0"/>
          <w:lang w:val="pt-BR"/>
        </w:rPr>
        <w:t xml:space="preserve">: </w:t>
      </w:r>
      <w:r w:rsidRPr="5731C505" w:rsidR="5731C505">
        <w:rPr>
          <w:rFonts w:ascii="Calibri" w:hAnsi="Calibri" w:cs="Calibri"/>
          <w:noProof w:val="0"/>
          <w:lang w:val="pt-BR"/>
        </w:rPr>
        <w:t>acordo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MERCOSUL-Singapura, </w:t>
      </w:r>
      <w:r w:rsidRPr="5731C505" w:rsidR="5731C505">
        <w:rPr>
          <w:rFonts w:ascii="Calibri" w:hAnsi="Calibri" w:cs="Calibri"/>
          <w:noProof w:val="0"/>
          <w:lang w:val="pt-BR"/>
        </w:rPr>
        <w:t>assinado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</w:t>
      </w:r>
      <w:r w:rsidRPr="5731C505" w:rsidR="5731C505">
        <w:rPr>
          <w:rFonts w:ascii="Calibri" w:hAnsi="Calibri" w:cs="Calibri"/>
          <w:noProof w:val="0"/>
          <w:lang w:val="pt-BR"/>
        </w:rPr>
        <w:t>em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2024</w:t>
      </w:r>
      <w:r w:rsidRPr="5731C505" w:rsidR="5731C505">
        <w:rPr>
          <w:rFonts w:ascii="Calibri" w:hAnsi="Calibri" w:cs="Calibri"/>
          <w:b w:val="1"/>
          <w:bCs w:val="1"/>
          <w:noProof w:val="0"/>
          <w:lang w:val="pt-BR"/>
        </w:rPr>
        <w:t xml:space="preserve">; </w:t>
      </w:r>
      <w:r w:rsidRPr="5731C505" w:rsidR="5731C505">
        <w:rPr>
          <w:rFonts w:ascii="Calibri" w:hAnsi="Calibri" w:cs="Calibri"/>
          <w:noProof w:val="0"/>
          <w:lang w:val="pt-BR"/>
        </w:rPr>
        <w:t>os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</w:t>
      </w:r>
      <w:r w:rsidRPr="5731C505" w:rsidR="5731C505">
        <w:rPr>
          <w:rFonts w:ascii="Calibri" w:hAnsi="Calibri" w:cs="Calibri"/>
          <w:noProof w:val="0"/>
          <w:lang w:val="pt-BR"/>
        </w:rPr>
        <w:t>acordos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do MERCOSUL com EFTA e </w:t>
      </w:r>
      <w:r w:rsidRPr="5731C505" w:rsidR="5731C505">
        <w:rPr>
          <w:rFonts w:ascii="Calibri" w:hAnsi="Calibri" w:cs="Calibri"/>
          <w:noProof w:val="0"/>
          <w:lang w:val="pt-BR"/>
        </w:rPr>
        <w:t>Emirados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</w:t>
      </w:r>
      <w:r w:rsidRPr="5731C505" w:rsidR="5731C505">
        <w:rPr>
          <w:rFonts w:ascii="Calibri" w:hAnsi="Calibri" w:cs="Calibri"/>
          <w:noProof w:val="0"/>
          <w:lang w:val="pt-BR"/>
        </w:rPr>
        <w:t>Árabes</w:t>
      </w:r>
      <w:r w:rsidRPr="5731C505" w:rsidR="5731C505">
        <w:rPr>
          <w:rFonts w:ascii="Calibri" w:hAnsi="Calibri" w:cs="Calibri"/>
          <w:noProof w:val="0"/>
          <w:lang w:val="pt-BR"/>
        </w:rPr>
        <w:t xml:space="preserve">, </w:t>
      </w:r>
      <w:r w:rsidRPr="5731C505" w:rsidR="5731C505">
        <w:rPr>
          <w:rFonts w:ascii="Calibri" w:hAnsi="Calibri" w:cs="Calibri"/>
          <w:noProof w:val="0"/>
          <w:lang w:val="pt-BR"/>
        </w:rPr>
        <w:t>em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</w:t>
      </w:r>
      <w:r w:rsidRPr="5731C505" w:rsidR="5731C505">
        <w:rPr>
          <w:rFonts w:ascii="Calibri" w:hAnsi="Calibri" w:cs="Calibri"/>
          <w:noProof w:val="0"/>
          <w:lang w:val="pt-BR"/>
        </w:rPr>
        <w:t>fase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de </w:t>
      </w:r>
      <w:r w:rsidRPr="5731C505" w:rsidR="5731C505">
        <w:rPr>
          <w:rFonts w:ascii="Calibri" w:hAnsi="Calibri" w:cs="Calibri"/>
          <w:noProof w:val="0"/>
          <w:lang w:val="pt-BR"/>
        </w:rPr>
        <w:t>conclusão</w:t>
      </w:r>
      <w:r w:rsidRPr="5731C505" w:rsidR="5731C505">
        <w:rPr>
          <w:rFonts w:ascii="Calibri" w:hAnsi="Calibri" w:cs="Calibri"/>
          <w:noProof w:val="0"/>
          <w:lang w:val="pt-BR"/>
        </w:rPr>
        <w:t xml:space="preserve">; e </w:t>
      </w:r>
      <w:r w:rsidRPr="5731C505" w:rsidR="5731C505">
        <w:rPr>
          <w:rFonts w:ascii="Calibri" w:hAnsi="Calibri" w:cs="Calibri"/>
          <w:noProof w:val="0"/>
          <w:lang w:val="pt-BR"/>
        </w:rPr>
        <w:t>na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</w:t>
      </w:r>
      <w:r w:rsidRPr="5731C505" w:rsidR="5731C505">
        <w:rPr>
          <w:rFonts w:ascii="Calibri" w:hAnsi="Calibri" w:cs="Calibri"/>
          <w:noProof w:val="0"/>
          <w:lang w:val="pt-BR"/>
        </w:rPr>
        <w:t>conclusão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das </w:t>
      </w:r>
      <w:r w:rsidRPr="5731C505" w:rsidR="5731C505">
        <w:rPr>
          <w:rFonts w:ascii="Calibri" w:hAnsi="Calibri" w:cs="Calibri"/>
          <w:noProof w:val="0"/>
          <w:lang w:val="pt-BR"/>
        </w:rPr>
        <w:t>negociações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do MERCOSUL-</w:t>
      </w:r>
      <w:r w:rsidRPr="5731C505" w:rsidR="5731C505">
        <w:rPr>
          <w:rFonts w:ascii="Calibri" w:hAnsi="Calibri" w:cs="Calibri"/>
          <w:noProof w:val="0"/>
          <w:lang w:val="pt-BR"/>
        </w:rPr>
        <w:t>União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</w:t>
      </w:r>
      <w:r w:rsidRPr="5731C505" w:rsidR="5731C505">
        <w:rPr>
          <w:rFonts w:ascii="Calibri" w:hAnsi="Calibri" w:cs="Calibri"/>
          <w:noProof w:val="0"/>
          <w:lang w:val="pt-BR"/>
        </w:rPr>
        <w:t>Europeia</w:t>
      </w:r>
      <w:r w:rsidRPr="5731C505" w:rsidR="5731C505">
        <w:rPr>
          <w:rFonts w:ascii="Calibri" w:hAnsi="Calibri" w:cs="Calibri"/>
          <w:noProof w:val="0"/>
          <w:lang w:val="pt-BR"/>
        </w:rPr>
        <w:t xml:space="preserve">, que </w:t>
      </w:r>
      <w:r w:rsidRPr="5731C505" w:rsidR="5731C505">
        <w:rPr>
          <w:rFonts w:ascii="Calibri" w:hAnsi="Calibri" w:cs="Calibri"/>
          <w:noProof w:val="0"/>
          <w:lang w:val="pt-BR"/>
        </w:rPr>
        <w:t>incluiu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</w:t>
      </w:r>
      <w:r w:rsidRPr="5731C505" w:rsidR="5731C505">
        <w:rPr>
          <w:rFonts w:ascii="Calibri" w:hAnsi="Calibri" w:cs="Calibri"/>
          <w:noProof w:val="0"/>
          <w:lang w:val="pt-BR"/>
        </w:rPr>
        <w:t>todas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as </w:t>
      </w:r>
      <w:r w:rsidRPr="5731C505" w:rsidR="5731C505">
        <w:rPr>
          <w:rFonts w:ascii="Calibri" w:hAnsi="Calibri" w:cs="Calibri"/>
          <w:noProof w:val="0"/>
          <w:lang w:val="pt-BR"/>
        </w:rPr>
        <w:t>demandas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</w:t>
      </w:r>
      <w:r w:rsidRPr="5731C505" w:rsidR="5731C505">
        <w:rPr>
          <w:rFonts w:ascii="Calibri" w:hAnsi="Calibri" w:cs="Calibri"/>
          <w:noProof w:val="0"/>
          <w:lang w:val="pt-BR"/>
        </w:rPr>
        <w:t>realizadas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pela </w:t>
      </w:r>
      <w:r w:rsidRPr="5731C505" w:rsidR="5731C505">
        <w:rPr>
          <w:rFonts w:ascii="Calibri" w:hAnsi="Calibri" w:cs="Calibri"/>
          <w:noProof w:val="0"/>
          <w:lang w:val="pt-BR"/>
        </w:rPr>
        <w:t>Secretaria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no </w:t>
      </w:r>
      <w:r w:rsidRPr="5731C505" w:rsidR="5731C505">
        <w:rPr>
          <w:rFonts w:ascii="Calibri" w:hAnsi="Calibri" w:cs="Calibri"/>
          <w:noProof w:val="0"/>
          <w:lang w:val="pt-BR"/>
        </w:rPr>
        <w:t>capítulo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de </w:t>
      </w:r>
      <w:r w:rsidRPr="5731C505" w:rsidR="5731C505">
        <w:rPr>
          <w:rFonts w:ascii="Calibri" w:hAnsi="Calibri" w:cs="Calibri"/>
          <w:noProof w:val="0"/>
          <w:lang w:val="pt-BR"/>
        </w:rPr>
        <w:t>Direitos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</w:t>
      </w:r>
      <w:r w:rsidRPr="5731C505" w:rsidR="5731C505">
        <w:rPr>
          <w:rFonts w:ascii="Calibri" w:hAnsi="Calibri" w:cs="Calibri"/>
          <w:noProof w:val="0"/>
          <w:lang w:val="pt-BR"/>
        </w:rPr>
        <w:t>Autorais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e </w:t>
      </w:r>
      <w:r w:rsidRPr="5731C505" w:rsidR="5731C505">
        <w:rPr>
          <w:rFonts w:ascii="Calibri" w:hAnsi="Calibri" w:cs="Calibri"/>
          <w:noProof w:val="0"/>
          <w:lang w:val="pt-BR"/>
        </w:rPr>
        <w:t>está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</w:t>
      </w:r>
      <w:r w:rsidRPr="5731C505" w:rsidR="5731C505">
        <w:rPr>
          <w:rFonts w:ascii="Calibri" w:hAnsi="Calibri" w:cs="Calibri"/>
          <w:noProof w:val="0"/>
          <w:lang w:val="pt-BR"/>
        </w:rPr>
        <w:t>em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</w:t>
      </w:r>
      <w:r w:rsidRPr="5731C505" w:rsidR="5731C505">
        <w:rPr>
          <w:rFonts w:ascii="Calibri" w:hAnsi="Calibri" w:cs="Calibri"/>
          <w:noProof w:val="0"/>
          <w:lang w:val="pt-BR"/>
        </w:rPr>
        <w:t>fase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de </w:t>
      </w:r>
      <w:r w:rsidRPr="5731C505" w:rsidR="5731C505">
        <w:rPr>
          <w:rFonts w:ascii="Calibri" w:hAnsi="Calibri" w:cs="Calibri"/>
          <w:noProof w:val="0"/>
          <w:lang w:val="pt-BR"/>
        </w:rPr>
        <w:t>revisão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legal, com o </w:t>
      </w:r>
      <w:r w:rsidRPr="5731C505" w:rsidR="5731C505">
        <w:rPr>
          <w:rFonts w:ascii="Calibri" w:hAnsi="Calibri" w:cs="Calibri"/>
          <w:noProof w:val="0"/>
          <w:lang w:val="pt-BR"/>
        </w:rPr>
        <w:t>acordo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</w:t>
      </w:r>
      <w:r w:rsidRPr="5731C505" w:rsidR="5731C505">
        <w:rPr>
          <w:rFonts w:ascii="Calibri" w:hAnsi="Calibri" w:cs="Calibri"/>
          <w:noProof w:val="0"/>
          <w:lang w:val="pt-BR"/>
        </w:rPr>
        <w:t>já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</w:t>
      </w:r>
      <w:r w:rsidRPr="5731C505" w:rsidR="5731C505">
        <w:rPr>
          <w:rFonts w:ascii="Calibri" w:hAnsi="Calibri" w:cs="Calibri"/>
          <w:noProof w:val="0"/>
          <w:lang w:val="pt-BR"/>
        </w:rPr>
        <w:t>anunciado</w:t>
      </w:r>
      <w:r w:rsidRPr="5731C505" w:rsidR="5731C505">
        <w:rPr>
          <w:rFonts w:ascii="Calibri" w:hAnsi="Calibri" w:cs="Calibri"/>
          <w:noProof w:val="0"/>
          <w:lang w:val="pt-BR"/>
        </w:rPr>
        <w:t xml:space="preserve"> pela </w:t>
      </w:r>
      <w:r w:rsidRPr="5731C505" w:rsidR="5731C505">
        <w:rPr>
          <w:rFonts w:ascii="Calibri" w:hAnsi="Calibri" w:cs="Calibri"/>
          <w:noProof w:val="0"/>
          <w:lang w:val="pt-BR"/>
        </w:rPr>
        <w:t>imprensa</w:t>
      </w:r>
      <w:r w:rsidRPr="5731C505" w:rsidR="5731C505">
        <w:rPr>
          <w:rFonts w:ascii="Calibri" w:hAnsi="Calibri" w:cs="Calibri"/>
          <w:noProof w:val="0"/>
          <w:lang w:val="pt-BR"/>
        </w:rPr>
        <w:t xml:space="preserve">. </w:t>
      </w:r>
    </w:p>
    <w:p w:rsidRPr="00C537F2" w:rsidR="00C77AB5" w:rsidP="5731C505" w:rsidRDefault="00C77AB5" w14:paraId="0BFD7B3C" w14:textId="77777777">
      <w:pPr>
        <w:autoSpaceDE w:val="0"/>
        <w:autoSpaceDN w:val="0"/>
        <w:adjustRightInd w:val="0"/>
        <w:spacing w:after="120" w:afterAutospacing="off" w:line="240" w:lineRule="auto"/>
        <w:rPr>
          <w:rFonts w:ascii="Calibri" w:hAnsi="Calibri" w:cs="Calibri"/>
          <w:noProof w:val="0"/>
          <w:lang w:val="pt-BR"/>
        </w:rPr>
      </w:pPr>
      <w:r w:rsidRPr="5731C505">
        <w:rPr>
          <w:rFonts w:ascii="Calibri" w:hAnsi="Calibri" w:cs="Calibri"/>
          <w:noProof w:val="0"/>
          <w:lang w:val="pt-BR"/>
        </w:rPr>
        <w:t>No G20, a Secretaria atuou na elaboração e negociação dos parágrafos sobre propriedade intelectual, realizando reuniões bilaterais com vários países para lograr um texto de consenso, além das reuniões oficiais do calendário do G20</w:t>
      </w:r>
      <w:r w:rsidRPr="5731C505">
        <w:rPr>
          <w:rFonts w:ascii="Calibri" w:hAnsi="Calibri" w:cs="Calibri"/>
          <w:noProof w:val="0"/>
          <w:lang w:val="pt-BR"/>
        </w:rPr>
        <w:t xml:space="preserve">. Os parágrafos sobre propriedade intelectual apresentam grande avanço no cenário multilateral ao trazer linguagem sobre pagamento de direitos autorais no ambiente digital e </w:t>
      </w:r>
      <w:r w:rsidRPr="5731C505">
        <w:rPr>
          <w:rFonts w:ascii="Calibri" w:hAnsi="Calibri" w:cs="Calibri"/>
          <w:noProof w:val="0"/>
          <w:lang w:val="pt-BR"/>
        </w:rPr>
        <w:t>a</w:t>
      </w:r>
      <w:r w:rsidRPr="5731C505">
        <w:rPr>
          <w:rFonts w:ascii="Calibri" w:hAnsi="Calibri" w:cs="Calibri"/>
          <w:noProof w:val="0"/>
          <w:lang w:val="pt-BR"/>
        </w:rPr>
        <w:t xml:space="preserve"> importância da regulação e remuneração de obras protegidas quando utilizadas por inteligência artificial generativa. Em paralelo ao G20, o Ministério da Cultura assinou, com a Coreia do Sul, um Memorando de Entendimento sobre Direitos Autorais, fruto de reunião bilateral entre o Secretário e sua contraparte durante o SCCR, na OMPI. </w:t>
      </w:r>
    </w:p>
    <w:p w:rsidRPr="00C537F2" w:rsidR="00C77AB5" w:rsidP="10ECA7A6" w:rsidRDefault="00C77AB5" w14:paraId="166D581C" w14:textId="77777777">
      <w:pPr>
        <w:autoSpaceDE w:val="0"/>
        <w:autoSpaceDN w:val="0"/>
        <w:adjustRightInd w:val="0"/>
        <w:spacing w:after="120" w:afterAutospacing="off" w:line="240" w:lineRule="auto"/>
        <w:rPr>
          <w:rFonts w:ascii="Calibri" w:hAnsi="Calibri" w:cs="Calibri"/>
          <w:noProof w:val="0"/>
          <w:lang w:val="en-US"/>
        </w:rPr>
      </w:pPr>
      <w:r w:rsidRPr="10ECA7A6" w:rsidR="10ECA7A6">
        <w:rPr>
          <w:rFonts w:ascii="Calibri" w:hAnsi="Calibri" w:cs="Calibri"/>
          <w:noProof w:val="0"/>
          <w:lang w:val="en-US"/>
        </w:rPr>
        <w:t xml:space="preserve">A SDAI criou e coordenou um Grupo de Trabalho do Sistema MinC com SCDC, SEFLI, IPHAN, IBRAM e Fundação Cultural Palmares para </w:t>
      </w:r>
      <w:r w:rsidRPr="10ECA7A6" w:rsidR="10ECA7A6">
        <w:rPr>
          <w:rFonts w:ascii="Calibri" w:hAnsi="Calibri" w:cs="Calibri"/>
          <w:noProof w:val="0"/>
          <w:lang w:val="en-US"/>
        </w:rPr>
        <w:t>a</w:t>
      </w:r>
      <w:r w:rsidRPr="10ECA7A6" w:rsidR="10ECA7A6">
        <w:rPr>
          <w:rFonts w:ascii="Calibri" w:hAnsi="Calibri" w:cs="Calibri"/>
          <w:noProof w:val="0"/>
          <w:lang w:val="en-US"/>
        </w:rPr>
        <w:t xml:space="preserve"> elaboração de marco legal de proteção aos Conhecimentos Tradicionais e Expressões Culturais Tradicionais. O GT concluiu-se com </w:t>
      </w:r>
      <w:r w:rsidRPr="10ECA7A6" w:rsidR="10ECA7A6">
        <w:rPr>
          <w:rFonts w:ascii="Calibri" w:hAnsi="Calibri" w:cs="Calibri"/>
          <w:noProof w:val="0"/>
          <w:lang w:val="en-US"/>
        </w:rPr>
        <w:t>a</w:t>
      </w:r>
      <w:r w:rsidRPr="10ECA7A6" w:rsidR="10ECA7A6">
        <w:rPr>
          <w:rFonts w:ascii="Calibri" w:hAnsi="Calibri" w:cs="Calibri"/>
          <w:noProof w:val="0"/>
          <w:lang w:val="en-US"/>
        </w:rPr>
        <w:t xml:space="preserve"> elaboração do relatório e de minuta de texto legal, que serão discutidos no GT de </w:t>
      </w:r>
      <w:r w:rsidRPr="10ECA7A6" w:rsidR="10ECA7A6">
        <w:rPr>
          <w:rFonts w:ascii="Calibri" w:hAnsi="Calibri" w:cs="Calibri"/>
          <w:noProof w:val="0"/>
          <w:lang w:val="en-US"/>
        </w:rPr>
        <w:t>Política Nacional para as Culturas Tradicionais e Populares do MinC</w:t>
      </w:r>
      <w:r w:rsidRPr="10ECA7A6" w:rsidR="10ECA7A6">
        <w:rPr>
          <w:rFonts w:ascii="Calibri" w:hAnsi="Calibri" w:cs="Calibri"/>
          <w:noProof w:val="0"/>
          <w:lang w:val="en-US"/>
        </w:rPr>
        <w:t xml:space="preserve">.  </w:t>
      </w:r>
    </w:p>
    <w:p w:rsidRPr="004C25B1" w:rsidR="00C77AB5" w:rsidP="5731C505" w:rsidRDefault="00C77AB5" w14:paraId="7007BBC0" w14:textId="7F9A80D8">
      <w:pPr>
        <w:autoSpaceDE w:val="0"/>
        <w:autoSpaceDN w:val="0"/>
        <w:adjustRightInd w:val="0"/>
        <w:spacing w:after="120" w:afterAutospacing="off" w:line="240" w:lineRule="auto"/>
        <w:rPr>
          <w:rFonts w:ascii="Times New Roman" w:hAnsi="Times New Roman"/>
          <w:noProof w:val="0"/>
          <w:lang w:val="pt-BR"/>
        </w:rPr>
      </w:pPr>
      <w:r w:rsidRPr="5731C505">
        <w:rPr>
          <w:rFonts w:ascii="Calibri" w:hAnsi="Calibri" w:cs="Calibri"/>
          <w:noProof w:val="0"/>
          <w:lang w:val="pt-BR"/>
        </w:rPr>
        <w:t>A primeira fase do Projeto “Mulheres Quilombolas”, em parceria com a Fundação Palmares e a Organização Mundial da Propriedade Intelectual (OMPI), foi concluída com evento de encerramento realizado no Palacio do Itamaraty que contou com a presença da Ministra da Cultura, da Ministra das Mulheres, representantes da OMPI, embaixadores, deputados, e oito</w:t>
      </w:r>
      <w:r w:rsidRPr="5731C505">
        <w:rPr>
          <w:rFonts w:ascii="Times New Roman" w:hAnsi="Times New Roman"/>
          <w:noProof w:val="0"/>
          <w:lang w:val="pt-BR"/>
        </w:rPr>
        <w:t xml:space="preserve"> representantes das comunidades </w:t>
      </w:r>
      <w:r w:rsidRPr="5731C505">
        <w:rPr>
          <w:rFonts w:ascii="Times New Roman" w:hAnsi="Times New Roman"/>
          <w:noProof w:val="0"/>
          <w:lang w:val="pt-BR"/>
        </w:rPr>
        <w:t xml:space="preserve">quilombolas beneficiárias</w:t>
      </w:r>
      <w:r w:rsidRPr="5731C505">
        <w:rPr>
          <w:rFonts w:ascii="Times New Roman" w:hAnsi="Times New Roman"/>
          <w:noProof w:val="0"/>
          <w:lang w:val="pt-BR"/>
        </w:rPr>
        <w:t xml:space="preserve"> do projeto</w:t>
      </w:r>
      <w:r w:rsidRPr="5731C505">
        <w:rPr>
          <w:rFonts w:ascii="Times New Roman" w:hAnsi="Times New Roman"/>
          <w:noProof w:val="0"/>
          <w:lang w:val="pt-BR"/>
        </w:rPr>
        <w:t>.</w:t>
      </w:r>
    </w:p>
    <w:p w:rsidR="00D105D8" w:rsidP="5731C505" w:rsidRDefault="00D105D8" w14:paraId="02CC2437" w14:textId="77777777" w14:noSpellErr="1">
      <w:pPr>
        <w:spacing w:after="120" w:afterAutospacing="off" w:line="240" w:lineRule="auto"/>
        <w:rPr>
          <w:noProof w:val="0"/>
          <w:lang w:val="pt-BR"/>
        </w:rPr>
      </w:pPr>
    </w:p>
    <w:p w:rsidRPr="00332EFF" w:rsidR="00D105D8" w:rsidP="5731C505" w:rsidRDefault="00D105D8" w14:paraId="02CC2438" w14:textId="77777777" w14:noSpellErr="1">
      <w:pPr>
        <w:spacing w:after="120" w:afterAutospacing="off" w:line="240" w:lineRule="auto"/>
        <w:rPr>
          <w:noProof w:val="0"/>
          <w:lang w:val="pt-BR"/>
        </w:rPr>
      </w:pPr>
    </w:p>
    <w:p w:rsidR="00D105D8" w:rsidP="5731C505" w:rsidRDefault="00D105D8" w14:paraId="02CC2439" w14:textId="77777777" w14:noSpellErr="1">
      <w:pPr>
        <w:spacing w:after="120" w:afterAutospacing="off" w:line="240" w:lineRule="auto"/>
        <w:rPr>
          <w:noProof w:val="0"/>
          <w:lang w:val="pt-BR"/>
        </w:rPr>
      </w:pPr>
    </w:p>
    <w:p w:rsidR="00D105D8" w:rsidRDefault="00D105D8" w14:paraId="02CC243A" w14:textId="77777777">
      <w:pPr>
        <w:rPr>
          <w:lang w:val="pt-BR"/>
        </w:rPr>
      </w:pPr>
    </w:p>
    <w:p w:rsidR="00D105D8" w:rsidRDefault="00D105D8" w14:paraId="02CC243B" w14:textId="77777777">
      <w:pPr>
        <w:spacing w:after="120" w:line="240" w:lineRule="auto"/>
        <w:rPr>
          <w:b/>
          <w:bCs/>
          <w:sz w:val="22"/>
          <w:szCs w:val="22"/>
          <w:lang w:val="pt-BR"/>
        </w:rPr>
      </w:pPr>
    </w:p>
    <w:p w:rsidRPr="00332EFF" w:rsidR="00D105D8" w:rsidRDefault="00D105D8" w14:paraId="02CC243C" w14:textId="77777777">
      <w:pPr>
        <w:widowControl w:val="0"/>
        <w:suppressAutoHyphens/>
        <w:spacing w:after="0" w:line="240" w:lineRule="auto"/>
        <w:jc w:val="left"/>
        <w:rPr>
          <w:lang w:val="pt-BR"/>
        </w:rPr>
      </w:pPr>
    </w:p>
    <w:p w:rsidR="00D105D8" w:rsidRDefault="00D105D8" w14:paraId="02CC243D" w14:textId="77777777">
      <w:pPr>
        <w:rPr>
          <w:lang w:val="pt-BR"/>
        </w:rPr>
      </w:pPr>
    </w:p>
    <w:sectPr w:rsidR="00D105D8">
      <w:headerReference w:type="default" r:id="rId10"/>
      <w:footerReference w:type="default" r:id="rId11"/>
      <w:endnotePr>
        <w:numFmt w:val="decimal"/>
      </w:endnotePr>
      <w:pgSz w:w="15840" w:h="12240" w:orient="landscape"/>
      <w:pgMar w:top="1440" w:right="1440" w:bottom="1440" w:left="1440" w:header="708" w:footer="708" w:gutter="0"/>
      <w:cols w:space="708" w:num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1E6B" w:rsidRDefault="00471E6B" w14:paraId="5A719E70" w14:textId="77777777">
      <w:pPr>
        <w:spacing w:after="0" w:line="240" w:lineRule="auto"/>
      </w:pPr>
      <w:r>
        <w:separator/>
      </w:r>
    </w:p>
  </w:endnote>
  <w:endnote w:type="continuationSeparator" w:id="0">
    <w:p w:rsidR="00471E6B" w:rsidRDefault="00471E6B" w14:paraId="21C634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sm="smNativeData" mc:Ignorable="w14 w15 w16se w16cid w16 w16cex w16sdtdh w16sdtfl w16du wp14">
  <w:p w:rsidR="00D105D8" w:rsidRDefault="00471E6B" w14:paraId="02CC243F" w14:textId="77777777" w14:noSpellErr="1">
    <w:pPr>
      <w:pStyle w:val="Rodap"/>
      <w:ind w:right="360"/>
      <w:rPr>
        <w:color w:val="FFFFFF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3" behindDoc="1" locked="0" layoutInCell="0" hidden="0" allowOverlap="1" wp14:anchorId="02CC2446" wp14:editId="02CC2447">
              <wp:simplePos x="0" y="0"/>
              <wp:positionH relativeFrom="outsideMargin">
                <wp:posOffset>-180340</wp:posOffset>
              </wp:positionH>
              <wp:positionV relativeFrom="page">
                <wp:align>bottom</wp:align>
              </wp:positionV>
              <wp:extent cx="179705" cy="629920"/>
              <wp:effectExtent l="0" t="0" r="0" b="0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qBw4ZBMAAAAlAAAAZAAAAE0AAAAAkAAAAEgAAACQAAAASAAAAAAAAAABAAAAAAAAAAEAAABQAAAAAAAAAAAA4D8AAAAAAADgPwAAAAAAAOA/AAAAAAAA4D8AAAAAAADgPwAAAAAAAOA/AAAAAAAA4D8AAAAAAADgPwAAAAAAAOA/AAAAAAAA4D8CAAAAjAAAAAEAAAAAAAAASoXC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HAAAA5P7//wMAAAAAAAAAAAAAABsBAADgAwAAAAAAACQ3AADwKwAAKAAAAAgAAAABAAAAAQAAAA=="/>
                        </a:ext>
                      </a:extLst>
                    </wps:cNvSpPr>
                    <wps:spPr>
                      <a:xfrm>
                        <a:off x="0" y="0"/>
                        <a:ext cx="179705" cy="629920"/>
                      </a:xfrm>
                      <a:prstGeom prst="rect">
                        <a:avLst/>
                      </a:prstGeom>
                      <a:solidFill>
                        <a:srgbClr val="4A85C2"/>
                      </a:solidFill>
                      <a:ln w="12700">
                        <a:noFill/>
                      </a:ln>
                    </wps:spPr>
                    <wps:txbx>
                      <w:txbxContent>
                        <w:p w:rsidR="00D105D8" w:rsidRDefault="00D105D8" w14:paraId="02CC244B" w14:textId="77777777">
                          <w:pPr>
                            <w:jc w:val="center"/>
                          </w:pPr>
                        </w:p>
                      </w:txbxContent>
                    </wps:txbx>
                    <wps:bodyPr spcFirstLastPara="1" vertOverflow="clip" horzOverflow="clip" lIns="91440" tIns="45720" rIns="91440" bIns="45720" anchor="ctr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style="position:absolute;left:0;text-align:left;margin-left:-14.2pt;margin-top:0;width:14.15pt;height:49.6pt;z-index:-251658237;visibility:visible;mso-wrap-style:square;mso-wrap-distance-left:9pt;mso-wrap-distance-top:0;mso-wrap-distance-right:9pt;mso-wrap-distance-bottom:0;mso-position-horizontal:absolute;mso-position-horizontal-relative:inner-margin-area;mso-position-vertical:bottom;mso-position-vertical-relative:page;v-text-anchor:middle" o:spid="_x0000_s1028" o:allowincell="f" fillcolor="#4a85c2" stroked="f" strokeweight="1pt" w14:anchorId="02CC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">
              <v:textbox>
                <w:txbxContent>
                  <w:p w:rsidR="00D105D8" w:rsidRDefault="00D105D8" w14:paraId="02CC244B" w14:textId="77777777">
                    <w:pPr>
                      <w:jc w:val="cente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1E6B" w:rsidRDefault="00471E6B" w14:paraId="21EABFB2" w14:textId="77777777">
      <w:pPr>
        <w:spacing w:after="0" w:line="240" w:lineRule="auto"/>
      </w:pPr>
      <w:r>
        <w:separator/>
      </w:r>
    </w:p>
  </w:footnote>
  <w:footnote w:type="continuationSeparator" w:id="0">
    <w:p w:rsidR="00471E6B" w:rsidRDefault="00471E6B" w14:paraId="468D98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sm="smNativeData" mc:Ignorable="w14 w15 w16se w16cid w16 w16cex w16sdtdh w16sdtfl w16du wp14">
  <w:p w:rsidR="00D105D8" w:rsidRDefault="00471E6B" w14:paraId="02CC243E" w14:textId="77777777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4" behindDoc="0" locked="0" layoutInCell="0" hidden="0" allowOverlap="1" wp14:anchorId="02CC2440" wp14:editId="02CC2441">
              <wp:simplePos x="0" y="0"/>
              <wp:positionH relativeFrom="margin">
                <wp:align>left</wp:align>
              </wp:positionH>
              <wp:positionV relativeFrom="page">
                <wp:posOffset>361950</wp:posOffset>
              </wp:positionV>
              <wp:extent cx="2581275" cy="114300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qBw4ZBMAAAAlAAAAZAAAAE0AAAAAAAAAAAAAAAAAAAAAA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CgAAAAAAAAAAAAAAEAAAABAAAAAAAAAAAAAAAAAAAAOgIAAOEPAAC0AAAAAAAAAKAFAAA6AgAAKAAAAAgAAAABAAAAAQAAAA=="/>
                        </a:ext>
                      </a:extLst>
                    </wps:cNvSpPr>
                    <wps:spPr>
                      <a:xfrm>
                        <a:off x="0" y="0"/>
                        <a:ext cx="2581275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105D8" w:rsidRDefault="00471E6B" w14:paraId="02CC2448" w14:textId="5014B1A6">
                          <w:pP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</w:pPr>
                          <w:r w:rsidRPr="00332EFF"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Transparência e Prestação de Contas</w:t>
                          </w:r>
                          <w: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 xml:space="preserve"> – </w:t>
                          </w:r>
                          <w:r w:rsidR="00C77AB5"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4</w:t>
                          </w:r>
                          <w: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º trimestre de 202</w:t>
                          </w:r>
                          <w:r w:rsidR="00C77AB5"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4</w:t>
                          </w:r>
                        </w:p>
                        <w:p w:rsidR="00D105D8" w:rsidRDefault="00D105D8" w14:paraId="02CC2449" w14:textId="77777777">
                          <w:pP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" style="position:absolute;left:0;text-align:left;margin-left:0;margin-top:28.5pt;width:203.25pt;height:9pt;z-index:2516582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top" o:spid="_x0000_s1026" o:allowincell="f" stroked="f" strokeweight=".5pt" w14:anchorId="02CC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">
              <v:textbox inset="0,0,0,0">
                <w:txbxContent>
                  <w:p w:rsidR="00D105D8" w:rsidRDefault="00471E6B" w14:paraId="02CC2448" w14:textId="5014B1A6">
                    <w:pPr>
                      <w:rPr>
                        <w:color w:val="595959"/>
                        <w:sz w:val="16"/>
                        <w:szCs w:val="16"/>
                        <w:lang w:val="pt-BR"/>
                      </w:rPr>
                    </w:pPr>
                    <w:r w:rsidRPr="00332EFF">
                      <w:rPr>
                        <w:color w:val="595959"/>
                        <w:sz w:val="16"/>
                        <w:szCs w:val="16"/>
                        <w:lang w:val="pt-BR"/>
                      </w:rPr>
                      <w:t>Transparência e Prestação de Contas</w:t>
                    </w:r>
                    <w:r>
                      <w:rPr>
                        <w:color w:val="595959"/>
                        <w:sz w:val="16"/>
                        <w:szCs w:val="16"/>
                        <w:lang w:val="pt-BR"/>
                      </w:rPr>
                      <w:t xml:space="preserve"> – </w:t>
                    </w:r>
                    <w:r w:rsidR="00C77AB5">
                      <w:rPr>
                        <w:color w:val="595959"/>
                        <w:sz w:val="16"/>
                        <w:szCs w:val="16"/>
                        <w:lang w:val="pt-BR"/>
                      </w:rPr>
                      <w:t>4</w:t>
                    </w:r>
                    <w:r>
                      <w:rPr>
                        <w:color w:val="595959"/>
                        <w:sz w:val="16"/>
                        <w:szCs w:val="16"/>
                        <w:lang w:val="pt-BR"/>
                      </w:rPr>
                      <w:t>º trimestre de 202</w:t>
                    </w:r>
                    <w:r w:rsidR="00C77AB5">
                      <w:rPr>
                        <w:color w:val="595959"/>
                        <w:sz w:val="16"/>
                        <w:szCs w:val="16"/>
                        <w:lang w:val="pt-BR"/>
                      </w:rPr>
                      <w:t>4</w:t>
                    </w:r>
                  </w:p>
                  <w:p w:rsidR="00D105D8" w:rsidRDefault="00D105D8" w14:paraId="02CC2449" w14:textId="77777777">
                    <w:pPr>
                      <w:rPr>
                        <w:color w:val="595959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5" behindDoc="0" locked="0" layoutInCell="0" hidden="0" allowOverlap="1" wp14:anchorId="02CC2442" wp14:editId="02CC2443">
              <wp:simplePos x="0" y="0"/>
              <wp:positionH relativeFrom="column">
                <wp:posOffset>-914400</wp:posOffset>
              </wp:positionH>
              <wp:positionV relativeFrom="paragraph">
                <wp:posOffset>-124460</wp:posOffset>
              </wp:positionV>
              <wp:extent cx="629920" cy="180340"/>
              <wp:effectExtent l="0" t="0" r="0" b="0"/>
              <wp:wrapNone/>
              <wp:docPr id="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qBw4ZBMAAAAlAAAAZAAAAE0AAAAAkAAAAEgAAACQAAAASAAAAAAAAAABAAAAAAAAAAEAAABQAAAAAAAAAAAA4D8AAAAAAADgPwAAAAAAAOA/AAAAAAAA4D8AAAAAAADgPwAAAAAAAOA/AAAAAAAA4D8AAAAAAADgPwAAAAAAAOA/AAAAAAAA4D8CAAAAjAAAAAEAAAAAAAAASoXC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CgAAAAAAAAAAAAAAAAAAACAAAAYPr//wAAAAACAAAAPP///+ADAAAcAQAAAAAAAAAAAAAAAgAAKAAAAAgAAAABAAAAAQAAAA=="/>
                        </a:ext>
                      </a:extLst>
                    </wps:cNvSpPr>
                    <wps:spPr>
                      <a:xfrm>
                        <a:off x="0" y="0"/>
                        <a:ext cx="629920" cy="180340"/>
                      </a:xfrm>
                      <a:prstGeom prst="rect">
                        <a:avLst/>
                      </a:prstGeom>
                      <a:solidFill>
                        <a:srgbClr val="4A85C2"/>
                      </a:solidFill>
                      <a:ln w="12700">
                        <a:noFill/>
                      </a:ln>
                    </wps:spPr>
                    <wps:bodyPr spcFirstLastPara="1" vertOverflow="clip" horzOverflow="clip" lIns="91440" tIns="45720" rIns="91440" bIns="45720"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style="position:absolute;margin-left:-1in;margin-top:-9.8pt;width:49.6pt;height:14.2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o:allowincell="f" fillcolor="#4a85c2" stroked="f" strokeweight="1pt" w14:anchorId="36F99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EAB"/>
    <w:multiLevelType w:val="hybridMultilevel"/>
    <w:tmpl w:val="67B4B9D4"/>
    <w:name w:val="Lista numerada 3"/>
    <w:lvl w:ilvl="0" w:tplc="881070A2">
      <w:numFmt w:val="bullet"/>
      <w:pStyle w:val="PargrafodaLista"/>
      <w:lvlText w:val=""/>
      <w:lvlJc w:val="left"/>
      <w:pPr>
        <w:ind w:left="360" w:firstLine="0"/>
      </w:pPr>
      <w:rPr>
        <w:rFonts w:ascii="Symbol" w:hAnsi="Symbol"/>
      </w:rPr>
    </w:lvl>
    <w:lvl w:ilvl="1" w:tplc="7AA6D4E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6A8C3B2">
      <w:numFmt w:val="bullet"/>
      <w:lvlText w:val=""/>
      <w:lvlJc w:val="left"/>
      <w:pPr>
        <w:ind w:left="1800" w:firstLine="0"/>
      </w:pPr>
      <w:rPr>
        <w:rFonts w:ascii="Wingdings" w:hAnsi="Wingdings" w:eastAsia="Wingdings" w:cs="Wingdings"/>
      </w:rPr>
    </w:lvl>
    <w:lvl w:ilvl="3" w:tplc="27DEFD4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1C6D1C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2F8272E">
      <w:numFmt w:val="bullet"/>
      <w:lvlText w:val=""/>
      <w:lvlJc w:val="left"/>
      <w:pPr>
        <w:ind w:left="3960" w:firstLine="0"/>
      </w:pPr>
      <w:rPr>
        <w:rFonts w:ascii="Wingdings" w:hAnsi="Wingdings" w:eastAsia="Wingdings" w:cs="Wingdings"/>
      </w:rPr>
    </w:lvl>
    <w:lvl w:ilvl="6" w:tplc="74F0AD3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0E65FD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09C4DE2">
      <w:numFmt w:val="bullet"/>
      <w:lvlText w:val=""/>
      <w:lvlJc w:val="left"/>
      <w:pPr>
        <w:ind w:left="6120" w:firstLine="0"/>
      </w:pPr>
      <w:rPr>
        <w:rFonts w:ascii="Wingdings" w:hAnsi="Wingdings" w:eastAsia="Wingdings" w:cs="Wingdings"/>
      </w:rPr>
    </w:lvl>
  </w:abstractNum>
  <w:abstractNum w:abstractNumId="1" w15:restartNumberingAfterBreak="0">
    <w:nsid w:val="26FE0E55"/>
    <w:multiLevelType w:val="hybridMultilevel"/>
    <w:tmpl w:val="2EA24DA6"/>
    <w:name w:val="Lista numerada 2"/>
    <w:lvl w:ilvl="0" w:tplc="4668588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2903EE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55C8D34">
      <w:numFmt w:val="bullet"/>
      <w:lvlText w:val=""/>
      <w:lvlJc w:val="left"/>
      <w:pPr>
        <w:ind w:left="1800" w:firstLine="0"/>
      </w:pPr>
      <w:rPr>
        <w:rFonts w:ascii="Wingdings" w:hAnsi="Wingdings" w:eastAsia="Wingdings" w:cs="Wingdings"/>
      </w:rPr>
    </w:lvl>
    <w:lvl w:ilvl="3" w:tplc="8320C1E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898129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9708338">
      <w:numFmt w:val="bullet"/>
      <w:lvlText w:val=""/>
      <w:lvlJc w:val="left"/>
      <w:pPr>
        <w:ind w:left="3960" w:firstLine="0"/>
      </w:pPr>
      <w:rPr>
        <w:rFonts w:ascii="Wingdings" w:hAnsi="Wingdings" w:eastAsia="Wingdings" w:cs="Wingdings"/>
      </w:rPr>
    </w:lvl>
    <w:lvl w:ilvl="6" w:tplc="76A0678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8D4C68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C1C2988">
      <w:numFmt w:val="bullet"/>
      <w:lvlText w:val=""/>
      <w:lvlJc w:val="left"/>
      <w:pPr>
        <w:ind w:left="6120" w:firstLine="0"/>
      </w:pPr>
      <w:rPr>
        <w:rFonts w:ascii="Wingdings" w:hAnsi="Wingdings" w:eastAsia="Wingdings" w:cs="Wingdings"/>
      </w:rPr>
    </w:lvl>
  </w:abstractNum>
  <w:abstractNum w:abstractNumId="2" w15:restartNumberingAfterBreak="0">
    <w:nsid w:val="6C931FE3"/>
    <w:multiLevelType w:val="hybridMultilevel"/>
    <w:tmpl w:val="DD267E96"/>
    <w:lvl w:ilvl="0" w:tplc="C0D6677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C72BFA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0CE15A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D428D7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126032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7D2B9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AF0099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61E35D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04CC52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E94FAB"/>
    <w:multiLevelType w:val="hybridMultilevel"/>
    <w:tmpl w:val="15B66144"/>
    <w:name w:val="Lista numerada 1"/>
    <w:lvl w:ilvl="0" w:tplc="D1B6CBD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6F14E03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34C4C0C">
      <w:numFmt w:val="bullet"/>
      <w:lvlText w:val=""/>
      <w:lvlJc w:val="left"/>
      <w:pPr>
        <w:ind w:left="1800" w:firstLine="0"/>
      </w:pPr>
      <w:rPr>
        <w:rFonts w:ascii="Wingdings" w:hAnsi="Wingdings" w:eastAsia="Wingdings" w:cs="Wingdings"/>
      </w:rPr>
    </w:lvl>
    <w:lvl w:ilvl="3" w:tplc="CA301E6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CA2DF6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3042EC2">
      <w:numFmt w:val="bullet"/>
      <w:lvlText w:val=""/>
      <w:lvlJc w:val="left"/>
      <w:pPr>
        <w:ind w:left="3960" w:firstLine="0"/>
      </w:pPr>
      <w:rPr>
        <w:rFonts w:ascii="Wingdings" w:hAnsi="Wingdings" w:eastAsia="Wingdings" w:cs="Wingdings"/>
      </w:rPr>
    </w:lvl>
    <w:lvl w:ilvl="6" w:tplc="4EDCCF4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066D6E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4A0B3D2">
      <w:numFmt w:val="bullet"/>
      <w:lvlText w:val=""/>
      <w:lvlJc w:val="left"/>
      <w:pPr>
        <w:ind w:left="6120" w:firstLine="0"/>
      </w:pPr>
      <w:rPr>
        <w:rFonts w:ascii="Wingdings" w:hAnsi="Wingdings" w:eastAsia="Wingdings" w:cs="Wingdings"/>
      </w:rPr>
    </w:lvl>
  </w:abstractNum>
  <w:num w:numId="1" w16cid:durableId="246887145">
    <w:abstractNumId w:val="3"/>
  </w:num>
  <w:num w:numId="2" w16cid:durableId="2048603546">
    <w:abstractNumId w:val="1"/>
  </w:num>
  <w:num w:numId="3" w16cid:durableId="1320160327">
    <w:abstractNumId w:val="0"/>
  </w:num>
  <w:num w:numId="4" w16cid:durableId="440800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5D8"/>
    <w:rsid w:val="00095F3F"/>
    <w:rsid w:val="00194F5E"/>
    <w:rsid w:val="002D6CCB"/>
    <w:rsid w:val="00301EB6"/>
    <w:rsid w:val="00332EFF"/>
    <w:rsid w:val="003D2FA3"/>
    <w:rsid w:val="003E20C0"/>
    <w:rsid w:val="00471E6B"/>
    <w:rsid w:val="004A7FF2"/>
    <w:rsid w:val="00531BEB"/>
    <w:rsid w:val="00543806"/>
    <w:rsid w:val="005A594E"/>
    <w:rsid w:val="009C7615"/>
    <w:rsid w:val="00C77AB5"/>
    <w:rsid w:val="00CC0653"/>
    <w:rsid w:val="00D105D8"/>
    <w:rsid w:val="00DC77D2"/>
    <w:rsid w:val="10ECA7A6"/>
    <w:rsid w:val="1E5902C1"/>
    <w:rsid w:val="2B58407A"/>
    <w:rsid w:val="2EB12822"/>
    <w:rsid w:val="5731C505"/>
    <w:rsid w:val="65FAC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CC242E"/>
  <w15:docId w15:val="{AF2BC8E3-6BCF-49B2-A18C-25E88087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4"/>
        <w:szCs w:val="24"/>
        <w:lang w:val="pt-BR" w:eastAsia="zh-CN" w:bidi="ar-SA"/>
      </w:rPr>
    </w:rPrDefault>
    <w:pPrDefault>
      <w:pPr>
        <w:spacing w:after="24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 Light" w:hAnsi="Calibri Light"/>
      <w:lang w:val="en-US"/>
    </w:rPr>
  </w:style>
  <w:style w:type="paragraph" w:styleId="Ttulo1">
    <w:name w:val="heading 1"/>
    <w:basedOn w:val="Normal"/>
    <w:next w:val="Normal"/>
    <w:qFormat/>
    <w:pPr>
      <w:pBdr>
        <w:top w:val="nil"/>
        <w:left w:val="nil"/>
        <w:bottom w:val="single" w:color="4A85C2" w:sz="18" w:space="6"/>
        <w:right w:val="nil"/>
        <w:between w:val="nil"/>
      </w:pBdr>
      <w:outlineLvl w:val="0"/>
    </w:pPr>
    <w:rPr>
      <w:rFonts w:ascii="Impact" w:hAnsi="Impact"/>
      <w:color w:val="4A85C2"/>
      <w:sz w:val="28"/>
      <w:szCs w:val="28"/>
      <w:lang w:val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emEspaamento">
    <w:name w:val="No Spacing"/>
    <w:basedOn w:val="Normal"/>
    <w:qFormat/>
    <w:pPr>
      <w:spacing w:before="120" w:line="240" w:lineRule="auto"/>
      <w:jc w:val="right"/>
    </w:pPr>
    <w:rPr>
      <w:sz w:val="18"/>
      <w:szCs w:val="18"/>
      <w:lang w:val="pt-BR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/>
    </w:rPr>
  </w:style>
  <w:style w:type="paragraph" w:styleId="Unidade" w:customStyle="1">
    <w:name w:val="Unidade"/>
    <w:basedOn w:val="Ttulo1"/>
    <w:qFormat/>
    <w:pPr>
      <w:pBdr>
        <w:bottom w:val="nil"/>
      </w:pBdr>
      <w:spacing w:after="480" w:line="240" w:lineRule="auto"/>
      <w:jc w:val="left"/>
    </w:pPr>
    <w:rPr>
      <w:sz w:val="32"/>
      <w:szCs w:val="32"/>
    </w:rPr>
  </w:style>
  <w:style w:type="paragraph" w:styleId="Ttulo10" w:customStyle="1">
    <w:name w:val="Título1"/>
    <w:basedOn w:val="Normal"/>
    <w:qFormat/>
    <w:rPr>
      <w:b/>
      <w:bCs/>
      <w:sz w:val="22"/>
      <w:szCs w:val="22"/>
      <w:lang w:val="pt-BR"/>
    </w:rPr>
  </w:style>
  <w:style w:type="paragraph" w:styleId="PargrafodaLista">
    <w:name w:val="List Paragraph"/>
    <w:basedOn w:val="Normal"/>
    <w:qFormat/>
    <w:pPr>
      <w:numPr>
        <w:numId w:val="3"/>
      </w:numPr>
      <w:ind w:left="284" w:hanging="284"/>
      <w:contextualSpacing/>
    </w:pPr>
    <w:rPr>
      <w:lang w:val="pt-BR"/>
    </w:rPr>
  </w:style>
  <w:style w:type="paragraph" w:styleId="Heading2" w:customStyle="1">
    <w:name w:val="Heading2"/>
    <w:basedOn w:val="Normal"/>
    <w:qFormat/>
    <w:rPr>
      <w:color w:val="5885BD"/>
      <w:sz w:val="28"/>
      <w:szCs w:val="28"/>
      <w:lang w:val="pt-BR"/>
    </w:rPr>
  </w:style>
  <w:style w:type="paragraph" w:styleId="Heading3" w:customStyle="1">
    <w:name w:val="Heading3"/>
    <w:basedOn w:val="Normal"/>
    <w:qFormat/>
    <w:rPr>
      <w:color w:val="5885BD"/>
      <w:lang w:val="pt-BR"/>
    </w:rPr>
  </w:style>
  <w:style w:type="paragraph" w:styleId="Tabela-body" w:customStyle="1">
    <w:name w:val="Tabela - body"/>
    <w:basedOn w:val="Normal"/>
    <w:qFormat/>
    <w:pPr>
      <w:spacing w:after="0" w:line="240" w:lineRule="auto"/>
      <w:jc w:val="center"/>
    </w:pPr>
    <w:rPr>
      <w:rFonts w:eastAsia="Times New Roman"/>
      <w:color w:val="000000"/>
      <w:sz w:val="20"/>
      <w:szCs w:val="20"/>
      <w:lang w:val="pt-BR"/>
    </w:rPr>
  </w:style>
  <w:style w:type="paragraph" w:styleId="Tabela-header" w:customStyle="1">
    <w:name w:val="Tabela - header"/>
    <w:basedOn w:val="Normal"/>
    <w:qFormat/>
    <w:pPr>
      <w:spacing w:after="0" w:line="240" w:lineRule="auto"/>
      <w:jc w:val="center"/>
    </w:pPr>
    <w:rPr>
      <w:rFonts w:eastAsia="Times New Roman"/>
      <w:b/>
      <w:bCs/>
      <w:color w:val="FFFFFF"/>
      <w:sz w:val="18"/>
      <w:szCs w:val="18"/>
      <w:lang w:val="pt-BR"/>
    </w:rPr>
  </w:style>
  <w:style w:type="character" w:styleId="Ttulo1Char" w:customStyle="1">
    <w:name w:val="Título 1 Char"/>
    <w:basedOn w:val="Fontepargpadro"/>
    <w:rPr>
      <w:rFonts w:ascii="Impact" w:hAnsi="Impact"/>
      <w:color w:val="4A85C2"/>
      <w:sz w:val="28"/>
      <w:szCs w:val="28"/>
      <w:lang w:val="pt-BR"/>
    </w:rPr>
  </w:style>
  <w:style w:type="character" w:styleId="CabealhoChar" w:customStyle="1">
    <w:name w:val="Cabeçalho Char"/>
    <w:basedOn w:val="Fontepargpadro"/>
    <w:rPr>
      <w:rFonts w:ascii="Calibri Light" w:hAnsi="Calibri Light"/>
      <w:lang w:val="en-US"/>
    </w:rPr>
  </w:style>
  <w:style w:type="character" w:styleId="RodapChar" w:customStyle="1">
    <w:name w:val="Rodapé Char"/>
    <w:basedOn w:val="Fontepargpadro"/>
    <w:rPr>
      <w:rFonts w:ascii="Calibri Light" w:hAnsi="Calibri Light"/>
      <w:lang w:val="en-US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59"/>
    <w:rPr>
      <w:rFonts w:ascii="Calibri Light" w:hAnsi="Calibri Light"/>
      <w:color w:val="404040"/>
      <w:sz w:val="20"/>
    </w:rPr>
    <w:tblPr>
      <w:tblStyleRowBandSize w:val="1"/>
      <w:tblBorders>
        <w:insideV w:val="single" w:color="F2F2F2" w:sz="4" w:space="0"/>
      </w:tblBorders>
      <w:tblCellMar>
        <w:top w:w="113" w:type="dxa"/>
        <w:left w:w="170" w:type="dxa"/>
        <w:bottom w:w="113" w:type="dxa"/>
        <w:right w:w="170" w:type="dxa"/>
      </w:tblCellMar>
    </w:tblPr>
    <w:tblStylePr w:type="firstRow">
      <w:pPr>
        <w:jc w:val="center"/>
      </w:pPr>
      <w:rPr>
        <w:rFonts w:ascii="Calibri" w:hAnsi="Calibri"/>
        <w:color w:val="FFFFFF"/>
      </w:rPr>
      <w:tblPr/>
      <w:tcPr>
        <w:shd w:val="solid" w:color="5885BD" w:fill="auto"/>
      </w:tcPr>
    </w:tblStylePr>
    <w:tblStylePr w:type="lastRow">
      <w:tblPr/>
      <w:tcPr>
        <w:tcBorders>
          <w:bottom w:val="single" w:color="5885BD" w:sz="4" w:space="0"/>
        </w:tcBorders>
      </w:tcPr>
    </w:tblStylePr>
    <w:tblStylePr w:type="band1Horz">
      <w:tblPr/>
      <w:tcPr>
        <w:shd w:val="solid" w:color="E7EBF6" w:fill="auto"/>
      </w:tcPr>
    </w:tblStylePr>
  </w:style>
  <w:style w:type="table" w:styleId="TabeladeGrade1Clara-nfase61" w:customStyle="1">
    <w:name w:val="Tabela de Grade 1 Clara - Ênfase 61"/>
    <w:basedOn w:val="Tabelanormal"/>
    <w:uiPriority w:val="46"/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Row">
      <w:rPr>
        <w:b/>
        <w:bCs/>
      </w:rPr>
      <w:tblPr/>
      <w:tcPr>
        <w:tcBorders>
          <w:bottom w:val="single" w:color="A8D08D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1" w:customStyle="1">
    <w:name w:val="Tabela de Grade Clara1"/>
    <w:basedOn w:val="Tabelanormal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SimplesTabela11" w:customStyle="1">
    <w:name w:val="Simples Tabela 11"/>
    <w:basedOn w:val="Tabelanormal"/>
    <w:uiPriority w:val="41"/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sz="1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table" w:styleId="SimplesTabela21" w:customStyle="1">
    <w:name w:val="Simples Tabela 21"/>
    <w:basedOn w:val="Tabelanormal"/>
    <w:uiPriority w:val="42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styleId="SimplesTabela31" w:customStyle="1">
    <w:name w:val="Simples Tabela 31"/>
    <w:basedOn w:val="Tabelanormal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blPr/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character" w:styleId="TextodenotaderodapChar" w:customStyle="1">
    <w:name w:val="Texto de nota de rodapé Char"/>
    <w:basedOn w:val="Fontepargpadro"/>
    <w:link w:val="Textodenotaderodap"/>
    <w:uiPriority w:val="99"/>
    <w:rsid w:val="00C77AB5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77AB5"/>
    <w:pPr>
      <w:spacing w:after="0" w:line="240" w:lineRule="auto"/>
      <w:jc w:val="left"/>
    </w:pPr>
    <w:rPr>
      <w:rFonts w:ascii="Calibri" w:hAnsi="Calibri"/>
      <w:sz w:val="20"/>
      <w:szCs w:val="20"/>
      <w:lang w:val="pt-BR"/>
    </w:rPr>
  </w:style>
  <w:style w:type="character" w:styleId="TextodenotaderodapChar1" w:customStyle="1">
    <w:name w:val="Texto de nota de rodapé Char1"/>
    <w:basedOn w:val="Fontepargpadro"/>
    <w:uiPriority w:val="99"/>
    <w:rsid w:val="00C77AB5"/>
    <w:rPr>
      <w:rFonts w:ascii="Calibri Light" w:hAnsi="Calibr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Impact"/>
        <a:ea typeface="Calibri"/>
        <a:cs typeface="Times New Roman"/>
      </a:majorFont>
      <a:minorFont>
        <a:latin typeface="Calibri Light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FF90457B8F8409F6C7AE72D71A1E2" ma:contentTypeVersion="6" ma:contentTypeDescription="Create a new document." ma:contentTypeScope="" ma:versionID="9eea61c054497a03fe14c664a20b4efc">
  <xsd:schema xmlns:xsd="http://www.w3.org/2001/XMLSchema" xmlns:xs="http://www.w3.org/2001/XMLSchema" xmlns:p="http://schemas.microsoft.com/office/2006/metadata/properties" xmlns:ns3="d0b4926d-acbd-4078-80aa-364300a6e3aa" targetNamespace="http://schemas.microsoft.com/office/2006/metadata/properties" ma:root="true" ma:fieldsID="107fe03300ed5a430800b222e9f04d51" ns3:_="">
    <xsd:import namespace="d0b4926d-acbd-4078-80aa-364300a6e3a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4926d-acbd-4078-80aa-364300a6e3a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b4926d-acbd-4078-80aa-364300a6e3aa" xsi:nil="true"/>
  </documentManagement>
</p:properties>
</file>

<file path=customXml/itemProps1.xml><?xml version="1.0" encoding="utf-8"?>
<ds:datastoreItem xmlns:ds="http://schemas.openxmlformats.org/officeDocument/2006/customXml" ds:itemID="{B5407D83-AEF5-4369-8202-EC5CDE702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4926d-acbd-4078-80aa-364300a6e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72543-D39E-410C-AF41-B493FCEC0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5CF9E-295C-401F-99E7-D430A6E01568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d0b4926d-acbd-4078-80aa-364300a6e3aa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m62430</dc:creator>
  <lastModifiedBy>Usuário Convidado</lastModifiedBy>
  <revision>4</revision>
  <dcterms:created xsi:type="dcterms:W3CDTF">2025-01-31T14:02:00.0000000Z</dcterms:created>
  <dcterms:modified xsi:type="dcterms:W3CDTF">2025-01-31T21:15:42.1260825Z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0x010100E87FF90457B8F8409F6C7AE72D71A1E2</vt:lpwstr>
  </property>
  <property fmtid="{D5CDD505-2E9C-101B-9397-08002B2CF9AE}" pid="3" name="MediaServiceImageTags">
    <vt:lpwstr/>
  </property>
</Properties>
</file>