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6125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51B14FD2" w:rsidR="00ED4C4B" w:rsidRPr="00783CE9" w:rsidRDefault="00FC3FD1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3FD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Diretor de Programa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0AE75468" w:rsidR="00ED4C4B" w:rsidRPr="00783CE9" w:rsidRDefault="004C2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 </w:t>
            </w:r>
            <w:r w:rsidR="00F80F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.1</w:t>
            </w:r>
            <w:r w:rsidR="00FC3FD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C17E0DD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Economia Criativa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A7758" w14:textId="2EBA1920" w:rsidR="001414BC" w:rsidRPr="004247DB" w:rsidRDefault="001414BC" w:rsidP="001414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47D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Formulação de programas e ações para a produção de dados e informações sobre a economia criativa brasileira; e</w:t>
            </w:r>
          </w:p>
          <w:p w14:paraId="004EED2B" w14:textId="06255DE9" w:rsidR="001414BC" w:rsidRPr="004247DB" w:rsidRDefault="001414BC" w:rsidP="001414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47D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Formulação </w:t>
            </w:r>
            <w:r w:rsidR="004247DB" w:rsidRPr="004247D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4247D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 programa e ação para a estruturação, o desenvolvimento e a institucionalização de territórios criativos</w:t>
            </w:r>
            <w:r w:rsidR="004247DB" w:rsidRPr="004247D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54C48206" w14:textId="61E42446" w:rsidR="004F7BDF" w:rsidRPr="00783CE9" w:rsidRDefault="004F7BDF" w:rsidP="00D14E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667F" w14:textId="14BAA78C" w:rsidR="00ED4C4B" w:rsidRPr="004C20CC" w:rsidRDefault="00F80FCC" w:rsidP="004C2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N/A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501D7F83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  <w:r w:rsidRPr="004247DB">
              <w:rPr>
                <w:rFonts w:eastAsia="Times New Roman"/>
                <w:lang w:eastAsia="pt-BR"/>
                <w14:ligatures w14:val="none"/>
              </w:rPr>
              <w:t>I - 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16B1B3DC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</w:p>
          <w:p w14:paraId="3A4DCEA5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  <w:r w:rsidRPr="004247DB">
              <w:rPr>
                <w:rFonts w:eastAsia="Times New Roman"/>
                <w:lang w:eastAsia="pt-BR"/>
                <w14:ligatures w14:val="none"/>
              </w:rPr>
              <w:t>II - 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55FD73F8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</w:p>
          <w:p w14:paraId="7756DDBD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  <w:r w:rsidRPr="004247DB">
              <w:rPr>
                <w:rFonts w:eastAsia="Times New Roman"/>
                <w:lang w:eastAsia="pt-BR"/>
                <w14:ligatures w14:val="none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A858409" w14:textId="77777777" w:rsidR="004247DB" w:rsidRPr="004247DB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</w:p>
          <w:p w14:paraId="2E256A42" w14:textId="4F272828" w:rsidR="00ED4C4B" w:rsidRPr="00783CE9" w:rsidRDefault="004247DB" w:rsidP="004247DB">
            <w:pPr>
              <w:pStyle w:val="Default"/>
              <w:rPr>
                <w:rFonts w:eastAsia="Times New Roman"/>
                <w:lang w:eastAsia="pt-BR"/>
                <w14:ligatures w14:val="none"/>
              </w:rPr>
            </w:pPr>
            <w:r w:rsidRPr="004247DB">
              <w:rPr>
                <w:rFonts w:eastAsia="Times New Roman"/>
                <w:lang w:eastAsia="pt-BR"/>
                <w14:ligatures w14:val="none"/>
              </w:rPr>
              <w:lastRenderedPageBreak/>
              <w:t>IV -  ter realizado ações de desenvolvimento de liderança, estabelecidas pelo Ministério da Economia, com carga horária mínima de cento e vinte horas.</w:t>
            </w: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E314" w14:textId="77777777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579E191B" w14:textId="6133F234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72EDA"/>
    <w:multiLevelType w:val="hybridMultilevel"/>
    <w:tmpl w:val="54BE8346"/>
    <w:lvl w:ilvl="0" w:tplc="E034C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50104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0E3F8E"/>
    <w:rsid w:val="00124641"/>
    <w:rsid w:val="001414BC"/>
    <w:rsid w:val="00147782"/>
    <w:rsid w:val="001C7195"/>
    <w:rsid w:val="002025BB"/>
    <w:rsid w:val="002E4436"/>
    <w:rsid w:val="00407AA8"/>
    <w:rsid w:val="004247DB"/>
    <w:rsid w:val="004C20CC"/>
    <w:rsid w:val="004F7BDF"/>
    <w:rsid w:val="005B18A1"/>
    <w:rsid w:val="00783CE9"/>
    <w:rsid w:val="009140CC"/>
    <w:rsid w:val="00937FBE"/>
    <w:rsid w:val="009B0FCA"/>
    <w:rsid w:val="009E32E9"/>
    <w:rsid w:val="00A639E6"/>
    <w:rsid w:val="00BA51CA"/>
    <w:rsid w:val="00BB7AAA"/>
    <w:rsid w:val="00CE58C7"/>
    <w:rsid w:val="00CE61AE"/>
    <w:rsid w:val="00D14E17"/>
    <w:rsid w:val="00DD16D7"/>
    <w:rsid w:val="00E76909"/>
    <w:rsid w:val="00EA1F86"/>
    <w:rsid w:val="00ED4C4B"/>
    <w:rsid w:val="00F63F41"/>
    <w:rsid w:val="00F80FCC"/>
    <w:rsid w:val="00F84F8E"/>
    <w:rsid w:val="00FC3FD1"/>
    <w:rsid w:val="00FC61D8"/>
    <w:rsid w:val="00FF1131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2026-03-31T15:50:00Z</dcterms:created>
  <dcterms:modified xsi:type="dcterms:W3CDTF">2026-04-14T22:46:00Z</dcterms:modified>
</cp:coreProperties>
</file>