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17DD" w14:textId="694D5314" w:rsidR="00621006" w:rsidRDefault="00505890" w:rsidP="0050589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5890">
        <w:rPr>
          <w:rFonts w:ascii="Arial" w:hAnsi="Arial" w:cs="Arial"/>
          <w:b/>
          <w:bCs/>
          <w:sz w:val="32"/>
          <w:szCs w:val="32"/>
        </w:rPr>
        <w:t>Consulta Pública: Dapagliflozina na Proteção Renal de portadores de Doença Renal Crônica</w:t>
      </w:r>
    </w:p>
    <w:p w14:paraId="348852AC" w14:textId="6843D0AA" w:rsidR="00A15C1E" w:rsidRDefault="00505890" w:rsidP="00A15C1E">
      <w:pPr>
        <w:ind w:firstLine="708"/>
        <w:rPr>
          <w:rFonts w:ascii="Arial" w:hAnsi="Arial" w:cs="Arial"/>
          <w:sz w:val="24"/>
          <w:szCs w:val="24"/>
        </w:rPr>
      </w:pPr>
      <w:r w:rsidRPr="00E20624">
        <w:rPr>
          <w:rFonts w:ascii="Arial" w:hAnsi="Arial" w:cs="Arial"/>
          <w:sz w:val="24"/>
          <w:szCs w:val="24"/>
        </w:rPr>
        <w:t>O Estudo DAPA-CKD</w:t>
      </w:r>
      <w:r w:rsidR="00C423F2">
        <w:rPr>
          <w:rFonts w:ascii="Arial" w:hAnsi="Arial" w:cs="Arial"/>
          <w:sz w:val="24"/>
          <w:szCs w:val="24"/>
          <w:vertAlign w:val="superscript"/>
        </w:rPr>
        <w:t>1</w:t>
      </w:r>
      <w:r w:rsidRPr="00E20624">
        <w:rPr>
          <w:rFonts w:ascii="Arial" w:hAnsi="Arial" w:cs="Arial"/>
          <w:sz w:val="24"/>
          <w:szCs w:val="24"/>
        </w:rPr>
        <w:t xml:space="preserve"> (</w:t>
      </w:r>
      <w:r w:rsidR="00E20624" w:rsidRPr="00E20624">
        <w:rPr>
          <w:rFonts w:ascii="Arial" w:hAnsi="Arial" w:cs="Arial"/>
          <w:sz w:val="24"/>
          <w:szCs w:val="24"/>
        </w:rPr>
        <w:t xml:space="preserve">Dapagliflozin in Patients with </w:t>
      </w:r>
      <w:proofErr w:type="spellStart"/>
      <w:r w:rsidR="00E20624" w:rsidRPr="00E20624">
        <w:rPr>
          <w:rFonts w:ascii="Arial" w:hAnsi="Arial" w:cs="Arial"/>
          <w:sz w:val="24"/>
          <w:szCs w:val="24"/>
        </w:rPr>
        <w:t>Chronic</w:t>
      </w:r>
      <w:proofErr w:type="spellEnd"/>
      <w:r w:rsidR="00E20624" w:rsidRPr="00E20624">
        <w:rPr>
          <w:rFonts w:ascii="Arial" w:hAnsi="Arial" w:cs="Arial"/>
          <w:sz w:val="24"/>
          <w:szCs w:val="24"/>
        </w:rPr>
        <w:t xml:space="preserve"> Kidney Disease)</w:t>
      </w:r>
      <w:r w:rsidR="00616A61">
        <w:rPr>
          <w:rFonts w:ascii="Arial" w:hAnsi="Arial" w:cs="Arial"/>
          <w:sz w:val="24"/>
          <w:szCs w:val="24"/>
        </w:rPr>
        <w:t>,</w:t>
      </w:r>
      <w:r w:rsidR="00E20624" w:rsidRPr="00E20624">
        <w:rPr>
          <w:rFonts w:ascii="Arial" w:hAnsi="Arial" w:cs="Arial"/>
          <w:sz w:val="24"/>
          <w:szCs w:val="24"/>
        </w:rPr>
        <w:t xml:space="preserve"> da qual fui um dos investigadores principais de uma c</w:t>
      </w:r>
      <w:r w:rsidR="00E20624">
        <w:rPr>
          <w:rFonts w:ascii="Arial" w:hAnsi="Arial" w:cs="Arial"/>
          <w:sz w:val="24"/>
          <w:szCs w:val="24"/>
        </w:rPr>
        <w:t>o</w:t>
      </w:r>
      <w:r w:rsidR="00E20624" w:rsidRPr="00E20624">
        <w:rPr>
          <w:rFonts w:ascii="Arial" w:hAnsi="Arial" w:cs="Arial"/>
          <w:sz w:val="24"/>
          <w:szCs w:val="24"/>
        </w:rPr>
        <w:t>orte de pacientes</w:t>
      </w:r>
      <w:r w:rsidR="00616A61">
        <w:rPr>
          <w:rFonts w:ascii="Arial" w:hAnsi="Arial" w:cs="Arial"/>
          <w:sz w:val="24"/>
          <w:szCs w:val="24"/>
        </w:rPr>
        <w:t xml:space="preserve">, foi o </w:t>
      </w:r>
      <w:r w:rsidR="00E20624" w:rsidRPr="00E20624">
        <w:rPr>
          <w:rFonts w:ascii="Arial" w:hAnsi="Arial" w:cs="Arial"/>
          <w:sz w:val="24"/>
          <w:szCs w:val="24"/>
        </w:rPr>
        <w:t>motiv</w:t>
      </w:r>
      <w:r w:rsidR="00616A61">
        <w:rPr>
          <w:rFonts w:ascii="Arial" w:hAnsi="Arial" w:cs="Arial"/>
          <w:sz w:val="24"/>
          <w:szCs w:val="24"/>
        </w:rPr>
        <w:t>ador dessa</w:t>
      </w:r>
      <w:r w:rsidR="00BC5B50">
        <w:rPr>
          <w:rFonts w:ascii="Arial" w:hAnsi="Arial" w:cs="Arial"/>
          <w:sz w:val="24"/>
          <w:szCs w:val="24"/>
        </w:rPr>
        <w:t xml:space="preserve"> consulta </w:t>
      </w:r>
      <w:r w:rsidR="005B54F8">
        <w:rPr>
          <w:rFonts w:ascii="Arial" w:hAnsi="Arial" w:cs="Arial"/>
          <w:sz w:val="24"/>
          <w:szCs w:val="24"/>
        </w:rPr>
        <w:t>pública</w:t>
      </w:r>
      <w:r w:rsidR="00E20624">
        <w:rPr>
          <w:rFonts w:ascii="Arial" w:hAnsi="Arial" w:cs="Arial"/>
          <w:sz w:val="24"/>
          <w:szCs w:val="24"/>
        </w:rPr>
        <w:t>. Esse estudo</w:t>
      </w:r>
      <w:r w:rsidR="00616A61">
        <w:rPr>
          <w:rFonts w:ascii="Arial" w:hAnsi="Arial" w:cs="Arial"/>
          <w:sz w:val="24"/>
          <w:szCs w:val="24"/>
        </w:rPr>
        <w:t>,</w:t>
      </w:r>
      <w:r w:rsidR="00E20624">
        <w:rPr>
          <w:rFonts w:ascii="Arial" w:hAnsi="Arial" w:cs="Arial"/>
          <w:sz w:val="24"/>
          <w:szCs w:val="24"/>
        </w:rPr>
        <w:t xml:space="preserve"> multicêntrico internacional, randomizado, duplo-cego controlado por placebo </w:t>
      </w:r>
      <w:r w:rsidR="0081461E">
        <w:rPr>
          <w:rFonts w:ascii="Arial" w:hAnsi="Arial" w:cs="Arial"/>
          <w:sz w:val="24"/>
          <w:szCs w:val="24"/>
        </w:rPr>
        <w:t>envolveu</w:t>
      </w:r>
      <w:r w:rsidR="00E20624">
        <w:rPr>
          <w:rFonts w:ascii="Arial" w:hAnsi="Arial" w:cs="Arial"/>
          <w:sz w:val="24"/>
          <w:szCs w:val="24"/>
        </w:rPr>
        <w:t xml:space="preserve"> cerca de </w:t>
      </w:r>
      <w:r w:rsidR="0081461E">
        <w:rPr>
          <w:rFonts w:ascii="Arial" w:hAnsi="Arial" w:cs="Arial"/>
          <w:sz w:val="24"/>
          <w:szCs w:val="24"/>
        </w:rPr>
        <w:t>4304 pacientes para avaliar</w:t>
      </w:r>
      <w:r w:rsidR="00616A61">
        <w:rPr>
          <w:rFonts w:ascii="Arial" w:hAnsi="Arial" w:cs="Arial"/>
          <w:sz w:val="24"/>
          <w:szCs w:val="24"/>
        </w:rPr>
        <w:t xml:space="preserve"> o benefício</w:t>
      </w:r>
      <w:r w:rsidR="0081461E">
        <w:rPr>
          <w:rFonts w:ascii="Arial" w:hAnsi="Arial" w:cs="Arial"/>
          <w:sz w:val="24"/>
          <w:szCs w:val="24"/>
        </w:rPr>
        <w:t xml:space="preserve"> </w:t>
      </w:r>
      <w:r w:rsidR="00616A61">
        <w:rPr>
          <w:rFonts w:ascii="Arial" w:hAnsi="Arial" w:cs="Arial"/>
          <w:sz w:val="24"/>
          <w:szCs w:val="24"/>
        </w:rPr>
        <w:t>d</w:t>
      </w:r>
      <w:r w:rsidR="0081461E">
        <w:rPr>
          <w:rFonts w:ascii="Arial" w:hAnsi="Arial" w:cs="Arial"/>
          <w:sz w:val="24"/>
          <w:szCs w:val="24"/>
        </w:rPr>
        <w:t>a dapagliflozina sobre a doença renal em pacientes com doença renal diabética (DRD) 67,5% e não diabética 32,5%. Como critério de inclusão considerou</w:t>
      </w:r>
      <w:r w:rsidR="00BC5B50">
        <w:rPr>
          <w:rFonts w:ascii="Arial" w:hAnsi="Arial" w:cs="Arial"/>
          <w:sz w:val="24"/>
          <w:szCs w:val="24"/>
        </w:rPr>
        <w:t>-se</w:t>
      </w:r>
      <w:r w:rsidR="0081461E">
        <w:rPr>
          <w:rFonts w:ascii="Arial" w:hAnsi="Arial" w:cs="Arial"/>
          <w:sz w:val="24"/>
          <w:szCs w:val="24"/>
        </w:rPr>
        <w:t xml:space="preserve"> pacientes com Taxa de Filtração Glomerular estimada (TFGe) entre 25-75 ml/min/1,73m</w:t>
      </w:r>
      <w:r w:rsidR="00BC5B50">
        <w:rPr>
          <w:rFonts w:ascii="Arial" w:hAnsi="Arial" w:cs="Arial"/>
          <w:sz w:val="24"/>
          <w:szCs w:val="24"/>
          <w:vertAlign w:val="superscript"/>
        </w:rPr>
        <w:t>2</w:t>
      </w:r>
      <w:r w:rsidR="0081461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1461E">
        <w:rPr>
          <w:rFonts w:ascii="Arial" w:hAnsi="Arial" w:cs="Arial"/>
          <w:sz w:val="24"/>
          <w:szCs w:val="24"/>
        </w:rPr>
        <w:t>e relação albuminúria/</w:t>
      </w:r>
      <w:proofErr w:type="spellStart"/>
      <w:r w:rsidR="0081461E">
        <w:rPr>
          <w:rFonts w:ascii="Arial" w:hAnsi="Arial" w:cs="Arial"/>
          <w:sz w:val="24"/>
          <w:szCs w:val="24"/>
        </w:rPr>
        <w:t>creatininúria</w:t>
      </w:r>
      <w:proofErr w:type="spellEnd"/>
      <w:r w:rsidR="0081461E">
        <w:rPr>
          <w:rFonts w:ascii="Arial" w:hAnsi="Arial" w:cs="Arial"/>
          <w:sz w:val="24"/>
          <w:szCs w:val="24"/>
        </w:rPr>
        <w:t xml:space="preserve"> 200 -5000 mg/g de creatinina</w:t>
      </w:r>
      <w:r w:rsidR="00C67028">
        <w:rPr>
          <w:rFonts w:ascii="Arial" w:hAnsi="Arial" w:cs="Arial"/>
          <w:sz w:val="24"/>
          <w:szCs w:val="24"/>
        </w:rPr>
        <w:t>, portanto doença renal crônica (DRC) com proteinúria. Como critério de exclusão</w:t>
      </w:r>
      <w:r w:rsidR="00BC5B50">
        <w:rPr>
          <w:rFonts w:ascii="Arial" w:hAnsi="Arial" w:cs="Arial"/>
          <w:sz w:val="24"/>
          <w:szCs w:val="24"/>
        </w:rPr>
        <w:t>,</w:t>
      </w:r>
      <w:r w:rsidR="00C67028">
        <w:rPr>
          <w:rFonts w:ascii="Arial" w:hAnsi="Arial" w:cs="Arial"/>
          <w:sz w:val="24"/>
          <w:szCs w:val="24"/>
        </w:rPr>
        <w:t xml:space="preserve"> </w:t>
      </w:r>
      <w:r w:rsidR="00C67028" w:rsidRPr="00C67028">
        <w:rPr>
          <w:rFonts w:ascii="Arial" w:hAnsi="Arial" w:cs="Arial"/>
          <w:sz w:val="24"/>
          <w:szCs w:val="24"/>
        </w:rPr>
        <w:t>diabetes tipo 1, doença pol</w:t>
      </w:r>
      <w:r w:rsidR="00C67028">
        <w:rPr>
          <w:rFonts w:ascii="Arial" w:hAnsi="Arial" w:cs="Arial"/>
          <w:sz w:val="24"/>
          <w:szCs w:val="24"/>
        </w:rPr>
        <w:t>i</w:t>
      </w:r>
      <w:r w:rsidR="00C67028" w:rsidRPr="00C67028">
        <w:rPr>
          <w:rFonts w:ascii="Arial" w:hAnsi="Arial" w:cs="Arial"/>
          <w:sz w:val="24"/>
          <w:szCs w:val="24"/>
        </w:rPr>
        <w:t>cística rena</w:t>
      </w:r>
      <w:r w:rsidR="00C67028">
        <w:rPr>
          <w:rFonts w:ascii="Arial" w:hAnsi="Arial" w:cs="Arial"/>
          <w:sz w:val="24"/>
          <w:szCs w:val="24"/>
        </w:rPr>
        <w:t>l</w:t>
      </w:r>
      <w:r w:rsidR="00C67028" w:rsidRPr="00C67028">
        <w:rPr>
          <w:rFonts w:ascii="Arial" w:hAnsi="Arial" w:cs="Arial"/>
          <w:sz w:val="24"/>
          <w:szCs w:val="24"/>
        </w:rPr>
        <w:t xml:space="preserve">, nefrite lúpica e vasculite associada à anticorpos citoplasmáticos </w:t>
      </w:r>
      <w:proofErr w:type="spellStart"/>
      <w:r w:rsidR="00C67028" w:rsidRPr="00C67028">
        <w:rPr>
          <w:rFonts w:ascii="Arial" w:hAnsi="Arial" w:cs="Arial"/>
          <w:sz w:val="24"/>
          <w:szCs w:val="24"/>
        </w:rPr>
        <w:t>antifosfolípides</w:t>
      </w:r>
      <w:proofErr w:type="spellEnd"/>
      <w:r w:rsidR="00BC5B50">
        <w:rPr>
          <w:rFonts w:ascii="Arial" w:hAnsi="Arial" w:cs="Arial"/>
          <w:sz w:val="24"/>
          <w:szCs w:val="24"/>
        </w:rPr>
        <w:t xml:space="preserve"> positivos</w:t>
      </w:r>
      <w:r w:rsidR="00C67028">
        <w:rPr>
          <w:rFonts w:ascii="Arial" w:hAnsi="Arial" w:cs="Arial"/>
          <w:sz w:val="24"/>
          <w:szCs w:val="24"/>
        </w:rPr>
        <w:t xml:space="preserve">. Um grupo recebeu tratamento convencional da época e dapagliflozina 10mg/dia e outro placebo ao invés de dapagliflozina. </w:t>
      </w:r>
      <w:r w:rsidR="00A15C1E">
        <w:rPr>
          <w:rFonts w:ascii="Arial" w:hAnsi="Arial" w:cs="Arial"/>
          <w:sz w:val="24"/>
          <w:szCs w:val="24"/>
        </w:rPr>
        <w:t>O estudo foi encerrado precocemente após 2,4 anos de duração sugerido pelo comitê independente que identificou clara</w:t>
      </w:r>
      <w:r w:rsidR="00BC5B50">
        <w:rPr>
          <w:rFonts w:ascii="Arial" w:hAnsi="Arial" w:cs="Arial"/>
          <w:sz w:val="24"/>
          <w:szCs w:val="24"/>
        </w:rPr>
        <w:t xml:space="preserve"> evidência de</w:t>
      </w:r>
      <w:r w:rsidR="00A15C1E">
        <w:rPr>
          <w:rFonts w:ascii="Arial" w:hAnsi="Arial" w:cs="Arial"/>
          <w:sz w:val="24"/>
          <w:szCs w:val="24"/>
        </w:rPr>
        <w:t xml:space="preserve"> eficácia da dapagliflozina. </w:t>
      </w:r>
    </w:p>
    <w:p w14:paraId="35588A37" w14:textId="4E91E775" w:rsidR="004842DD" w:rsidRDefault="00A15C1E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</w:pPr>
      <w:r>
        <w:rPr>
          <w:rFonts w:ascii="Arial" w:hAnsi="Arial" w:cs="Arial"/>
          <w:sz w:val="24"/>
          <w:szCs w:val="24"/>
        </w:rPr>
        <w:t xml:space="preserve">Como desfecho primário foi considerado 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primeira ocorrência de</w:t>
      </w:r>
      <w:r w:rsid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qualquer um dos seguintes</w:t>
      </w:r>
      <w:r w:rsidR="00BC5B5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eventos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: declínio de pelo menos 50% na TFGe (confirmada por um segundo soro</w:t>
      </w:r>
      <w:r w:rsid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 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dosagem de creatinina após ≥28 dias), o início da doença renal terminal (definida como diálise de manutenção por ≥28 dias, transplante renal ou TFG estimada de &lt;15 ml por minuto</w:t>
      </w:r>
      <w:r w:rsid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por 1,73 m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2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confirmado por uma segunda medição</w:t>
      </w:r>
      <w:r w:rsid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após ≥28 dias), ou morte por causas renais ou </w:t>
      </w:r>
      <w:r w:rsid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c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ardiovasculares</w:t>
      </w:r>
      <w:r w:rsid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(CV)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</w:t>
      </w:r>
      <w:r w:rsidR="00A41C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Esclarecendo 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s</w:t>
      </w:r>
      <w:r w:rsidR="00A41C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o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bre o</w:t>
      </w:r>
      <w:r w:rsidR="00A41C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desfecho de redução de pelo menos 50% da TFGe, gostaríamos de salientar que é um desfecho 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terminal </w:t>
      </w:r>
      <w:r w:rsidR="00A41C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duro tradicional para evolução 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de doença</w:t>
      </w:r>
      <w:r w:rsidR="00A41C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renal</w:t>
      </w:r>
      <w:r w:rsidR="00C82AD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C55BC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e</w:t>
      </w:r>
      <w:r w:rsidR="00BC5B5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</w:t>
      </w:r>
      <w:r w:rsidR="00C55BC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como</w:t>
      </w:r>
      <w:r w:rsidR="00A41C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todos</w:t>
      </w:r>
      <w:r w:rsidR="00C55BC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anteriores</w:t>
      </w:r>
      <w:r w:rsidR="00BC5B5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discutidos com agências regulatórias, </w:t>
      </w:r>
      <w:r w:rsidR="00BC5B5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como 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segu</w:t>
      </w:r>
      <w:r w:rsidR="00BC5B5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e</w:t>
      </w:r>
      <w:r w:rsidR="004842D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o exemplo do desfecho de albuminúria em que a Kidney Foundation juntamente com FDA e EMA fizeram em 2020</w:t>
      </w:r>
      <w:r w:rsidR="004842DD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3</w:t>
      </w:r>
    </w:p>
    <w:p w14:paraId="1703AFC9" w14:textId="0CE249D3" w:rsidR="00BD78E6" w:rsidRDefault="004842DD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</w:t>
      </w:r>
      <w:r w:rsidR="00CF4506" w:rsidRPr="00CF450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Os 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desfechos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secundários (também avaliados em análises de tempo até o evento) foram, em ordem hierárquica, o resultado renal composto de um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declínio sustentado na TFG estimada de pelo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menos 50%, doença renal terminal ou morte por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causas renais; o desfecho cardiovascular composto definido como hospitalização por insuficiência cardíaca ou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morte por causas 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CV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; e morte de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485681" w:rsidRP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qualquer causa</w:t>
      </w:r>
      <w:r w:rsidR="0048568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</w:t>
      </w:r>
    </w:p>
    <w:p w14:paraId="6AA2E5F3" w14:textId="436BF50D" w:rsidR="00336188" w:rsidRDefault="00BD78E6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O desfecho primário foi estatisticamente significante (p=0,000000018), redução do risco relativo de 39% com </w:t>
      </w:r>
      <w:r w:rsidR="00DC6C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número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 pacientes para evitar um desfecho primário (NNT) de 19. Considerando-se pacientes com proteinúria abaixo de 1g/24h esse NNT foi de 7 pacientes. </w:t>
      </w:r>
      <w:r w:rsidR="00DC6C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Desfechos secundários a) específicos para doença renal com redução de 44%; b) morte CV ou hospitalização por insuficiência cardíaca de 39%; c) mortalidade por qualquer causa 21%. Ainda assim, foram beneficiados </w:t>
      </w:r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pacientes com </w:t>
      </w:r>
      <w:proofErr w:type="spellStart"/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normoglicemia</w:t>
      </w:r>
      <w:proofErr w:type="spellEnd"/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, pré-diabéticos, pacientes com hemoglobina </w:t>
      </w:r>
      <w:proofErr w:type="spellStart"/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glicada</w:t>
      </w:r>
      <w:proofErr w:type="spellEnd"/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acima ou abaixo de 8,5%, </w:t>
      </w:r>
      <w:r w:rsidR="00EB562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lastRenderedPageBreak/>
        <w:t>albumi</w:t>
      </w:r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núria acima ou abaixo de 1g/dia, com TFGe acima ou abaixo de 45ml/min/1,75m</w:t>
      </w:r>
      <w:r w:rsidR="00E14A3A" w:rsidRPr="00E14A3A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2</w:t>
      </w:r>
      <w:r w:rsidR="00E14A3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 Dentre os pacientes com DRC não diabética foram incluídos grupos com doença glomerular (16,1%), isquemia ou nefropatia hipertensiva (16%)</w:t>
      </w:r>
      <w:r w:rsidR="00F924A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, e outras causas/causa não identificada (9,6%). A DRD foi 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a </w:t>
      </w:r>
      <w:r w:rsidR="00F924A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que teve o melhor resultado, mas as outras causas não diabéticas, conforme o grupo considerado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</w:t>
      </w:r>
      <w:r w:rsidR="00F924A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também mostraram resultados estatisticamente significantes</w:t>
      </w:r>
      <w:r w:rsidR="00C423F2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2</w:t>
      </w:r>
      <w:r w:rsidR="00F924A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 Esse resultado, do ponto de vista clínico, tem um impacto extraordinário. Traduzindo, o quê int</w:t>
      </w:r>
      <w:r w:rsidR="00EB562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e</w:t>
      </w:r>
      <w:r w:rsidR="00F924A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ressa</w:t>
      </w:r>
      <w:r w:rsidR="00EB562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é reduzir de forma significante a proteinúria. Independente da causa da DRC. Esse tipo de conduta já faz parte da conduta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</w:t>
      </w:r>
      <w:r w:rsidR="00EB562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quando utilizamos bloqueadores do sistema renina angiotensina em pacientes com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DRC ou não e</w:t>
      </w:r>
      <w:r w:rsidR="00EB562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albuminúria elevada, principalmente maior que 1g/dia. </w:t>
      </w:r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Isso permite com que médicos em geral (clínicos gerais, especialistas ou médicos de família) iniciem precocemente o tratamento com a dapagliflozina nesses pacientes e 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poderão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depois</w:t>
      </w:r>
      <w:r w:rsidR="00354456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encaminhar para o especialista conforme o critério de gravidade. A razão se deve a dapagliflozina ser muito segura (efeito colateral mais frequente </w:t>
      </w:r>
      <w:proofErr w:type="spellStart"/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infecção</w:t>
      </w:r>
      <w:proofErr w:type="spellEnd"/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genital), 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ser </w:t>
      </w:r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dose 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ú</w:t>
      </w:r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nica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diária, introduzida hospitalar ou ambulatorial, 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 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aquele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paciente portador de insuficiência cardíaca 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ter 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o resultado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positivo e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significante 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já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após 28 dias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 Além disso, ter</w:t>
      </w:r>
      <w:r w:rsidR="0033618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efeito desprezível sobre a pressão arterial, proteção renal e CV e causar menos hipercalemia com os inibidores de aldosterona. </w:t>
      </w:r>
    </w:p>
    <w:p w14:paraId="6E8D738E" w14:textId="07E34B25" w:rsidR="003B235D" w:rsidRDefault="00336188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Algumas doenças glomerulares tiveram resultados muto significativos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a dapagliflozina no estudo DAPA-CKD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. 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 nefropatia por IgA</w:t>
      </w:r>
      <w:r w:rsidR="00853F50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4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 em que ao redor de 30%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9B080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podem evoluir para DRC terminal, tiveram redução de desfechos renais</w:t>
      </w:r>
      <w:r w:rsidR="0042369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a dapagliflozina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em 71%. Pacientes com glomerulosclerose segmentar e focal</w:t>
      </w:r>
      <w:r w:rsidR="00853F50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5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 doença com prognóstico sombrio com alb</w:t>
      </w:r>
      <w:r w:rsidR="005B54F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u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minúria que pode chegar a 30g/dia com</w:t>
      </w:r>
      <w:r w:rsidR="00C423F2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 terapia convencional, podem</w:t>
      </w:r>
      <w:r w:rsidR="005538E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também</w:t>
      </w:r>
      <w:r w:rsidR="00FD066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responder satisfatoriamente. 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Como no critério de inclusão </w:t>
      </w:r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no DAPA-CKD 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era permitida </w:t>
      </w:r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qu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e pacientes com TFGe de 25/ml/min</w:t>
      </w:r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fossem selecionados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 </w:t>
      </w:r>
      <w:r w:rsidR="005B368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no estudo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 insuficiência cardíaca esse valor poderia ser de até 20/ml/min </w:t>
      </w:r>
      <w:r w:rsidR="00504D1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 prescrição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inicial das </w:t>
      </w:r>
      <w:proofErr w:type="spellStart"/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gliflozinas</w:t>
      </w:r>
      <w:proofErr w:type="spellEnd"/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passou a ser de 20 ml/min como critério de início de tratamento</w:t>
      </w:r>
      <w:r w:rsidR="005538E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 ao invés de 30ml/min/1,73m</w:t>
      </w:r>
      <w:r w:rsidR="005538E4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2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 No estudo</w:t>
      </w:r>
      <w:r w:rsidR="007553E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derivado do DAPA-CKD</w:t>
      </w:r>
      <w:r w:rsidR="00853F50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6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esses pacientes</w:t>
      </w:r>
      <w:r w:rsidR="007553E1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DRC estágio 4</w:t>
      </w:r>
      <w:r w:rsidR="001F485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também foram </w:t>
      </w:r>
      <w:r w:rsidR="003B235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beneficiados </w:t>
      </w:r>
      <w:r w:rsidR="005538E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pelo </w:t>
      </w:r>
      <w:r w:rsidR="003B235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tratamento</w:t>
      </w:r>
      <w:r w:rsidR="005538E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a dapagliflozina</w:t>
      </w:r>
      <w:r w:rsidR="003B235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. </w:t>
      </w:r>
    </w:p>
    <w:p w14:paraId="7DFC6080" w14:textId="0BDA7EBE" w:rsidR="00853F50" w:rsidRDefault="003B235D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Em resumo, a dapagliflozina teve um resultado extraordinário nesse estudo e </w:t>
      </w:r>
      <w:r w:rsidR="005538E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outro específico para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insuficiência cardíaca</w:t>
      </w:r>
      <w:r w:rsidR="005538E4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7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fração e ejeção reduzida, em diabéticos e não diabéticos. Quanto a proteção renal, o último resultado favorável foi obtido nos estudos RENAAL (</w:t>
      </w:r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16%) e IDNT (20%). As cifras</w:t>
      </w:r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 positividade de benefício</w:t>
      </w:r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da dapagliflozina foram em dobro</w:t>
      </w:r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aos </w:t>
      </w:r>
      <w:proofErr w:type="spellStart"/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RENAAl</w:t>
      </w:r>
      <w:proofErr w:type="spellEnd"/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 IDNT</w:t>
      </w:r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 com pacientes usando bloqueadores do sistema renina angiotensina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</w:t>
      </w:r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proofErr w:type="gramStart"/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acrescidos </w:t>
      </w:r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também</w:t>
      </w:r>
      <w:proofErr w:type="gramEnd"/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1A7AF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de</w:t>
      </w:r>
      <w:r w:rsidR="00A76F4C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benefícios CV e mortalidade por qualquer causa. 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</w:p>
    <w:p w14:paraId="6B62CA95" w14:textId="0C8B2502" w:rsidR="00504D1D" w:rsidRPr="00AA7021" w:rsidRDefault="00C55BC8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Convêm lembrar que com relação à prevenção da DRD</w:t>
      </w:r>
      <w:r w:rsidR="0051114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 dapagliflozina foi a única </w:t>
      </w:r>
      <w:proofErr w:type="spellStart"/>
      <w:r w:rsidR="0051114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gliflozina</w:t>
      </w:r>
      <w:proofErr w:type="spellEnd"/>
      <w:r w:rsidR="0051114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que fez 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um </w:t>
      </w:r>
      <w:r w:rsidR="00511144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estudo específico. </w:t>
      </w:r>
      <w:r w:rsidR="00511144" w:rsidRP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O DECLARE</w:t>
      </w:r>
      <w:r w:rsidR="005538E4">
        <w:rPr>
          <w:rFonts w:ascii="Arial" w:eastAsia="Times New Roman" w:hAnsi="Arial" w:cs="Arial"/>
          <w:color w:val="202124"/>
          <w:sz w:val="24"/>
          <w:szCs w:val="24"/>
          <w:vertAlign w:val="superscript"/>
          <w:lang w:eastAsia="pt-BR"/>
        </w:rPr>
        <w:t>8</w:t>
      </w:r>
      <w:r w:rsidR="00511144" w:rsidRP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(</w:t>
      </w:r>
      <w:r w:rsidR="00AA7021" w:rsidRPr="00AA7021">
        <w:rPr>
          <w:rFonts w:ascii="Arial" w:hAnsi="Arial" w:cs="Arial"/>
          <w:sz w:val="24"/>
          <w:szCs w:val="24"/>
          <w:shd w:val="clear" w:color="auto" w:fill="FFFFFF"/>
        </w:rPr>
        <w:t xml:space="preserve">Dapagliflozin </w:t>
      </w:r>
      <w:proofErr w:type="spellStart"/>
      <w:r w:rsidR="00AA7021" w:rsidRPr="00AA7021">
        <w:rPr>
          <w:rFonts w:ascii="Arial" w:hAnsi="Arial" w:cs="Arial"/>
          <w:sz w:val="24"/>
          <w:szCs w:val="24"/>
          <w:shd w:val="clear" w:color="auto" w:fill="FFFFFF"/>
        </w:rPr>
        <w:t>Effect</w:t>
      </w:r>
      <w:proofErr w:type="spellEnd"/>
      <w:r w:rsidR="00AA7021" w:rsidRPr="00AA7021">
        <w:rPr>
          <w:rFonts w:ascii="Arial" w:hAnsi="Arial" w:cs="Arial"/>
          <w:sz w:val="24"/>
          <w:szCs w:val="24"/>
          <w:shd w:val="clear" w:color="auto" w:fill="FFFFFF"/>
        </w:rPr>
        <w:t xml:space="preserve"> on Cardiovascular Events</w:t>
      </w:r>
      <w:r w:rsidR="00511144" w:rsidRPr="00AA7021">
        <w:rPr>
          <w:rFonts w:ascii="Arial" w:hAnsi="Arial" w:cs="Arial"/>
          <w:sz w:val="24"/>
          <w:szCs w:val="24"/>
        </w:rPr>
        <w:t>)</w:t>
      </w:r>
      <w:r w:rsidRP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r w:rsidR="00AA7021" w:rsidRP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com 17.160 pacientes com DM2 em q</w:t>
      </w:r>
      <w:r w:rsid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ue</w:t>
      </w:r>
      <w:r w:rsid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10.186 (59,4%) somente eram diabéticos com múltiplos fatores de risco foram </w:t>
      </w:r>
      <w:r w:rsid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lastRenderedPageBreak/>
        <w:t>tratados com dapagliflozina ou placebo. Um dos critérios obrigatórios foi a ausência de DRC (TFGe acima de 60ml/min/1,73m</w:t>
      </w:r>
      <w:r w:rsidR="00DC3C70">
        <w:rPr>
          <w:rFonts w:ascii="Arial" w:eastAsia="Times New Roman" w:hAnsi="Arial" w:cs="Arial"/>
          <w:color w:val="202124"/>
          <w:sz w:val="24"/>
          <w:szCs w:val="24"/>
          <w:vertAlign w:val="superscript"/>
          <w:lang w:eastAsia="pt-BR"/>
        </w:rPr>
        <w:t>2</w:t>
      </w:r>
      <w:r w:rsidR="00DC3C70" w:rsidRP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)</w:t>
      </w:r>
      <w:r w:rsid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. Dos 93,7% que </w:t>
      </w:r>
      <w:proofErr w:type="gramStart"/>
      <w:r w:rsid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tinham  função</w:t>
      </w:r>
      <w:proofErr w:type="gramEnd"/>
      <w:r w:rsid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renal</w:t>
      </w:r>
      <w:r w:rsidR="00070ECD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r w:rsidR="005813CE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normal 47% permaneceram sem ter desfecho renal</w:t>
      </w:r>
      <w:r w:rsidR="00DC3C7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(</w:t>
      </w:r>
      <w:r w:rsidR="005813CE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Redução TFGe ≥ para &lt;60 ml/min/1,73m</w:t>
      </w:r>
      <w:r w:rsidR="005813CE">
        <w:rPr>
          <w:rFonts w:ascii="Arial" w:eastAsia="Times New Roman" w:hAnsi="Arial" w:cs="Arial"/>
          <w:color w:val="202124"/>
          <w:sz w:val="24"/>
          <w:szCs w:val="24"/>
          <w:vertAlign w:val="superscript"/>
          <w:lang w:eastAsia="pt-BR"/>
        </w:rPr>
        <w:t>2</w:t>
      </w:r>
      <w:r w:rsidR="005813CE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, DRC termina</w:t>
      </w:r>
      <w:r w:rsidR="00853F5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l</w:t>
      </w:r>
      <w:r w:rsidR="005813CE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ou morte de causa renal). </w:t>
      </w:r>
      <w:r w:rsidR="00853F50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Isso caracteriza PREVENÇÃO da doença renal. </w:t>
      </w:r>
      <w:r w:rsidR="00AA7021" w:rsidRP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  <w:r w:rsidR="003B235D" w:rsidRPr="00AA7021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 </w:t>
      </w:r>
    </w:p>
    <w:p w14:paraId="09DCF980" w14:textId="2C72F1E4" w:rsidR="00021298" w:rsidRDefault="009F553F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 DRC acomete cerca de quase um bilhão</w:t>
      </w:r>
      <w:r w:rsidR="005538E4">
        <w:rPr>
          <w:rFonts w:ascii="Arial" w:eastAsia="Times New Roman" w:hAnsi="Arial" w:cs="Arial"/>
          <w:color w:val="202124"/>
          <w:sz w:val="24"/>
          <w:szCs w:val="24"/>
          <w:vertAlign w:val="superscript"/>
          <w:lang w:val="pt-PT" w:eastAsia="pt-BR"/>
        </w:rPr>
        <w:t>9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de indivíduos no mundo, ou seja, cerca de 10% da população mundial. A causa mais frequente é DM2 seguida da hipertensão arterial. Dados do Censo de Diálise realizados anualmente pela Sociedade Brasileira de Nefrologia</w:t>
      </w:r>
      <w:r w:rsidR="00F42F5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2020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mostram que o número de pacientes em diálise</w:t>
      </w:r>
      <w:r w:rsidR="00F42F5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são 114.779 em ascensão</w:t>
      </w:r>
      <w:r w:rsidR="005B368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. </w:t>
      </w:r>
      <w:r w:rsidR="00F42F5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N</w:t>
      </w:r>
      <w:r w:rsidR="005B368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o</w:t>
      </w:r>
      <w:r w:rsidR="00F42F5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mundo, e não somente no Brasil, a 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Tratamento de Substituição Renal (TSR -Diálise ou transplante renal)</w:t>
      </w:r>
      <w:r w:rsidR="00F42F5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é capaz de suprir somente 50% do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s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pacientes. A taxa de mortalidade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é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ao redor de 20%, mas POR ANO. Essa estimativa foi observada em 2020, acrescida de 5% devido ao COVID em razão do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s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renais crônicos serem mais vulneráveis. Portanto morreram ¼ dos pacientes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 DRC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em diálise no Brasil em 2020. </w:t>
      </w:r>
      <w:r w:rsidR="00F42F5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CF5879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</w:p>
    <w:p w14:paraId="0C4260C9" w14:textId="6C683450" w:rsidR="00021298" w:rsidRDefault="00A93DB1" w:rsidP="00021298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As causas mais frequentes são devido a doença CV (50%), infeção (40%)</w:t>
      </w:r>
      <w:r w:rsidR="0002129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 renal (10%). A qualidade de vida do portador de DRC terminal em diálise é péssima, pois o procedimento é de 4 horas, 3 vezes por semana 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e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paliativo 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qu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e não 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elimina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totalmente</w:t>
      </w:r>
      <w:r w:rsidR="009B0727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as complicações da doença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comparado ao paciente sem DRC. A </w:t>
      </w:r>
      <w:r w:rsidR="0002129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fraqueza, indisposição,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edema,</w:t>
      </w:r>
      <w:r w:rsidR="0002129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anemia, doença óssea, restrição alimentar, tendência a infeções persistem. No diabético, além de ser muito mais propenso a mortalidade, a qualidade de vida ainda é pior com maior risco de cegueira e amputações. Durante o procedimento o diabético tem mais crises de hipotensão e sincope. </w:t>
      </w:r>
    </w:p>
    <w:p w14:paraId="279D0738" w14:textId="7BFC757A" w:rsidR="00356218" w:rsidRDefault="00021298" w:rsidP="00021298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Para o sistema de saúde </w:t>
      </w:r>
      <w:r w:rsidR="003562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o procedimento é oneroso e pelo fato de que o paciente ter que se deslocar de sua cidade de origem, viajar 3 vezes por semana ou mais, se houver complicações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 Os gastos das prefeituras com transporte sofrem</w:t>
      </w:r>
      <w:r w:rsidR="003562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um acréscimo considerável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, caso a cidade não tenha o serviço ou que ele seja muito distante como nos grandes centros</w:t>
      </w:r>
      <w:r w:rsidR="00356218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. </w:t>
      </w: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 </w:t>
      </w:r>
    </w:p>
    <w:p w14:paraId="742E9993" w14:textId="53E7104A" w:rsidR="0066627D" w:rsidRDefault="00356218" w:rsidP="00021298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Concluindo, ansiamos pela aprovação da dapagliflozina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para essa indicação</w:t>
      </w:r>
      <w:r w:rsidR="0066627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, um alento para o paciente e esperança para o nefrologista e outos especialistas que 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poderão</w:t>
      </w:r>
      <w:r w:rsidR="0066627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dispor de mais uma ferramenta terapêutica</w:t>
      </w:r>
      <w:r w:rsidR="00924CE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valios</w:t>
      </w:r>
      <w:r w:rsidR="00616B3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a</w:t>
      </w:r>
      <w:r w:rsidR="0066627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e </w:t>
      </w:r>
      <w:r w:rsidR="00616B3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prevenir e modificar</w:t>
      </w:r>
      <w:r w:rsidR="0066627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o prognóstico tenebroso da DRC</w:t>
      </w:r>
      <w:r w:rsidR="00616B3E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.</w:t>
      </w:r>
    </w:p>
    <w:p w14:paraId="4BEED45B" w14:textId="4544216C" w:rsidR="009F553F" w:rsidRDefault="0066627D" w:rsidP="0066627D">
      <w:pPr>
        <w:jc w:val="center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REFERÊNCIAS</w:t>
      </w:r>
    </w:p>
    <w:p w14:paraId="527A706E" w14:textId="0D04F573" w:rsidR="003556B1" w:rsidRPr="00ED627A" w:rsidRDefault="005B3680" w:rsidP="00077D6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12121"/>
          <w:sz w:val="24"/>
          <w:szCs w:val="24"/>
          <w:lang w:eastAsia="pt-BR"/>
        </w:rPr>
      </w:pPr>
      <w:proofErr w:type="spellStart"/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>Heerspink</w:t>
      </w:r>
      <w:proofErr w:type="spellEnd"/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HJL et al. Dapagliflozin in patients with chronic kidney disease. New </w:t>
      </w:r>
      <w:proofErr w:type="spellStart"/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>Engl</w:t>
      </w:r>
      <w:proofErr w:type="spellEnd"/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J Med 2020; 383: 1436-1446.</w:t>
      </w:r>
    </w:p>
    <w:p w14:paraId="1248E6E4" w14:textId="291C105A" w:rsidR="00ED627A" w:rsidRPr="00C55BC8" w:rsidRDefault="00ED627A" w:rsidP="00077D6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>Jongs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N et al. </w:t>
      </w:r>
      <w:r w:rsidRPr="00ED627A">
        <w:rPr>
          <w:rFonts w:ascii="Arial" w:hAnsi="Arial" w:cs="Arial"/>
          <w:sz w:val="24"/>
          <w:szCs w:val="24"/>
          <w:lang w:val="en-US"/>
        </w:rPr>
        <w:t>Effect of dapagliflozin on urinary albumin excretion in patients with chronic kidney disease with and without type 2 diabetes: a prespecified analysis from the DAPA-CKD trial</w:t>
      </w:r>
      <w:r w:rsidRPr="00ED627A">
        <w:rPr>
          <w:rFonts w:ascii="Arial" w:hAnsi="Arial" w:cs="Arial"/>
          <w:lang w:val="en-US"/>
        </w:rPr>
        <w:t xml:space="preserve">. </w:t>
      </w:r>
      <w:r w:rsidRPr="00ED627A">
        <w:rPr>
          <w:rFonts w:ascii="Arial" w:hAnsi="Arial" w:cs="Arial"/>
        </w:rPr>
        <w:t xml:space="preserve">Lancet Diabetes </w:t>
      </w:r>
      <w:proofErr w:type="spellStart"/>
      <w:r w:rsidRPr="00ED627A">
        <w:rPr>
          <w:rFonts w:ascii="Arial" w:hAnsi="Arial" w:cs="Arial"/>
        </w:rPr>
        <w:t>Endocrinol</w:t>
      </w:r>
      <w:proofErr w:type="spellEnd"/>
      <w:r w:rsidRPr="00ED627A">
        <w:rPr>
          <w:rFonts w:ascii="Arial" w:hAnsi="Arial" w:cs="Arial"/>
        </w:rPr>
        <w:t xml:space="preserve"> 2021; 9: 755–66</w:t>
      </w:r>
      <w:r w:rsidR="00C55BC8">
        <w:rPr>
          <w:rFonts w:ascii="Arial" w:hAnsi="Arial" w:cs="Arial"/>
        </w:rPr>
        <w:t>.</w:t>
      </w:r>
    </w:p>
    <w:p w14:paraId="34AC19A6" w14:textId="26982C3D" w:rsidR="00C55BC8" w:rsidRPr="00C55BC8" w:rsidRDefault="00C55BC8" w:rsidP="00077D6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>Levey et al</w:t>
      </w:r>
      <w:r w:rsidRPr="00C55BC8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.</w:t>
      </w:r>
      <w:r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 xml:space="preserve"> </w:t>
      </w:r>
      <w:r w:rsidRPr="00C55BC8">
        <w:rPr>
          <w:rFonts w:ascii="Arial" w:hAnsi="Arial" w:cs="Arial"/>
          <w:sz w:val="24"/>
          <w:szCs w:val="24"/>
          <w:lang w:val="en-US"/>
        </w:rPr>
        <w:t xml:space="preserve">Change in Albuminuria and GFR as End Points for Clinical Trials in Early Stages of CKD: A Scientific Workshop Sponsored by the National Kidney Foundation in Collaboration with the US Food and Drug </w:t>
      </w:r>
      <w:r w:rsidRPr="00C55BC8">
        <w:rPr>
          <w:rFonts w:ascii="Arial" w:hAnsi="Arial" w:cs="Arial"/>
          <w:sz w:val="24"/>
          <w:szCs w:val="24"/>
          <w:lang w:val="en-US"/>
        </w:rPr>
        <w:lastRenderedPageBreak/>
        <w:t>Administration and European Medicines Agency</w:t>
      </w:r>
      <w:r>
        <w:rPr>
          <w:rFonts w:ascii="Arial" w:hAnsi="Arial" w:cs="Arial"/>
          <w:sz w:val="24"/>
          <w:szCs w:val="24"/>
          <w:lang w:val="en-US"/>
        </w:rPr>
        <w:t>. Am J Kidney Dis. 2020; 75(1): 84-104.</w:t>
      </w:r>
    </w:p>
    <w:p w14:paraId="2C0C5D58" w14:textId="77777777" w:rsidR="004842DD" w:rsidRDefault="003556B1" w:rsidP="00077D6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r w:rsidRPr="003556B1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 xml:space="preserve">Wheeler DC et al. A pre-specified analysis of the DAPA-CKD trial </w:t>
      </w:r>
    </w:p>
    <w:p w14:paraId="08DB5D46" w14:textId="56F264A8" w:rsidR="003556B1" w:rsidRPr="003556B1" w:rsidRDefault="003556B1" w:rsidP="004842DD">
      <w:pPr>
        <w:pStyle w:val="PargrafodaLista"/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r w:rsidRPr="003556B1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 xml:space="preserve">demonstrates the effects of dapagliflozin on major adverse kidney events in patients with IgA Nephropathy. </w:t>
      </w:r>
      <w:r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 xml:space="preserve">Kidney Intern </w:t>
      </w:r>
      <w:r w:rsidR="00C423F2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2021; 100: 215-221.</w:t>
      </w:r>
    </w:p>
    <w:p w14:paraId="65A55D97" w14:textId="23F49B44" w:rsidR="003556B1" w:rsidRDefault="005B3680" w:rsidP="00077D6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12121"/>
          <w:sz w:val="24"/>
          <w:szCs w:val="24"/>
          <w:lang w:eastAsia="pt-BR"/>
        </w:rPr>
      </w:pPr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Wheeler DC et al. Safety and efficacy of dapagliflozin in patients with focal segmental glomerulosclerosis. A </w:t>
      </w:r>
      <w:r w:rsidR="00ED627A"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>pre-specified cause of the DAPA-CKD trial</w:t>
      </w:r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. Nephrol Dial </w:t>
      </w:r>
      <w:proofErr w:type="spellStart"/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>Tranpl</w:t>
      </w:r>
      <w:proofErr w:type="spellEnd"/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2021</w:t>
      </w:r>
      <w:r w:rsidR="003556B1"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Nov 25</w:t>
      </w:r>
      <w:r w:rsidRPr="003556B1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. </w:t>
      </w:r>
      <w:r w:rsidR="003556B1" w:rsidRPr="003556B1">
        <w:rPr>
          <w:rFonts w:ascii="Segoe UI" w:eastAsia="Times New Roman" w:hAnsi="Segoe UI" w:cs="Segoe UI"/>
          <w:color w:val="212121"/>
          <w:sz w:val="24"/>
          <w:szCs w:val="24"/>
          <w:lang w:eastAsia="pt-BR"/>
        </w:rPr>
        <w:t>DOI: </w:t>
      </w:r>
      <w:hyperlink r:id="rId8" w:tgtFrame="_blank" w:history="1">
        <w:r w:rsidR="003556B1" w:rsidRPr="003556B1">
          <w:rPr>
            <w:rFonts w:ascii="Segoe UI" w:eastAsia="Times New Roman" w:hAnsi="Segoe UI" w:cs="Segoe UI"/>
            <w:color w:val="205493"/>
            <w:sz w:val="24"/>
            <w:szCs w:val="24"/>
            <w:u w:val="single"/>
            <w:lang w:eastAsia="pt-BR"/>
          </w:rPr>
          <w:t>10.1093/</w:t>
        </w:r>
        <w:proofErr w:type="spellStart"/>
        <w:r w:rsidR="003556B1" w:rsidRPr="003556B1">
          <w:rPr>
            <w:rFonts w:ascii="Segoe UI" w:eastAsia="Times New Roman" w:hAnsi="Segoe UI" w:cs="Segoe UI"/>
            <w:color w:val="205493"/>
            <w:sz w:val="24"/>
            <w:szCs w:val="24"/>
            <w:u w:val="single"/>
            <w:lang w:eastAsia="pt-BR"/>
          </w:rPr>
          <w:t>ndt</w:t>
        </w:r>
        <w:proofErr w:type="spellEnd"/>
        <w:r w:rsidR="003556B1" w:rsidRPr="003556B1">
          <w:rPr>
            <w:rFonts w:ascii="Segoe UI" w:eastAsia="Times New Roman" w:hAnsi="Segoe UI" w:cs="Segoe UI"/>
            <w:color w:val="205493"/>
            <w:sz w:val="24"/>
            <w:szCs w:val="24"/>
            <w:u w:val="single"/>
            <w:lang w:eastAsia="pt-BR"/>
          </w:rPr>
          <w:t>/gfab335</w:t>
        </w:r>
      </w:hyperlink>
    </w:p>
    <w:p w14:paraId="3FCAFEDC" w14:textId="4DD7C23E" w:rsidR="00B15967" w:rsidRPr="005538E4" w:rsidRDefault="007553E1" w:rsidP="00B15967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Style w:val="highwire-cite-metadata-doi"/>
          <w:rFonts w:ascii="Segoe UI" w:eastAsia="Times New Roman" w:hAnsi="Segoe UI" w:cs="Segoe UI"/>
          <w:color w:val="212121"/>
          <w:sz w:val="24"/>
          <w:szCs w:val="24"/>
          <w:lang w:val="en-US" w:eastAsia="pt-BR"/>
        </w:rPr>
      </w:pPr>
      <w:proofErr w:type="spellStart"/>
      <w:r w:rsidRPr="007553E1">
        <w:rPr>
          <w:rFonts w:ascii="Segoe UI" w:eastAsia="Times New Roman" w:hAnsi="Segoe UI" w:cs="Segoe UI"/>
          <w:color w:val="212121"/>
          <w:sz w:val="24"/>
          <w:szCs w:val="24"/>
          <w:lang w:val="en-US" w:eastAsia="pt-BR"/>
        </w:rPr>
        <w:t>Chertow</w:t>
      </w:r>
      <w:proofErr w:type="spellEnd"/>
      <w:r w:rsidRPr="007553E1">
        <w:rPr>
          <w:rFonts w:ascii="Segoe UI" w:eastAsia="Times New Roman" w:hAnsi="Segoe UI" w:cs="Segoe UI"/>
          <w:color w:val="212121"/>
          <w:sz w:val="24"/>
          <w:szCs w:val="24"/>
          <w:lang w:val="en-US" w:eastAsia="pt-BR"/>
        </w:rPr>
        <w:t xml:space="preserve"> GM et al. Ef</w:t>
      </w:r>
      <w:r>
        <w:rPr>
          <w:rFonts w:ascii="Segoe UI" w:eastAsia="Times New Roman" w:hAnsi="Segoe UI" w:cs="Segoe UI"/>
          <w:color w:val="212121"/>
          <w:sz w:val="24"/>
          <w:szCs w:val="24"/>
          <w:lang w:val="en-US" w:eastAsia="pt-BR"/>
        </w:rPr>
        <w:t xml:space="preserve">fects of dapagliflozin in stage 4 chronic kidney disease. </w:t>
      </w:r>
      <w:r w:rsidRPr="007553E1">
        <w:rPr>
          <w:rStyle w:val="highwire-cite-metadata-journal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JASN </w:t>
      </w:r>
      <w:r w:rsidRPr="007553E1">
        <w:rPr>
          <w:rStyle w:val="highwire-cite-metadata-date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2021, </w:t>
      </w:r>
      <w:r w:rsidRPr="007553E1">
        <w:rPr>
          <w:rStyle w:val="highwire-cite-metadata-volume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32 </w:t>
      </w:r>
      <w:r w:rsidRPr="007553E1">
        <w:rPr>
          <w:rStyle w:val="highwire-cite-metadata-issue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(9) </w:t>
      </w:r>
      <w:r w:rsidRPr="007553E1">
        <w:rPr>
          <w:rStyle w:val="highwire-cite-metadata-pages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2352-2361;</w:t>
      </w:r>
      <w:r>
        <w:rPr>
          <w:rStyle w:val="highwire-cite-metadata-pages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553E1"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doi.org/10.1681/ASN.2021020167</w:t>
      </w:r>
      <w:r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B15967"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943B091" w14:textId="672B7749" w:rsidR="005538E4" w:rsidRPr="00B15967" w:rsidRDefault="00BB20B2" w:rsidP="00B15967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Style w:val="highwire-cite-metadata-doi"/>
          <w:rFonts w:ascii="Segoe UI" w:eastAsia="Times New Roman" w:hAnsi="Segoe UI" w:cs="Segoe UI"/>
          <w:color w:val="212121"/>
          <w:sz w:val="24"/>
          <w:szCs w:val="24"/>
          <w:lang w:val="en-US" w:eastAsia="pt-BR"/>
        </w:rPr>
      </w:pPr>
      <w:r w:rsidRPr="00BB20B2"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>McMurray JJV et al. D</w:t>
      </w:r>
      <w:r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apagliflozin in patients </w:t>
      </w:r>
      <w:proofErr w:type="spellStart"/>
      <w:r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>wuth</w:t>
      </w:r>
      <w:proofErr w:type="spellEnd"/>
      <w:r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heart failure and reduction ejection fraction. New </w:t>
      </w:r>
      <w:proofErr w:type="spellStart"/>
      <w:r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>Engl</w:t>
      </w:r>
      <w:proofErr w:type="spellEnd"/>
      <w:r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J Med 2019; 381:1995-2008.</w:t>
      </w:r>
    </w:p>
    <w:p w14:paraId="55579126" w14:textId="7627BB83" w:rsidR="00853F50" w:rsidRPr="00B15967" w:rsidRDefault="00B15967" w:rsidP="006F3BF1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Style w:val="highwire-cite-metadata-doi"/>
          <w:rFonts w:ascii="Segoe UI" w:eastAsia="Times New Roman" w:hAnsi="Segoe UI" w:cs="Segoe UI"/>
          <w:color w:val="212121"/>
          <w:sz w:val="24"/>
          <w:szCs w:val="24"/>
          <w:lang w:val="en-US" w:eastAsia="pt-BR"/>
        </w:rPr>
      </w:pPr>
      <w:proofErr w:type="spellStart"/>
      <w:r w:rsidRPr="00B15967"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>Wiviott</w:t>
      </w:r>
      <w:proofErr w:type="spellEnd"/>
      <w:r w:rsidRPr="00B15967">
        <w:rPr>
          <w:rStyle w:val="highwire-cite-metadata-doi"/>
          <w:rFonts w:ascii="Arial" w:hAnsi="Arial" w:cs="Arial"/>
          <w:color w:val="2E2B2B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SD et al. </w:t>
      </w:r>
      <w:r w:rsidRPr="00B15967">
        <w:rPr>
          <w:rFonts w:ascii="Arial" w:eastAsia="Times New Roman" w:hAnsi="Arial" w:cs="Arial"/>
          <w:color w:val="1A1A1A"/>
          <w:spacing w:val="-1"/>
          <w:kern w:val="36"/>
          <w:sz w:val="24"/>
          <w:szCs w:val="24"/>
          <w:bdr w:val="none" w:sz="0" w:space="0" w:color="auto" w:frame="1"/>
          <w:lang w:val="en-US" w:eastAsia="pt-BR"/>
        </w:rPr>
        <w:t xml:space="preserve">Dapagliflozin and Cardiovascular Outcomes in Type 2 Diabetes. New </w:t>
      </w:r>
      <w:proofErr w:type="spellStart"/>
      <w:r w:rsidRPr="00B15967">
        <w:rPr>
          <w:rFonts w:ascii="Arial" w:eastAsia="Times New Roman" w:hAnsi="Arial" w:cs="Arial"/>
          <w:color w:val="1A1A1A"/>
          <w:spacing w:val="-1"/>
          <w:kern w:val="36"/>
          <w:sz w:val="24"/>
          <w:szCs w:val="24"/>
          <w:bdr w:val="none" w:sz="0" w:space="0" w:color="auto" w:frame="1"/>
          <w:lang w:val="en-US" w:eastAsia="pt-BR"/>
        </w:rPr>
        <w:t>Engl</w:t>
      </w:r>
      <w:proofErr w:type="spellEnd"/>
      <w:r w:rsidRPr="00B15967">
        <w:rPr>
          <w:rFonts w:ascii="Arial" w:eastAsia="Times New Roman" w:hAnsi="Arial" w:cs="Arial"/>
          <w:color w:val="1A1A1A"/>
          <w:spacing w:val="-1"/>
          <w:kern w:val="36"/>
          <w:sz w:val="24"/>
          <w:szCs w:val="24"/>
          <w:bdr w:val="none" w:sz="0" w:space="0" w:color="auto" w:frame="1"/>
          <w:lang w:val="en-US" w:eastAsia="pt-BR"/>
        </w:rPr>
        <w:t xml:space="preserve"> J Med 2019; 380: 347-357.</w:t>
      </w:r>
    </w:p>
    <w:p w14:paraId="7DE04788" w14:textId="6D51943D" w:rsidR="007553E1" w:rsidRPr="007553E1" w:rsidRDefault="007D1F0E" w:rsidP="00077D6C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12121"/>
          <w:sz w:val="24"/>
          <w:szCs w:val="24"/>
          <w:lang w:val="en-US" w:eastAsia="pt-BR"/>
        </w:rPr>
      </w:pPr>
      <w:proofErr w:type="spellStart"/>
      <w:r>
        <w:rPr>
          <w:rFonts w:ascii="Arial" w:eastAsiaTheme="minorEastAsia" w:hAnsi="Arial" w:cs="Arial"/>
          <w:color w:val="000000" w:themeColor="text1"/>
          <w:kern w:val="24"/>
        </w:rPr>
        <w:t>Cavanaugh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</w:rPr>
        <w:t xml:space="preserve"> KL IDF atlas Diabetes 2007, 25(3): 90-97; IDF 2021</w:t>
      </w:r>
      <w:r w:rsidR="00B15967">
        <w:rPr>
          <w:rFonts w:ascii="Arial" w:eastAsiaTheme="minorEastAsia" w:hAnsi="Arial" w:cs="Arial"/>
          <w:color w:val="000000" w:themeColor="text1"/>
          <w:kern w:val="24"/>
        </w:rPr>
        <w:t>.</w:t>
      </w:r>
    </w:p>
    <w:p w14:paraId="60625AF5" w14:textId="69CA8231" w:rsidR="005B3680" w:rsidRPr="007553E1" w:rsidRDefault="005B3680" w:rsidP="007553E1">
      <w:pPr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</w:pPr>
    </w:p>
    <w:p w14:paraId="549C76BD" w14:textId="69AB4AD5" w:rsidR="00CF4506" w:rsidRPr="00CF4506" w:rsidRDefault="001F4854" w:rsidP="00485681">
      <w:pPr>
        <w:ind w:firstLine="708"/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</w:pPr>
      <w:r w:rsidRPr="005B3680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</w:t>
      </w:r>
      <w:r w:rsidR="00FD0669" w:rsidRPr="005B3680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 </w:t>
      </w:r>
      <w:r w:rsidR="00EB5621" w:rsidRPr="005B3680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</w:t>
      </w:r>
      <w:r w:rsidR="00F924A9" w:rsidRPr="005B3680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 </w:t>
      </w:r>
      <w:r w:rsidR="00E14A3A" w:rsidRPr="005B3680">
        <w:rPr>
          <w:rFonts w:ascii="Arial" w:eastAsia="Times New Roman" w:hAnsi="Arial" w:cs="Arial"/>
          <w:color w:val="202124"/>
          <w:sz w:val="24"/>
          <w:szCs w:val="24"/>
          <w:lang w:val="en-US" w:eastAsia="pt-BR"/>
        </w:rPr>
        <w:t xml:space="preserve"> </w:t>
      </w:r>
    </w:p>
    <w:p w14:paraId="5679262B" w14:textId="11840243" w:rsidR="00505890" w:rsidRPr="005B3680" w:rsidRDefault="00505890" w:rsidP="00505890">
      <w:pPr>
        <w:rPr>
          <w:rFonts w:ascii="Arial" w:hAnsi="Arial" w:cs="Arial"/>
          <w:sz w:val="24"/>
          <w:szCs w:val="24"/>
          <w:lang w:val="en-US"/>
        </w:rPr>
      </w:pPr>
    </w:p>
    <w:sectPr w:rsidR="00505890" w:rsidRPr="005B36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700B" w14:textId="77777777" w:rsidR="00C204FD" w:rsidRDefault="00C204FD" w:rsidP="00C204FD">
      <w:pPr>
        <w:spacing w:after="0" w:line="240" w:lineRule="auto"/>
      </w:pPr>
      <w:r>
        <w:separator/>
      </w:r>
    </w:p>
  </w:endnote>
  <w:endnote w:type="continuationSeparator" w:id="0">
    <w:p w14:paraId="293E4C38" w14:textId="77777777" w:rsidR="00C204FD" w:rsidRDefault="00C204FD" w:rsidP="00C2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30DE" w14:textId="77777777" w:rsidR="00C204FD" w:rsidRDefault="00C204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1B03" w14:textId="77777777" w:rsidR="00C204FD" w:rsidRDefault="00C204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A15E" w14:textId="77777777" w:rsidR="00C204FD" w:rsidRDefault="00C204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AE28" w14:textId="77777777" w:rsidR="00C204FD" w:rsidRDefault="00C204FD" w:rsidP="00C204FD">
      <w:pPr>
        <w:spacing w:after="0" w:line="240" w:lineRule="auto"/>
      </w:pPr>
      <w:r>
        <w:separator/>
      </w:r>
    </w:p>
  </w:footnote>
  <w:footnote w:type="continuationSeparator" w:id="0">
    <w:p w14:paraId="03D42721" w14:textId="77777777" w:rsidR="00C204FD" w:rsidRDefault="00C204FD" w:rsidP="00C2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E014" w14:textId="77777777" w:rsidR="00C204FD" w:rsidRDefault="00C204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619453"/>
      <w:docPartObj>
        <w:docPartGallery w:val="Page Numbers (Top of Page)"/>
        <w:docPartUnique/>
      </w:docPartObj>
    </w:sdtPr>
    <w:sdtEndPr/>
    <w:sdtContent>
      <w:p w14:paraId="75237860" w14:textId="452D131D" w:rsidR="00C204FD" w:rsidRDefault="00C204F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73B58" w14:textId="77777777" w:rsidR="00C204FD" w:rsidRDefault="00C204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EEE3" w14:textId="77777777" w:rsidR="00C204FD" w:rsidRDefault="00C204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D66"/>
    <w:multiLevelType w:val="multilevel"/>
    <w:tmpl w:val="F0C8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20FA1"/>
    <w:multiLevelType w:val="hybridMultilevel"/>
    <w:tmpl w:val="AD007FB0"/>
    <w:lvl w:ilvl="0" w:tplc="40288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55921">
    <w:abstractNumId w:val="1"/>
  </w:num>
  <w:num w:numId="2" w16cid:durableId="66547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0"/>
    <w:rsid w:val="00021298"/>
    <w:rsid w:val="00070ECD"/>
    <w:rsid w:val="001A7AFE"/>
    <w:rsid w:val="001F4854"/>
    <w:rsid w:val="00336188"/>
    <w:rsid w:val="00354456"/>
    <w:rsid w:val="003556B1"/>
    <w:rsid w:val="00356218"/>
    <w:rsid w:val="003B235D"/>
    <w:rsid w:val="0042369D"/>
    <w:rsid w:val="004842DD"/>
    <w:rsid w:val="00485681"/>
    <w:rsid w:val="00504D1D"/>
    <w:rsid w:val="00505890"/>
    <w:rsid w:val="00511144"/>
    <w:rsid w:val="005538E4"/>
    <w:rsid w:val="005716CE"/>
    <w:rsid w:val="005813CE"/>
    <w:rsid w:val="005B3680"/>
    <w:rsid w:val="005B54F8"/>
    <w:rsid w:val="00616A61"/>
    <w:rsid w:val="00616B3E"/>
    <w:rsid w:val="00621006"/>
    <w:rsid w:val="0066627D"/>
    <w:rsid w:val="007553E1"/>
    <w:rsid w:val="007D1F0E"/>
    <w:rsid w:val="0081461E"/>
    <w:rsid w:val="00853F50"/>
    <w:rsid w:val="00924CE0"/>
    <w:rsid w:val="009B0727"/>
    <w:rsid w:val="009B0800"/>
    <w:rsid w:val="009F2FBA"/>
    <w:rsid w:val="009F553F"/>
    <w:rsid w:val="00A15C1E"/>
    <w:rsid w:val="00A41C18"/>
    <w:rsid w:val="00A76F4C"/>
    <w:rsid w:val="00A92543"/>
    <w:rsid w:val="00A93DB1"/>
    <w:rsid w:val="00AA7021"/>
    <w:rsid w:val="00B15967"/>
    <w:rsid w:val="00BB0BB6"/>
    <w:rsid w:val="00BB20B2"/>
    <w:rsid w:val="00BB3E7A"/>
    <w:rsid w:val="00BC5B50"/>
    <w:rsid w:val="00BD78E6"/>
    <w:rsid w:val="00C00BF3"/>
    <w:rsid w:val="00C204FD"/>
    <w:rsid w:val="00C423F2"/>
    <w:rsid w:val="00C55BC8"/>
    <w:rsid w:val="00C67028"/>
    <w:rsid w:val="00C82ADA"/>
    <w:rsid w:val="00CF4506"/>
    <w:rsid w:val="00CF5879"/>
    <w:rsid w:val="00D01D6F"/>
    <w:rsid w:val="00DC3C70"/>
    <w:rsid w:val="00DC6C56"/>
    <w:rsid w:val="00E07E6D"/>
    <w:rsid w:val="00E14A3A"/>
    <w:rsid w:val="00E20624"/>
    <w:rsid w:val="00EB5621"/>
    <w:rsid w:val="00ED627A"/>
    <w:rsid w:val="00F42F58"/>
    <w:rsid w:val="00F4772C"/>
    <w:rsid w:val="00F924A9"/>
    <w:rsid w:val="00F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332C"/>
  <w15:chartTrackingRefBased/>
  <w15:docId w15:val="{03B2E6BD-42A0-4B1F-B339-8BE1038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5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F45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F4506"/>
    <w:rPr>
      <w:rFonts w:ascii="Consolas" w:hAnsi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6627D"/>
    <w:pPr>
      <w:ind w:left="720"/>
      <w:contextualSpacing/>
    </w:pPr>
  </w:style>
  <w:style w:type="character" w:customStyle="1" w:styleId="highwire-cite-metadata-journal">
    <w:name w:val="highwire-cite-metadata-journal"/>
    <w:basedOn w:val="Fontepargpadro"/>
    <w:rsid w:val="007553E1"/>
  </w:style>
  <w:style w:type="character" w:customStyle="1" w:styleId="highwire-cite-metadata-date">
    <w:name w:val="highwire-cite-metadata-date"/>
    <w:basedOn w:val="Fontepargpadro"/>
    <w:rsid w:val="007553E1"/>
  </w:style>
  <w:style w:type="character" w:customStyle="1" w:styleId="highwire-cite-metadata-volume">
    <w:name w:val="highwire-cite-metadata-volume"/>
    <w:basedOn w:val="Fontepargpadro"/>
    <w:rsid w:val="007553E1"/>
  </w:style>
  <w:style w:type="character" w:customStyle="1" w:styleId="highwire-cite-metadata-issue">
    <w:name w:val="highwire-cite-metadata-issue"/>
    <w:basedOn w:val="Fontepargpadro"/>
    <w:rsid w:val="007553E1"/>
  </w:style>
  <w:style w:type="character" w:customStyle="1" w:styleId="highwire-cite-metadata-pages">
    <w:name w:val="highwire-cite-metadata-pages"/>
    <w:basedOn w:val="Fontepargpadro"/>
    <w:rsid w:val="007553E1"/>
  </w:style>
  <w:style w:type="character" w:customStyle="1" w:styleId="highwire-cite-metadata-doi">
    <w:name w:val="highwire-cite-metadata-doi"/>
    <w:basedOn w:val="Fontepargpadro"/>
    <w:rsid w:val="007553E1"/>
  </w:style>
  <w:style w:type="character" w:customStyle="1" w:styleId="Ttulo1Char">
    <w:name w:val="Título 1 Char"/>
    <w:basedOn w:val="Fontepargpadro"/>
    <w:link w:val="Ttulo1"/>
    <w:uiPriority w:val="9"/>
    <w:rsid w:val="00B15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20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4FD"/>
  </w:style>
  <w:style w:type="paragraph" w:styleId="Rodap">
    <w:name w:val="footer"/>
    <w:basedOn w:val="Normal"/>
    <w:link w:val="RodapChar"/>
    <w:uiPriority w:val="99"/>
    <w:unhideWhenUsed/>
    <w:rsid w:val="00C20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ndt/gfab33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CFE1-50D9-4B66-9601-9FC3F6C9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1578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Franco</dc:creator>
  <cp:keywords/>
  <dc:description/>
  <cp:lastModifiedBy>Roberto Franco</cp:lastModifiedBy>
  <cp:revision>2</cp:revision>
  <cp:lastPrinted>2022-08-06T01:45:00Z</cp:lastPrinted>
  <dcterms:created xsi:type="dcterms:W3CDTF">2022-08-07T20:17:00Z</dcterms:created>
  <dcterms:modified xsi:type="dcterms:W3CDTF">2022-08-07T20:17:00Z</dcterms:modified>
</cp:coreProperties>
</file>