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A092" w14:textId="7FDE00DC" w:rsidR="006B5450" w:rsidRDefault="006B5450" w:rsidP="006B5450">
      <w:pPr>
        <w:pStyle w:val="Bullets"/>
      </w:pPr>
      <w:r>
        <w:t>Congratulations on the report</w:t>
      </w:r>
      <w:r w:rsidR="005C1006">
        <w:t xml:space="preserve"> and on this public consultation</w:t>
      </w:r>
      <w:r>
        <w:t xml:space="preserve">. </w:t>
      </w:r>
      <w:r w:rsidR="00046F1C">
        <w:t>I</w:t>
      </w:r>
      <w:r>
        <w:t xml:space="preserve">t will contribute to increase transparency </w:t>
      </w:r>
      <w:r w:rsidR="005C1006">
        <w:t>i</w:t>
      </w:r>
      <w:r>
        <w:t>n the HTA process in Brazil. Having an explicit threshold should also contribute to explaining the rationale for decision-making to the wider public and set expectations about what is consider</w:t>
      </w:r>
      <w:r w:rsidR="00A318D6">
        <w:t>ed</w:t>
      </w:r>
      <w:r>
        <w:t xml:space="preserve"> cost effective and what is not in the SUS. </w:t>
      </w:r>
    </w:p>
    <w:p w14:paraId="4D8BE8F4" w14:textId="0FAA8401" w:rsidR="006B5450" w:rsidRDefault="006B5450" w:rsidP="006B5450">
      <w:pPr>
        <w:pStyle w:val="Bullets"/>
      </w:pPr>
      <w:r>
        <w:t>It would be desirable that CONITEC accompanies this with strong training, communications and engagement campaigns with the wider community of stakeholders, particularly healthcare professionals, patient organisations and the civil society, so they become more and more familiar with the concept of opportunity cost and what the threshold means.</w:t>
      </w:r>
      <w:r w:rsidR="002A13B4">
        <w:t xml:space="preserve"> Industry engagements should also be considered.</w:t>
      </w:r>
    </w:p>
    <w:p w14:paraId="11FC835D" w14:textId="161690E0" w:rsidR="006B5450" w:rsidRDefault="006B5450" w:rsidP="006B5450">
      <w:pPr>
        <w:pStyle w:val="Bullets"/>
      </w:pPr>
      <w:r>
        <w:t xml:space="preserve">The wider community of stakeholders may agree or disagree with the threshold </w:t>
      </w:r>
      <w:r w:rsidR="00A318D6">
        <w:t>proposed but</w:t>
      </w:r>
      <w:r>
        <w:t xml:space="preserve"> should understand the rationale as to why having a threshold is relevant for decision-making</w:t>
      </w:r>
      <w:r w:rsidR="002A13B4">
        <w:t>.</w:t>
      </w:r>
    </w:p>
    <w:p w14:paraId="15856498" w14:textId="69043CBB" w:rsidR="006B5450" w:rsidRDefault="002F4974" w:rsidP="006B5450">
      <w:pPr>
        <w:pStyle w:val="Bullets"/>
      </w:pPr>
      <w:r>
        <w:t>Having a threshold</w:t>
      </w:r>
      <w:r w:rsidR="006B5450">
        <w:t xml:space="preserve"> </w:t>
      </w:r>
      <w:r>
        <w:t>can also</w:t>
      </w:r>
      <w:r w:rsidR="006B5450">
        <w:t xml:space="preserve"> facilitate commercial negotiations with </w:t>
      </w:r>
      <w:r>
        <w:t>the life sciences industry</w:t>
      </w:r>
      <w:r w:rsidR="000F249A">
        <w:t>.</w:t>
      </w:r>
    </w:p>
    <w:p w14:paraId="3DF37643" w14:textId="2A67D2DF" w:rsidR="00443081" w:rsidRDefault="006B5450" w:rsidP="006B5450">
      <w:pPr>
        <w:pStyle w:val="Bullets"/>
      </w:pPr>
      <w:r>
        <w:t>It is understood that history of previous decisions in Brazil showed that the incremental cost-effectiveness threshold associated with recommended technologies did not exceed the value of 1 x GDP --&gt; CONITEC should me mindful of perverse incentives</w:t>
      </w:r>
      <w:r w:rsidR="002F4974">
        <w:t xml:space="preserve"> that may be created as a result</w:t>
      </w:r>
      <w:r w:rsidR="000F249A">
        <w:t xml:space="preserve"> of introducing a threshold</w:t>
      </w:r>
      <w:r w:rsidR="002F4974">
        <w:t>, with companies trying to price their technologies as close to the threshold as possible. This may mean that some technologies which may have had a lower price would try to increase so it is closer to the threshold.</w:t>
      </w:r>
    </w:p>
    <w:p w14:paraId="35CECAAC" w14:textId="7AC09B4B" w:rsidR="002F4974" w:rsidRDefault="002F4974" w:rsidP="006B5450">
      <w:pPr>
        <w:pStyle w:val="Bullets"/>
      </w:pPr>
      <w:r>
        <w:t xml:space="preserve">Having cost-effectiveness thresholds related to GDP was originally proposed by WHO, but not with the intent to guide reimbursement decision-making. WHO has advised against having GDP-based cost effectiveness thresholds to guide reimbursement decisions. In that sense, </w:t>
      </w:r>
      <w:r w:rsidR="000F249A">
        <w:t xml:space="preserve">specifying </w:t>
      </w:r>
      <w:r>
        <w:t>a particular numerical threshold</w:t>
      </w:r>
      <w:r w:rsidR="000F249A">
        <w:t xml:space="preserve"> may be appropriate</w:t>
      </w:r>
      <w:r>
        <w:t>, and given the aim for flexibility specified in the report,</w:t>
      </w:r>
      <w:r w:rsidR="000F249A">
        <w:t xml:space="preserve"> specifying </w:t>
      </w:r>
      <w:r w:rsidR="006A7BB8">
        <w:t>a range of what is considered cost-effective/good use of SUS resources</w:t>
      </w:r>
      <w:r w:rsidR="000F249A">
        <w:t xml:space="preserve"> could be an approach to consider</w:t>
      </w:r>
      <w:r w:rsidR="006A7BB8">
        <w:t>.</w:t>
      </w:r>
      <w:r w:rsidR="00BF313C">
        <w:t xml:space="preserve"> Ideally, this threshold should be based on </w:t>
      </w:r>
      <w:r w:rsidR="000F249A">
        <w:t xml:space="preserve">empirical research (see </w:t>
      </w:r>
      <w:r w:rsidR="000F249A" w:rsidRPr="000F249A">
        <w:t xml:space="preserve">Woods, B., Revill, P., Sculpher, M., &amp; Claxton, K. (2016). Country-Level Cost-Effectiveness Thresholds: Initial Estimates and the Need for Further Research. Value in health : the journal of the International Society for Pharmacoeconomics and Outcomes Research, 19(8), 929–935. </w:t>
      </w:r>
      <w:hyperlink r:id="rId7" w:history="1">
        <w:r w:rsidR="000F249A" w:rsidRPr="00233156">
          <w:rPr>
            <w:rStyle w:val="Hyperlink"/>
            <w:lang w:val="es-ES"/>
          </w:rPr>
          <w:t>https://doi.org/10.1016/j.jval.2016.02.017</w:t>
        </w:r>
      </w:hyperlink>
      <w:r w:rsidR="000F249A" w:rsidRPr="00233156">
        <w:rPr>
          <w:lang w:val="es-ES"/>
        </w:rPr>
        <w:t xml:space="preserve">; </w:t>
      </w:r>
      <w:r w:rsidR="00233156" w:rsidRPr="00233156">
        <w:rPr>
          <w:lang w:val="es-ES"/>
        </w:rPr>
        <w:t xml:space="preserve">Espinosa, O., Rodríguez-Lesmes, P., Orozco, L., Ávila, D., Enríquez, H., Romano, G., &amp; Ceballos, M. (2022). </w:t>
      </w:r>
      <w:r w:rsidR="00233156" w:rsidRPr="00233156">
        <w:t xml:space="preserve">Estimating cost-effectiveness thresholds under a managed healthcare system: experiences from Colombia. </w:t>
      </w:r>
      <w:r w:rsidR="00233156" w:rsidRPr="00233156">
        <w:rPr>
          <w:lang w:val="es-ES"/>
        </w:rPr>
        <w:t xml:space="preserve">Health policy and planning, 37(3), 359–368. </w:t>
      </w:r>
      <w:hyperlink r:id="rId8" w:history="1">
        <w:r w:rsidR="00233156" w:rsidRPr="00954C77">
          <w:rPr>
            <w:rStyle w:val="Hyperlink"/>
            <w:lang w:val="es-ES"/>
          </w:rPr>
          <w:t>https://doi.org/10.1093/heapol/czab146</w:t>
        </w:r>
      </w:hyperlink>
      <w:r w:rsidR="00CA058A">
        <w:rPr>
          <w:lang w:val="es-ES"/>
        </w:rPr>
        <w:t>)</w:t>
      </w:r>
      <w:r w:rsidR="00233156">
        <w:rPr>
          <w:lang w:val="es-ES"/>
        </w:rPr>
        <w:t xml:space="preserve"> </w:t>
      </w:r>
    </w:p>
    <w:p w14:paraId="519D5969" w14:textId="6DC8A559" w:rsidR="006A7BB8" w:rsidRDefault="003F332E" w:rsidP="006B5450">
      <w:pPr>
        <w:pStyle w:val="Bullets"/>
      </w:pPr>
      <w:r>
        <w:lastRenderedPageBreak/>
        <w:t>It is</w:t>
      </w:r>
      <w:r w:rsidR="001A7328">
        <w:t xml:space="preserve"> </w:t>
      </w:r>
      <w:r w:rsidR="00A318D6">
        <w:t>encouraging</w:t>
      </w:r>
      <w:r w:rsidR="001A7328">
        <w:t xml:space="preserve"> to see in the report that cost-effectiveness would not be the sole basis for decision-making. However, it would be very important to be clear and transparent on when and how other factors may influence the decision, particularly when the ICER associated with a particular technology is associated with the top range of the threshold. It will also be important to explain that recommending technologies above the threshold would mean that less health will be generated for the overall population in Brazil.</w:t>
      </w:r>
    </w:p>
    <w:p w14:paraId="70F70922" w14:textId="2A3FC7EA" w:rsidR="001A7328" w:rsidRDefault="001A7328" w:rsidP="006B5450">
      <w:pPr>
        <w:pStyle w:val="Bullets"/>
      </w:pPr>
      <w:r>
        <w:t xml:space="preserve">Therefore, it will be important that the application of any other factors or modifiers, as proposed in the report, is based on </w:t>
      </w:r>
      <w:r w:rsidRPr="001A7328">
        <w:t>an ethical and moral rationale to value the health benefits gained with these technologies more than those gained by technologies not meeting decision-making modifiers.</w:t>
      </w:r>
    </w:p>
    <w:p w14:paraId="5026CD46" w14:textId="1CC3E514" w:rsidR="003676BF" w:rsidRDefault="003676BF" w:rsidP="006B5450">
      <w:pPr>
        <w:pStyle w:val="Bullets"/>
      </w:pPr>
      <w:r>
        <w:t>It is also important that these modifiers are applied as the exception rather than the norm, as otherwise the reductions in overall health because of accepting higher ICERs</w:t>
      </w:r>
      <w:r w:rsidR="00B30C65">
        <w:t xml:space="preserve"> will be greater and the main cost effectiveness threshold would become futile, impacting substantially in the SUS resources available and in the health outcomes of the population in Brazil.</w:t>
      </w:r>
    </w:p>
    <w:p w14:paraId="379001D3" w14:textId="32B57C8C" w:rsidR="002D01FC" w:rsidRDefault="002D01FC" w:rsidP="006B5450">
      <w:pPr>
        <w:pStyle w:val="Bullets"/>
      </w:pPr>
      <w:r>
        <w:t>Furthermore, it will be important that CONITEC understand</w:t>
      </w:r>
      <w:r w:rsidR="004A09F8">
        <w:t xml:space="preserve">s </w:t>
      </w:r>
      <w:r>
        <w:t>and test</w:t>
      </w:r>
      <w:r w:rsidR="004A09F8">
        <w:t>s</w:t>
      </w:r>
      <w:r>
        <w:t xml:space="preserve"> the potential impact </w:t>
      </w:r>
      <w:r w:rsidR="00144999">
        <w:t>of different definitions before specifying them, and that these are explicitly described afterwards as part of the methods manual so it can guide stakeholders’ submissions. In particular, it would be important that the following concepts and the potential impact on the threshold</w:t>
      </w:r>
      <w:r w:rsidR="003676BF">
        <w:t xml:space="preserve"> is explored:</w:t>
      </w:r>
    </w:p>
    <w:p w14:paraId="308F0B5D" w14:textId="2ED40B38" w:rsidR="003676BF" w:rsidRDefault="002F7E28" w:rsidP="003676BF">
      <w:pPr>
        <w:pStyle w:val="Bullets"/>
        <w:numPr>
          <w:ilvl w:val="1"/>
          <w:numId w:val="2"/>
        </w:numPr>
      </w:pPr>
      <w:r>
        <w:t xml:space="preserve"> Disease affecting children and implying important reductions in adjusted survival</w:t>
      </w:r>
      <w:r w:rsidR="003676BF">
        <w:t xml:space="preserve"> </w:t>
      </w:r>
      <w:r>
        <w:t>for quality</w:t>
      </w:r>
      <w:r w:rsidR="003676BF">
        <w:t xml:space="preserve"> --&gt; what important reductions means</w:t>
      </w:r>
    </w:p>
    <w:p w14:paraId="39122167" w14:textId="77777777" w:rsidR="003676BF" w:rsidRDefault="002F7E28" w:rsidP="003676BF">
      <w:pPr>
        <w:pStyle w:val="Bullets"/>
        <w:numPr>
          <w:ilvl w:val="1"/>
          <w:numId w:val="2"/>
        </w:numPr>
      </w:pPr>
      <w:r>
        <w:t>Severe disease with significant reductions in quality-adjusted survival;</w:t>
      </w:r>
      <w:r w:rsidR="003676BF">
        <w:t xml:space="preserve"> ---&gt; definition of severity and how severity would be measured</w:t>
      </w:r>
    </w:p>
    <w:p w14:paraId="390DE1D0" w14:textId="22A547E1" w:rsidR="003676BF" w:rsidRDefault="002F7E28" w:rsidP="003676BF">
      <w:pPr>
        <w:pStyle w:val="Bullets"/>
        <w:numPr>
          <w:ilvl w:val="1"/>
          <w:numId w:val="2"/>
        </w:numPr>
      </w:pPr>
      <w:r>
        <w:t>Rare disease with significant reductions in quality-adjusted survival;</w:t>
      </w:r>
      <w:r w:rsidR="003676BF">
        <w:t>--&gt; what is the definition of ra</w:t>
      </w:r>
      <w:r w:rsidR="00B30C65">
        <w:t>rity, what</w:t>
      </w:r>
      <w:r w:rsidR="003676BF">
        <w:t xml:space="preserve"> significant reductions means</w:t>
      </w:r>
    </w:p>
    <w:p w14:paraId="76151B62" w14:textId="37130D69" w:rsidR="002F7E28" w:rsidRDefault="002F7E28" w:rsidP="003676BF">
      <w:pPr>
        <w:pStyle w:val="Bullets"/>
        <w:numPr>
          <w:ilvl w:val="1"/>
          <w:numId w:val="2"/>
        </w:numPr>
      </w:pPr>
      <w:r>
        <w:t>Endemic disease in low-income populations with few therapeutic alternatives</w:t>
      </w:r>
      <w:r w:rsidR="003676BF">
        <w:t xml:space="preserve"> </w:t>
      </w:r>
      <w:r>
        <w:t>available.</w:t>
      </w:r>
    </w:p>
    <w:p w14:paraId="22C883AD" w14:textId="51834E07" w:rsidR="002F7E28" w:rsidRDefault="003676BF" w:rsidP="00B30C65">
      <w:pPr>
        <w:pStyle w:val="Bullets"/>
      </w:pPr>
      <w:r>
        <w:t>It is understood that</w:t>
      </w:r>
      <w:r w:rsidR="002F7E28">
        <w:t xml:space="preserve"> </w:t>
      </w:r>
      <w:r>
        <w:t>d</w:t>
      </w:r>
      <w:r w:rsidR="002F7E28">
        <w:t>iscussions related to advanced technologies (gene or curative therapies) or</w:t>
      </w:r>
      <w:r w:rsidR="00B30C65" w:rsidRPr="00B30C65">
        <w:t xml:space="preserve"> </w:t>
      </w:r>
      <w:r w:rsidR="00B30C65">
        <w:t>indicated in ultra-rare diseases (up to 1 case in 50,000 people) will be based on specific criteria, to be defined later by CONITEC. The same principle of caution applies here</w:t>
      </w:r>
      <w:r w:rsidR="002F0D47">
        <w:t xml:space="preserve">, and the need to consider the impact of applying different cost-effectiveness thresholds and the need to have a rationale based on ethical, moral and societal </w:t>
      </w:r>
      <w:r w:rsidR="00A3284B">
        <w:t>and/</w:t>
      </w:r>
      <w:r w:rsidR="002F0D47">
        <w:t>or health system’s values.</w:t>
      </w:r>
    </w:p>
    <w:p w14:paraId="513F9D1D" w14:textId="2748B36B" w:rsidR="001A7328" w:rsidRPr="00181A4A" w:rsidRDefault="002F0D47" w:rsidP="006B5450">
      <w:pPr>
        <w:pStyle w:val="Bullets"/>
      </w:pPr>
      <w:r>
        <w:t xml:space="preserve">Finally, it will be important to specify if negative modifiers could also be applied. That is, for example, circumstances in which CONITEC may </w:t>
      </w:r>
      <w:r>
        <w:lastRenderedPageBreak/>
        <w:t>consider not recommending a technology despite having an ICER below the threshold. This may occur, for example, in situations of very high uncertainty on the clinical and cost-effectiveness estimates, health inequalities or other considerations.</w:t>
      </w:r>
      <w:r w:rsidR="00AC0A1D">
        <w:t xml:space="preserve"> If this is considered of relevance, then this should also be specified in the HTA methods manual and decision-making framework for CONITEC in Brazil.</w:t>
      </w:r>
    </w:p>
    <w:sectPr w:rsidR="001A7328" w:rsidRPr="00181A4A" w:rsidSect="001714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CB3B0" w14:textId="77777777" w:rsidR="006B5450" w:rsidRDefault="006B5450" w:rsidP="00446BEE">
      <w:r>
        <w:separator/>
      </w:r>
    </w:p>
  </w:endnote>
  <w:endnote w:type="continuationSeparator" w:id="0">
    <w:p w14:paraId="0C3D9548" w14:textId="77777777" w:rsidR="006B5450" w:rsidRDefault="006B545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10B0" w14:textId="77777777" w:rsidR="00AD5990" w:rsidRDefault="00AD5990">
    <w:pPr>
      <w:pStyle w:val="Footer"/>
    </w:pPr>
    <w:r>
      <w:t>[Insert footer here]</w:t>
    </w:r>
    <w:r>
      <w:tab/>
    </w:r>
    <w:r>
      <w:tab/>
    </w:r>
    <w:r>
      <w:fldChar w:fldCharType="begin"/>
    </w:r>
    <w:r>
      <w:instrText xml:space="preserve"> PAGE </w:instrText>
    </w:r>
    <w:r>
      <w:fldChar w:fldCharType="separate"/>
    </w:r>
    <w:r>
      <w:rPr>
        <w:noProof/>
      </w:rPr>
      <w:t>1</w:t>
    </w:r>
    <w:r>
      <w:fldChar w:fldCharType="end"/>
    </w:r>
    <w:r>
      <w:t xml:space="preserve"> of </w:t>
    </w:r>
    <w:r w:rsidR="00A3284B">
      <w:fldChar w:fldCharType="begin"/>
    </w:r>
    <w:r w:rsidR="00A3284B">
      <w:instrText xml:space="preserve"> NUMPAGES  </w:instrText>
    </w:r>
    <w:r w:rsidR="00A3284B">
      <w:fldChar w:fldCharType="separate"/>
    </w:r>
    <w:r>
      <w:rPr>
        <w:noProof/>
      </w:rPr>
      <w:t>1</w:t>
    </w:r>
    <w:r w:rsidR="00A3284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CA20" w14:textId="77777777" w:rsidR="006B5450" w:rsidRDefault="006B5450" w:rsidP="00446BEE">
      <w:r>
        <w:separator/>
      </w:r>
    </w:p>
  </w:footnote>
  <w:footnote w:type="continuationSeparator" w:id="0">
    <w:p w14:paraId="7E2149B2" w14:textId="77777777" w:rsidR="006B5450" w:rsidRDefault="006B5450"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149272">
    <w:abstractNumId w:val="12"/>
  </w:num>
  <w:num w:numId="2" w16cid:durableId="737899625">
    <w:abstractNumId w:val="13"/>
  </w:num>
  <w:num w:numId="3" w16cid:durableId="2091656260">
    <w:abstractNumId w:val="13"/>
    <w:lvlOverride w:ilvl="0">
      <w:startOverride w:val="1"/>
    </w:lvlOverride>
  </w:num>
  <w:num w:numId="4" w16cid:durableId="406154219">
    <w:abstractNumId w:val="13"/>
    <w:lvlOverride w:ilvl="0">
      <w:startOverride w:val="1"/>
    </w:lvlOverride>
  </w:num>
  <w:num w:numId="5" w16cid:durableId="2137019364">
    <w:abstractNumId w:val="13"/>
    <w:lvlOverride w:ilvl="0">
      <w:startOverride w:val="1"/>
    </w:lvlOverride>
  </w:num>
  <w:num w:numId="6" w16cid:durableId="1409962369">
    <w:abstractNumId w:val="13"/>
    <w:lvlOverride w:ilvl="0">
      <w:startOverride w:val="1"/>
    </w:lvlOverride>
  </w:num>
  <w:num w:numId="7" w16cid:durableId="1375227248">
    <w:abstractNumId w:val="13"/>
    <w:lvlOverride w:ilvl="0">
      <w:startOverride w:val="1"/>
    </w:lvlOverride>
  </w:num>
  <w:num w:numId="8" w16cid:durableId="390814921">
    <w:abstractNumId w:val="9"/>
  </w:num>
  <w:num w:numId="9" w16cid:durableId="810319655">
    <w:abstractNumId w:val="7"/>
  </w:num>
  <w:num w:numId="10" w16cid:durableId="481238839">
    <w:abstractNumId w:val="6"/>
  </w:num>
  <w:num w:numId="11" w16cid:durableId="193075387">
    <w:abstractNumId w:val="5"/>
  </w:num>
  <w:num w:numId="12" w16cid:durableId="1739356344">
    <w:abstractNumId w:val="4"/>
  </w:num>
  <w:num w:numId="13" w16cid:durableId="1014766300">
    <w:abstractNumId w:val="8"/>
  </w:num>
  <w:num w:numId="14" w16cid:durableId="1070227938">
    <w:abstractNumId w:val="3"/>
  </w:num>
  <w:num w:numId="15" w16cid:durableId="737097269">
    <w:abstractNumId w:val="2"/>
  </w:num>
  <w:num w:numId="16" w16cid:durableId="1073772648">
    <w:abstractNumId w:val="1"/>
  </w:num>
  <w:num w:numId="17" w16cid:durableId="1896238925">
    <w:abstractNumId w:val="0"/>
  </w:num>
  <w:num w:numId="18" w16cid:durableId="133835446">
    <w:abstractNumId w:val="11"/>
  </w:num>
  <w:num w:numId="19" w16cid:durableId="156655989">
    <w:abstractNumId w:val="11"/>
    <w:lvlOverride w:ilvl="0">
      <w:startOverride w:val="1"/>
    </w:lvlOverride>
  </w:num>
  <w:num w:numId="20" w16cid:durableId="950941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50"/>
    <w:rsid w:val="000053F8"/>
    <w:rsid w:val="00024D0A"/>
    <w:rsid w:val="00046F1C"/>
    <w:rsid w:val="000472DC"/>
    <w:rsid w:val="00070065"/>
    <w:rsid w:val="000A4FEE"/>
    <w:rsid w:val="000B5939"/>
    <w:rsid w:val="000F249A"/>
    <w:rsid w:val="00111CCE"/>
    <w:rsid w:val="001134E7"/>
    <w:rsid w:val="00144999"/>
    <w:rsid w:val="0017149E"/>
    <w:rsid w:val="0017169E"/>
    <w:rsid w:val="00181A4A"/>
    <w:rsid w:val="001A7328"/>
    <w:rsid w:val="001B0EE9"/>
    <w:rsid w:val="001B65B3"/>
    <w:rsid w:val="002029A6"/>
    <w:rsid w:val="00233156"/>
    <w:rsid w:val="002408EA"/>
    <w:rsid w:val="002819D7"/>
    <w:rsid w:val="002A13B4"/>
    <w:rsid w:val="002C1A7E"/>
    <w:rsid w:val="002D01FC"/>
    <w:rsid w:val="002D3376"/>
    <w:rsid w:val="002F0D47"/>
    <w:rsid w:val="002F4974"/>
    <w:rsid w:val="002F7E28"/>
    <w:rsid w:val="00311ED0"/>
    <w:rsid w:val="003648C5"/>
    <w:rsid w:val="003676BF"/>
    <w:rsid w:val="003722FA"/>
    <w:rsid w:val="003C7AAF"/>
    <w:rsid w:val="003F332E"/>
    <w:rsid w:val="004075B6"/>
    <w:rsid w:val="00420952"/>
    <w:rsid w:val="00433EFF"/>
    <w:rsid w:val="00443081"/>
    <w:rsid w:val="00446BEE"/>
    <w:rsid w:val="004A09F8"/>
    <w:rsid w:val="005025A1"/>
    <w:rsid w:val="005C1006"/>
    <w:rsid w:val="005E70AD"/>
    <w:rsid w:val="006921E1"/>
    <w:rsid w:val="006A7BB8"/>
    <w:rsid w:val="006B5450"/>
    <w:rsid w:val="006F4B25"/>
    <w:rsid w:val="006F6496"/>
    <w:rsid w:val="00736348"/>
    <w:rsid w:val="00760908"/>
    <w:rsid w:val="007F238D"/>
    <w:rsid w:val="00861B92"/>
    <w:rsid w:val="008814FB"/>
    <w:rsid w:val="008F5E30"/>
    <w:rsid w:val="00914D7F"/>
    <w:rsid w:val="009E680B"/>
    <w:rsid w:val="00A15A1F"/>
    <w:rsid w:val="00A318D6"/>
    <w:rsid w:val="00A3284B"/>
    <w:rsid w:val="00A3325A"/>
    <w:rsid w:val="00A43013"/>
    <w:rsid w:val="00AC0A1D"/>
    <w:rsid w:val="00AD5990"/>
    <w:rsid w:val="00AF108A"/>
    <w:rsid w:val="00B02E55"/>
    <w:rsid w:val="00B036C1"/>
    <w:rsid w:val="00B30C65"/>
    <w:rsid w:val="00B5431F"/>
    <w:rsid w:val="00BF313C"/>
    <w:rsid w:val="00BF7FE0"/>
    <w:rsid w:val="00C81104"/>
    <w:rsid w:val="00C96411"/>
    <w:rsid w:val="00CA058A"/>
    <w:rsid w:val="00CB5671"/>
    <w:rsid w:val="00CF58B7"/>
    <w:rsid w:val="00D351C1"/>
    <w:rsid w:val="00D35EFB"/>
    <w:rsid w:val="00D504B3"/>
    <w:rsid w:val="00D854C4"/>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BBFF9"/>
  <w15:chartTrackingRefBased/>
  <w15:docId w15:val="{E67912B7-4A0A-4572-8CD6-6544FAA9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0F249A"/>
    <w:rPr>
      <w:color w:val="0000FF" w:themeColor="hyperlink"/>
      <w:u w:val="single"/>
    </w:rPr>
  </w:style>
  <w:style w:type="character" w:styleId="UnresolvedMention">
    <w:name w:val="Unresolved Mention"/>
    <w:basedOn w:val="DefaultParagraphFont"/>
    <w:uiPriority w:val="99"/>
    <w:semiHidden/>
    <w:unhideWhenUsed/>
    <w:rsid w:val="000F2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heapol/czab146" TargetMode="External"/><Relationship Id="rId3" Type="http://schemas.openxmlformats.org/officeDocument/2006/relationships/settings" Target="settings.xml"/><Relationship Id="rId7" Type="http://schemas.openxmlformats.org/officeDocument/2006/relationships/hyperlink" Target="https://doi.org/10.1016/j.jval.2016.0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861</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Pinilla-Dominguez</dc:creator>
  <cp:keywords/>
  <dc:description/>
  <cp:lastModifiedBy>Pilar Pinilla-Dominguez</cp:lastModifiedBy>
  <cp:revision>8</cp:revision>
  <dcterms:created xsi:type="dcterms:W3CDTF">2022-07-28T15:25:00Z</dcterms:created>
  <dcterms:modified xsi:type="dcterms:W3CDTF">2022-07-29T09:13:00Z</dcterms:modified>
</cp:coreProperties>
</file>