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709"/>
        <w:jc w:val="center"/>
        <w:rPr>
          <w:rFonts w:ascii="Calibri" w:cs="Calibri" w:eastAsia="Calibri" w:hAnsi="Calibri"/>
          <w:b w:val="1"/>
          <w:bCs w:val="1"/>
          <w:color w:val="0066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b w:val="1"/>
          <w:bCs w:val="1"/>
          <w:color w:val="006699"/>
          <w:sz w:val="40"/>
          <w:szCs w:val="40"/>
          <w:rtl w:val="0"/>
        </w:rPr>
        <w:t xml:space="preserve">GUIA DE ELABORAÇÃO DE ORÇAMENTO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b w:val="1"/>
          <w:bCs w:val="1"/>
          <w:color w:val="006699"/>
          <w:sz w:val="40"/>
          <w:szCs w:val="40"/>
          <w:rtl w:val="0"/>
        </w:rPr>
        <w:t xml:space="preserve">CHAMADA PÚBLICA CONAB Nº 01/2026 – FUNDO AMAZÔNIA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b w:val="1"/>
          <w:bCs w:val="1"/>
          <w:color w:val="006699"/>
          <w:sz w:val="40"/>
          <w:szCs w:val="40"/>
          <w:rtl w:val="0"/>
        </w:rPr>
        <w:t xml:space="preserve">FLORESTAS E COMUNIDADES: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b w:val="1"/>
          <w:bCs w:val="1"/>
          <w:color w:val="006699"/>
          <w:sz w:val="40"/>
          <w:szCs w:val="40"/>
          <w:rtl w:val="0"/>
        </w:rPr>
        <w:t xml:space="preserve">AMAZÔNIA VIVA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4" w:right="566" w:firstLine="0"/>
        <w:jc w:val="center"/>
        <w:rPr>
          <w:b w:val="1"/>
          <w:bCs w:val="1"/>
          <w:color w:val="006699"/>
          <w:sz w:val="22"/>
          <w:szCs w:val="22"/>
        </w:rPr>
      </w:pPr>
      <w:r w:rsidDel="00000000" w:rsidR="00000000" w:rsidRPr="00000000">
        <w:rPr>
          <w:b w:val="1"/>
          <w:bCs w:val="1"/>
          <w:color w:val="006699"/>
          <w:sz w:val="22"/>
          <w:szCs w:val="22"/>
          <w:rtl w:val="0"/>
        </w:rPr>
        <w:t xml:space="preserve">2025</w:t>
      </w:r>
    </w:p>
    <w:p w:rsidR="00000000" w:rsidDel="00000000" w:rsidP="00000000" w:rsidRDefault="00000000" w:rsidRPr="00000000" w14:paraId="0000001B">
      <w:pPr>
        <w:spacing w:after="20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3"/>
        </w:numPr>
        <w:spacing w:before="240" w:lineRule="auto"/>
        <w:ind w:left="357" w:hanging="357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Apresentação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Este documento tem como objetivo orientar a elaboração do orçamento apresentado por organizações dos povos indígenas, povos e comunidades tradicionais e agricultores familiares (PIPCTAFs) para a Chamada Pública 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tl w:val="0"/>
        </w:rPr>
        <w:t xml:space="preserve">/202</w:t>
      </w:r>
      <w:r w:rsidDel="00000000" w:rsidR="00000000" w:rsidRPr="00000000">
        <w:rPr>
          <w:rtl w:val="0"/>
        </w:rPr>
        <w:t xml:space="preserve">6 - Florestas e Comunidades: Amazônia Viva.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 orçamento da proposta deve ser elaborado na planilha orçamentária disponível na página da CONAB, e enviado à Companhia, juntamente com os demais documentos necessários detalhados na referida Chamada por meio do sistema de inscrição. Na página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https://www.gov.br/conab/pt-br/atuacao/paa/amazonia-viva/amazonia-viva</w:t>
        </w:r>
      </w:hyperlink>
      <w:r w:rsidDel="00000000" w:rsidR="00000000" w:rsidRPr="00000000">
        <w:rPr>
          <w:rtl w:val="0"/>
        </w:rPr>
        <w:t xml:space="preserve"> estão disponíveis o modelo de planilha e o link para inscrição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3"/>
        </w:numPr>
        <w:spacing w:before="240" w:lineRule="auto"/>
        <w:ind w:left="357" w:hanging="357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Estrutura do orçamento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 orçamento do projeto deve ser elaborado a partir de </w:t>
      </w:r>
      <w:r w:rsidDel="00000000" w:rsidR="00000000" w:rsidRPr="00000000">
        <w:rPr>
          <w:b w:val="1"/>
          <w:bCs w:val="1"/>
          <w:rtl w:val="0"/>
        </w:rPr>
        <w:t xml:space="preserve">4 Eixos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a) Fomento produtivo</w:t>
      </w:r>
      <w:r w:rsidDel="00000000" w:rsidR="00000000" w:rsidRPr="00000000">
        <w:rPr>
          <w:rtl w:val="0"/>
        </w:rPr>
        <w:t xml:space="preserve">: inclui itens de investimento como máquinas e equipamentos; obras e instalações civis; equipamentos para geração de energia elétrica renovável e sustentável; serviços técnicos especializados de engenharia, gestão ambiental e outros necessários à regularização ambiental e sanitária do projeto; serviços de marketing, publicidade propaganda e outros necessários ao aprimoramento da identidade visual dos produtos, rótulos e a estratégias para ampliação de acesso a mercados; e outros itens de investimento e custeio previstos.      </w:t>
      </w:r>
      <w:r w:rsidDel="00000000" w:rsidR="00000000" w:rsidRPr="00000000">
        <w:rPr>
          <w:i w:val="1"/>
          <w:iCs w:val="1"/>
          <w:rtl w:val="0"/>
        </w:rPr>
        <w:t xml:space="preserve">As contratações devem ser realizadas via prestadores de serviços (CNPJ ou pessoa Física) e bolsas de extensão, pesquisa ou estágio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b) Pesquisa científica e tecnológica para inovação e sustentabilidade</w:t>
      </w:r>
      <w:r w:rsidDel="00000000" w:rsidR="00000000" w:rsidRPr="00000000">
        <w:rPr>
          <w:rtl w:val="0"/>
        </w:rPr>
        <w:t xml:space="preserve"> contempla estudos aplicados e desenvolvimento de tecnologias que fortaleçam sistemas socioprodutivos dos PICTPAFs, estímulo a modelos econômicos sustentáveis para agregar valor, ampliar mercados e qualificar produtos; geração e disseminação de conhecimentos voltados à eficiência produtiva, gestão organizacional e conservação da biodiversidade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Não são permitidos os pagamentos de diárias a empregados e servidores públicos no exercício de sua função. </w:t>
      </w:r>
      <w:r w:rsidDel="00000000" w:rsidR="00000000" w:rsidRPr="00000000">
        <w:rPr>
          <w:i w:val="1"/>
          <w:iCs w:val="1"/>
          <w:rtl w:val="0"/>
        </w:rPr>
        <w:t xml:space="preserve">As bolsas de pesquisa serão pagas diretamente pela Organização selecionada aos pesquisadores envolvidos no projeto, conforme normas e valores do CNPq.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c) Assistência Técnica e Extensão Rural (ATER)</w:t>
      </w:r>
      <w:r w:rsidDel="00000000" w:rsidR="00000000" w:rsidRPr="00000000">
        <w:rPr>
          <w:rtl w:val="0"/>
        </w:rPr>
        <w:t xml:space="preserve">: inclui acompanhamento técnico contínuo às organizações amazônicas e demais beneficiários; apoio à estruturação socioprodutiva, com ênfase em gestão, comercialização e práticas produtivas sustentáveis; atividades de mobilização e animação do projeto junto às comunidades envolvidas.  As despesas de passagens, diárias e outros custos de atividades de campo direcionadas ao público-alvo do projeto, para adequado desenvolvimento das atividades, deve ser registrado neste Eixo. As despesas de passagens e diárias da equipe de ATER devem preferencialmente estar inclusas no valor global da prestação do serviço. </w:t>
      </w:r>
      <w:r w:rsidDel="00000000" w:rsidR="00000000" w:rsidRPr="00000000">
        <w:rPr>
          <w:i w:val="1"/>
          <w:iCs w:val="1"/>
          <w:rtl w:val="0"/>
        </w:rPr>
        <w:t xml:space="preserve">As contratações devem ser realizadas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i w:val="1"/>
          <w:iCs w:val="1"/>
          <w:rtl w:val="0"/>
        </w:rPr>
        <w:t xml:space="preserve">via prestadores de serviços (CNPJ ou Pessoa Física) e bolsas de extensão, pesquisa ou estágio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d) Gestão e Comunicação: </w:t>
      </w:r>
      <w:r w:rsidDel="00000000" w:rsidR="00000000" w:rsidRPr="00000000">
        <w:rPr>
          <w:rtl w:val="0"/>
        </w:rPr>
        <w:t xml:space="preserve">compreendem a gestão e coordenação das ações do projeto, o que inclui atividades administrativo-financeiras e de prestação de contas a CONAB, coordenação geral, contratação de auditorias, serviços de contabilidade, assessoria jurídica, despesas com material de escritório, bem como equipamentos e insumos de apoio necessários à gestão do projeto dirigidos à organização executora.  </w:t>
      </w:r>
      <w:r w:rsidDel="00000000" w:rsidR="00000000" w:rsidRPr="00000000">
        <w:rPr>
          <w:i w:val="1"/>
          <w:iCs w:val="1"/>
          <w:rtl w:val="0"/>
        </w:rPr>
        <w:t xml:space="preserve">As contratações podem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i w:val="1"/>
          <w:iCs w:val="1"/>
          <w:rtl w:val="0"/>
        </w:rPr>
        <w:t xml:space="preserve">em ser realizadas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i w:val="1"/>
          <w:iCs w:val="1"/>
          <w:rtl w:val="0"/>
        </w:rPr>
        <w:t xml:space="preserve">via prestadores de serviços (CNPJ ou Pessoa Física) e bolsas de extensão, pesquisa ou estágio.  </w:t>
      </w:r>
      <w:r w:rsidDel="00000000" w:rsidR="00000000" w:rsidRPr="00000000">
        <w:rPr>
          <w:rtl w:val="0"/>
        </w:rPr>
        <w:t xml:space="preserve">Incluem também as atividades de comunicação e divulgação do projeto e seus resultados. </w:t>
      </w:r>
      <w:r w:rsidDel="00000000" w:rsidR="00000000" w:rsidRPr="00000000">
        <w:rPr>
          <w:i w:val="1"/>
          <w:iCs w:val="1"/>
          <w:rtl w:val="0"/>
        </w:rPr>
        <w:t xml:space="preserve">As contratações devem ser realizadas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i w:val="1"/>
          <w:iCs w:val="1"/>
          <w:rtl w:val="0"/>
        </w:rPr>
        <w:t xml:space="preserve">via prestadores de serviços (CNPJ ou Pessoa Física) e bolsas de extensão, pesquisa ou estágio.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Apenas o eixo </w:t>
      </w:r>
      <w:r w:rsidDel="00000000" w:rsidR="00000000" w:rsidRPr="00000000">
        <w:rPr>
          <w:b w:val="1"/>
          <w:bCs w:val="1"/>
          <w:rtl w:val="0"/>
        </w:rPr>
        <w:t xml:space="preserve">Fomento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Produtivo 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b w:val="1"/>
          <w:bCs w:val="1"/>
          <w:rtl w:val="0"/>
        </w:rPr>
        <w:t xml:space="preserve"> obrigatório</w:t>
      </w:r>
      <w:r w:rsidDel="00000000" w:rsidR="00000000" w:rsidRPr="00000000">
        <w:rPr>
          <w:rtl w:val="0"/>
        </w:rPr>
        <w:t xml:space="preserve">, sendo todos os demais facultativos, a depender das necessidades da proponente.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 limites de utilização dos recursos do projeto em cada um dos eixos é de: </w:t>
      </w:r>
    </w:p>
    <w:p w:rsidR="00000000" w:rsidDel="00000000" w:rsidP="00000000" w:rsidRDefault="00000000" w:rsidRPr="00000000" w14:paraId="0000002C">
      <w:pPr>
        <w:shd w:fill="ffffff" w:val="clear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  <w:t xml:space="preserve">a) Fomento Produtivo - </w:t>
      </w:r>
      <w:r w:rsidDel="00000000" w:rsidR="00000000" w:rsidRPr="00000000">
        <w:rPr>
          <w:b w:val="1"/>
          <w:bCs w:val="1"/>
          <w:rtl w:val="0"/>
        </w:rPr>
        <w:t xml:space="preserve">no mínimo 50% do valor da proposta - podendo ser 100%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E">
      <w:pPr>
        <w:shd w:fill="ffffff" w:val="clear"/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  <w:t xml:space="preserve">b) Assistência Técnica e Extensão Rural e Pesquisa científica e tecnológica para inovação e sustentabilidade - cumulativamente até 35% do valor da proposta, com no máximo 15% para Pesquisa Científica;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  <w:t xml:space="preserve">c) Gestão e Comunicação – até 15% do valor da proposta.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1">
      <w:pPr>
        <w:rPr/>
      </w:pPr>
      <w:bookmarkStart w:colFirst="0" w:colLast="0" w:name="_heading=h.mg93r7if771x" w:id="0"/>
      <w:bookmarkEnd w:id="0"/>
      <w:r w:rsidDel="00000000" w:rsidR="00000000" w:rsidRPr="00000000">
        <w:rPr>
          <w:rtl w:val="0"/>
        </w:rPr>
        <w:t xml:space="preserve">                    Cada Eixo é composto por um conjunto de atividades, cujos itens devem ser classificados dentre as seguintes categorias: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Presta</w:t>
      </w:r>
      <w:r w:rsidDel="00000000" w:rsidR="00000000" w:rsidRPr="00000000">
        <w:rPr>
          <w:rtl w:val="0"/>
        </w:rPr>
        <w:t xml:space="preserve">ção d</w:t>
      </w:r>
      <w:r w:rsidDel="00000000" w:rsidR="00000000" w:rsidRPr="00000000">
        <w:rPr>
          <w:color w:val="000000"/>
          <w:rtl w:val="0"/>
        </w:rPr>
        <w:t xml:space="preserve">e serviço de ATER (PSATER);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Consultoria e Prestação de Serviços Especializados (CPSE);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Serviços de Apoio (SA);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Obras Civis e Instalações (OCI);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Máquinas, Equipamentos e outros bens (M&amp;EQ);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Insumos (INS);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Logística (LOG);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Bolsas de pesquisa, extensão e estágio (BPEE)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Despesas Administrativas (ADM). 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t xml:space="preserve">Desta forma, o orçamento consolidado da proposta deve apresentar a seguinte estrutura:</w:t>
      </w:r>
    </w:p>
    <w:tbl>
      <w:tblPr>
        <w:tblStyle w:val="Table1"/>
        <w:tblW w:w="83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"/>
        <w:gridCol w:w="1149"/>
        <w:gridCol w:w="666"/>
        <w:gridCol w:w="712"/>
        <w:gridCol w:w="527"/>
        <w:gridCol w:w="650"/>
        <w:gridCol w:w="780"/>
        <w:gridCol w:w="650"/>
        <w:gridCol w:w="652"/>
        <w:gridCol w:w="962"/>
        <w:gridCol w:w="962"/>
        <w:tblGridChange w:id="0">
          <w:tblGrid>
            <w:gridCol w:w="650"/>
            <w:gridCol w:w="1149"/>
            <w:gridCol w:w="666"/>
            <w:gridCol w:w="712"/>
            <w:gridCol w:w="527"/>
            <w:gridCol w:w="650"/>
            <w:gridCol w:w="780"/>
            <w:gridCol w:w="650"/>
            <w:gridCol w:w="652"/>
            <w:gridCol w:w="962"/>
            <w:gridCol w:w="962"/>
          </w:tblGrid>
        </w:tblGridChange>
      </w:tblGrid>
      <w:tr>
        <w:trPr>
          <w:cantSplit w:val="1"/>
          <w:trHeight w:val="365" w:hRule="atLeast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03E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00b050" w:val="clear"/>
          </w:tcPr>
          <w:p w:rsidR="00000000" w:rsidDel="00000000" w:rsidP="00000000" w:rsidRDefault="00000000" w:rsidRPr="00000000" w14:paraId="0000003F">
            <w:pPr>
              <w:spacing w:before="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ORÇAMENTO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49">
            <w:pPr>
              <w:spacing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A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PSATER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B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CPSE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C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SA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D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OCI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M&amp;EQ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4F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INS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50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LOG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51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BPEE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53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ADM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54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shd w:fill="002060" w:val="clear"/>
          </w:tcPr>
          <w:p w:rsidR="00000000" w:rsidDel="00000000" w:rsidP="00000000" w:rsidRDefault="00000000" w:rsidRPr="00000000" w14:paraId="00000055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EIXO</w:t>
            </w:r>
          </w:p>
          <w:p w:rsidR="00000000" w:rsidDel="00000000" w:rsidP="00000000" w:rsidRDefault="00000000" w:rsidRPr="00000000" w14:paraId="00000056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FOMENTO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002060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002060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002060" w:val="clear"/>
          </w:tcPr>
          <w:p w:rsidR="00000000" w:rsidDel="00000000" w:rsidP="00000000" w:rsidRDefault="00000000" w:rsidRPr="00000000" w14:paraId="00000077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EIXO</w:t>
            </w:r>
          </w:p>
          <w:p w:rsidR="00000000" w:rsidDel="00000000" w:rsidP="00000000" w:rsidRDefault="00000000" w:rsidRPr="00000000" w14:paraId="00000078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ATER E PESQUISA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002060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002060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99">
            <w:pPr>
              <w:spacing w:before="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EIXO GESTÃO E COMUNICAÇÃO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A4">
            <w:pPr>
              <w:spacing w:before="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AF">
            <w:pPr>
              <w:spacing w:before="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numPr>
          <w:ilvl w:val="0"/>
          <w:numId w:val="3"/>
        </w:numPr>
        <w:ind w:left="36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categorias de custo</w:t>
      </w:r>
    </w:p>
    <w:p w:rsidR="00000000" w:rsidDel="00000000" w:rsidP="00000000" w:rsidRDefault="00000000" w:rsidRPr="00000000" w14:paraId="000000BC">
      <w:pPr>
        <w:spacing w:before="240" w:lineRule="auto"/>
        <w:rPr/>
      </w:pPr>
      <w:r w:rsidDel="00000000" w:rsidR="00000000" w:rsidRPr="00000000">
        <w:rPr>
          <w:rtl w:val="0"/>
        </w:rPr>
        <w:t xml:space="preserve">Esta seção apresenta a descrição da natureza dos itens de custo apoiáveis no âmbito de cada categoria, informando orientações específicas, valores de referência, vedações, pontos de atenção e exceções.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Os casos não previstos neste documento serão esclarecidos por meio do canal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https://www.gov.br/conab/pt-br/atuacao/paa/amazonia-viva/amazonia-viva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Orientações Gerais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 orçamento deve refletir as atividades diretamente relacionadas ao projeto. A memória de cálculo de todas as categorias orçamentárias deve ser apresentada na planilha orçamentária do projeto. </w:t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14" w:hanging="35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Além das demais vedações especificadas ao longo desse Guia,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não</w:t>
      </w:r>
      <w:r w:rsidDel="00000000" w:rsidR="00000000" w:rsidRPr="00000000">
        <w:rPr>
          <w:color w:val="000000"/>
          <w:rtl w:val="0"/>
        </w:rPr>
        <w:t xml:space="preserve"> são passíveis de apoio pelo Fundo Amazônia quaisquer investimentos ou gastos de qualquer natureza que se destinem a:</w:t>
      </w:r>
    </w:p>
    <w:p w:rsidR="00000000" w:rsidDel="00000000" w:rsidP="00000000" w:rsidRDefault="00000000" w:rsidRPr="00000000" w14:paraId="000000C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Aquisição de terrenos e imóveis. </w:t>
      </w:r>
    </w:p>
    <w:p w:rsidR="00000000" w:rsidDel="00000000" w:rsidP="00000000" w:rsidRDefault="00000000" w:rsidRPr="00000000" w14:paraId="000000C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pagamento de impostos ou tributos que não sejam inerentes e/ou parte integrante do custeio ou investimentos realizados pelo projeto. Essa restrição não se aplica a tributos relacionados às atividades dos projetos, como ICMS incluído nos preços dos produtos, encargos trabalhistas, INSS sobre o pagamento de serviços de pessoa física etc.;</w:t>
      </w:r>
    </w:p>
    <w:p w:rsidR="00000000" w:rsidDel="00000000" w:rsidP="00000000" w:rsidRDefault="00000000" w:rsidRPr="00000000" w14:paraId="000000C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Multas, juros de mora, taxas e impostos em atraso e penalidades de qualquer natureza.</w:t>
      </w:r>
    </w:p>
    <w:p w:rsidR="00000000" w:rsidDel="00000000" w:rsidP="00000000" w:rsidRDefault="00000000" w:rsidRPr="00000000" w14:paraId="000000C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pagamento de dívidas;</w:t>
      </w:r>
    </w:p>
    <w:p w:rsidR="00000000" w:rsidDel="00000000" w:rsidP="00000000" w:rsidRDefault="00000000" w:rsidRPr="00000000" w14:paraId="000000C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compra de armamentos;</w:t>
      </w:r>
    </w:p>
    <w:p w:rsidR="00000000" w:rsidDel="00000000" w:rsidP="00000000" w:rsidRDefault="00000000" w:rsidRPr="00000000" w14:paraId="000000C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aquisição de animais, à exceção de projetos envolvendo atividades de aquicultura, apicultura e meliponicultura.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44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Prestação de serviços em ATER (PSATER)</w:t>
      </w:r>
    </w:p>
    <w:p w:rsidR="00000000" w:rsidDel="00000000" w:rsidP="00000000" w:rsidRDefault="00000000" w:rsidRPr="00000000" w14:paraId="000000C9">
      <w:pPr>
        <w:shd w:fill="ffffff" w:val="clear"/>
        <w:spacing w:after="0" w:line="240" w:lineRule="auto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  <w:t xml:space="preserve">Despesas de contratação de Prestação de Serviços de Pessoa Jurídica em Assistência Técnica e Extensão Rural.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As contratações devem ser realizadas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via prestadores de serviços (CNPJ o</w:t>
      </w:r>
      <w:r w:rsidDel="00000000" w:rsidR="00000000" w:rsidRPr="00000000">
        <w:rPr>
          <w:i w:val="1"/>
          <w:iCs w:val="1"/>
          <w:rtl w:val="0"/>
        </w:rPr>
        <w:t xml:space="preserve">u Pessoa Física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bolsas de pesquisa e extensão.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Todas as despesas da equipe prestadora de serviço de ATER, tais como combustíveis, passagens, hospedagens, diárias, alimentação e demais despesas de viagem, devem ser previstas nesta categoria. Tais despesas devem, preferencialmente, estar incluídas no valor orçado para o serviço.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recursos humanos próprios contratados como pessoa jurídica.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before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despesas com serviços terceirizados e consultorias prestados por empregados ou dirigentes da postulante. 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despesas com serviços terceirizados e consultorias prestados por servidores, empregados públicos ou qualquer pessoa no exercício de função pública.</w:t>
      </w:r>
    </w:p>
    <w:p w:rsidR="00000000" w:rsidDel="00000000" w:rsidP="00000000" w:rsidRDefault="00000000" w:rsidRPr="00000000" w14:paraId="000000CE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Consultoria e Prestação de Serviços Especializados (CPSE)</w:t>
      </w:r>
    </w:p>
    <w:p w:rsidR="00000000" w:rsidDel="00000000" w:rsidP="00000000" w:rsidRDefault="00000000" w:rsidRPr="00000000" w14:paraId="000000CF">
      <w:pPr>
        <w:rPr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Despesas relacionadas a serviços técnicos especializados de engenharia, gestão ambiental e outros necessários à regularização ambiental e sanitária do projeto; serviços de marketing, publicidade e propaganda e outros necessários ao aprimoramento da identidade visual dos produtos, rótulos e a estratégias para ampliação de acesso a mercados. Não se enquadram nesta categoria a prestação de serviços de Assistência Técnica e Extensão Rural, incluídas no item 3.1.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As contratações </w:t>
      </w:r>
      <w:r w:rsidDel="00000000" w:rsidR="00000000" w:rsidRPr="00000000">
        <w:rPr>
          <w:i w:val="1"/>
          <w:iCs w:val="1"/>
          <w:rtl w:val="0"/>
        </w:rPr>
        <w:t xml:space="preserve">podem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ser realizadas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via prestadores de serviços (CNPJ ou Pessoa Física)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Todas as despesas relacionadas às consultorias e serviços técnicos especializados, tais como combustíveis, passagens, hospedagens, diárias, alimentação e demais despesas de viagem, devem ser previstas nesta categoria. Tais despesas devem, preferencialmente, estar incluídas no valor orçado para o serviço.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recursos humanos próprios contratados como pessoa jurídica.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before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despesas com serviços terceirizados e consultorias prestados por empregados ou dirigentes da postulante. 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despesas com serviços terceirizados e consultorias prestados por servidores, empregados públicos ou qualquer pessoa no exercício de função pública.</w:t>
      </w:r>
    </w:p>
    <w:p w:rsidR="00000000" w:rsidDel="00000000" w:rsidP="00000000" w:rsidRDefault="00000000" w:rsidRPr="00000000" w14:paraId="000000D4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Bolsas de pesquisa, extensão e estágio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São apoiáveis bolsas de pesquisa, extensão e estágio, desde que devidamente vinculadas aos Eixos de ATER, Pesquisa, Fomento e Gestão e Comunicação. </w:t>
      </w:r>
    </w:p>
    <w:p w:rsidR="00000000" w:rsidDel="00000000" w:rsidP="00000000" w:rsidRDefault="00000000" w:rsidRPr="00000000" w14:paraId="000000D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As bolsas serão pagas diretamente pela Organização selecionada aos pesquisadores envolvidos no projeto, conforme normas do CNPq.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Serviços de Apoio (SA)</w:t>
      </w:r>
    </w:p>
    <w:p w:rsidR="00000000" w:rsidDel="00000000" w:rsidP="00000000" w:rsidRDefault="00000000" w:rsidRPr="00000000" w14:paraId="000000D8">
      <w:pPr>
        <w:rPr/>
      </w:pPr>
      <w:bookmarkStart w:colFirst="0" w:colLast="0" w:name="_heading=h.3vju53smk6vo" w:id="1"/>
      <w:bookmarkEnd w:id="1"/>
      <w:r w:rsidDel="00000000" w:rsidR="00000000" w:rsidRPr="00000000">
        <w:rPr>
          <w:rtl w:val="0"/>
        </w:rPr>
        <w:t xml:space="preserve">Despesas com contratação de serviços de apoio, tais como: assessoria jurídica e contábil, serviços administrativos, serviços de realização de eventos, produção de materiais de comunicação do projeto, elaboração de identidade visual, banners, embalagens, folders, serviços de suporte e infraestrutura de tecnologia da informação etc. para o projeto.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As contratações </w:t>
      </w:r>
      <w:r w:rsidDel="00000000" w:rsidR="00000000" w:rsidRPr="00000000">
        <w:rPr>
          <w:i w:val="1"/>
          <w:iCs w:val="1"/>
          <w:rtl w:val="0"/>
        </w:rPr>
        <w:t xml:space="preserve">pod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em ser realizadas via prestadores de serviços (CNPJ ou Pessoa Física) e bolsas de extensão, pesquisa ou estágio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apoiáveis atividades relacionadas à comunicação institucional da organização. </w:t>
      </w:r>
    </w:p>
    <w:p w:rsidR="00000000" w:rsidDel="00000000" w:rsidP="00000000" w:rsidRDefault="00000000" w:rsidRPr="00000000" w14:paraId="000000D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/>
      </w:pPr>
      <w:r w:rsidDel="00000000" w:rsidR="00000000" w:rsidRPr="00000000">
        <w:rPr>
          <w:color w:val="000000"/>
          <w:rtl w:val="0"/>
        </w:rPr>
        <w:t xml:space="preserve">Todas as despesas relacionadas à prestação do serviço, tais como combustíveis, passagens, hospedagens, diárias, alimentação, e demais despesas de viagem devem ser previstas nesta categoria. Tais despesas devem, preferencialmente, estar incluídas no valor orçado para o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Obras Civis e Instalações (OCI)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Aquisição de bens e serviços destinados à construção e reforma de instalações previstas no projeto, incluindo serviços relacionados, tais como elaboração de projeto básico, projeto arquitetônico, assessoria de arquitetura, serviços de engenharia e gestão da obra, entre outros.</w:t>
      </w:r>
    </w:p>
    <w:p w:rsidR="00000000" w:rsidDel="00000000" w:rsidP="00000000" w:rsidRDefault="00000000" w:rsidRPr="00000000" w14:paraId="000000DD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Máquinas, Equipamentos e Outros Bens (M&amp;EQ)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Despesas com aquisição de máquinas, veículos, embarcações, flutuantes, implementos agrícolas e equipamentos, incluindo despesas relacionadas à entrega, licenciamento e manutenção, tais como fretes, impostos e seguros. Reforma e manutenção de veículos, embarcações, flutuantes. Também inclui compra de bens/ativos permanentes, como mobiliário, equipamentos de informática, eletroeletrônicos, softwares, entre outros.</w:t>
      </w:r>
    </w:p>
    <w:p w:rsidR="00000000" w:rsidDel="00000000" w:rsidP="00000000" w:rsidRDefault="00000000" w:rsidRPr="00000000" w14:paraId="000000D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Despesas com manutenção de ativos deverão ser previstas no orçamento inicial do projeto, nesta categoria. </w:t>
      </w:r>
    </w:p>
    <w:p w:rsidR="00000000" w:rsidDel="00000000" w:rsidP="00000000" w:rsidRDefault="00000000" w:rsidRPr="00000000" w14:paraId="000000E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Somente a manutenção de ativos utilizados diretamente na execução do projeto é apoiável. Exemplo: manutenção de veículos (automóveis, barcos e motos). Entretanto, não é apoiável a manutenção de ativos de propriedade de particulares, ainda que envolvidos no projeto.</w:t>
      </w:r>
    </w:p>
    <w:p w:rsidR="00000000" w:rsidDel="00000000" w:rsidP="00000000" w:rsidRDefault="00000000" w:rsidRPr="00000000" w14:paraId="000000E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É desejável a previsão de despesas para contratação de seguros, principalmente de veículos, nesta categoria.</w:t>
      </w:r>
    </w:p>
    <w:p w:rsidR="00000000" w:rsidDel="00000000" w:rsidP="00000000" w:rsidRDefault="00000000" w:rsidRPr="00000000" w14:paraId="000000E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Multas de veículos não serão custeadas pela CONAB. </w:t>
      </w:r>
    </w:p>
    <w:p w:rsidR="00000000" w:rsidDel="00000000" w:rsidP="00000000" w:rsidRDefault="00000000" w:rsidRPr="00000000" w14:paraId="000000E3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Insumos (INS)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Aquisição de ferramentas de campo, mudas, sementes, estacas, arames, adubos, calcário, equipamentos de proteção individual (EPIs), materiais didáticos, entre outros itens de custeio, incluindo despesas relacionadas, tais como fretes e impostos.</w:t>
      </w:r>
    </w:p>
    <w:p w:rsidR="00000000" w:rsidDel="00000000" w:rsidP="00000000" w:rsidRDefault="00000000" w:rsidRPr="00000000" w14:paraId="000000E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Compras de estoque, matéria prima e antecipação de safra devem ser previstas </w:t>
      </w:r>
      <w:r w:rsidDel="00000000" w:rsidR="00000000" w:rsidRPr="00000000">
        <w:rPr>
          <w:rtl w:val="0"/>
        </w:rPr>
        <w:t xml:space="preserve">nesta </w:t>
      </w:r>
      <w:r w:rsidDel="00000000" w:rsidR="00000000" w:rsidRPr="00000000">
        <w:rPr>
          <w:color w:val="000000"/>
          <w:rtl w:val="0"/>
        </w:rPr>
        <w:t xml:space="preserve">categoria. </w:t>
      </w:r>
    </w:p>
    <w:p w:rsidR="00000000" w:rsidDel="00000000" w:rsidP="00000000" w:rsidRDefault="00000000" w:rsidRPr="00000000" w14:paraId="000000E6">
      <w:pPr>
        <w:spacing w:line="240" w:lineRule="auto"/>
        <w:ind w:left="7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Logística (LOG)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color w:val="000000"/>
          <w:rtl w:val="0"/>
        </w:rPr>
        <w:t xml:space="preserve">Despesas com viagens e outros </w:t>
      </w:r>
      <w:r w:rsidDel="00000000" w:rsidR="00000000" w:rsidRPr="00000000">
        <w:rPr>
          <w:rtl w:val="0"/>
        </w:rPr>
        <w:t xml:space="preserve">deslocamentos, diárias, hospedagens, seguros de viagens, alimentação, mantimentos, combustíveis, lubrificantes entre outros.</w:t>
      </w:r>
    </w:p>
    <w:p w:rsidR="00000000" w:rsidDel="00000000" w:rsidP="00000000" w:rsidRDefault="00000000" w:rsidRPr="00000000" w14:paraId="000000E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 categoria diz respeito a despesas de logística da equipe própria da postulante, do público alvo e de pesquisadores envolvidos no projeto;</w:t>
      </w:r>
    </w:p>
    <w:p w:rsidR="00000000" w:rsidDel="00000000" w:rsidP="00000000" w:rsidRDefault="00000000" w:rsidRPr="00000000" w14:paraId="000000E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 despesas de logística relacionadas às demais categorias de uso, tais como consultores, prestadores de serviços de apoio, fretes relativos a máquinas, equipamentos e insumos, devem estar previstos em suas respectivas categorias. </w:t>
      </w:r>
    </w:p>
    <w:p w:rsidR="00000000" w:rsidDel="00000000" w:rsidP="00000000" w:rsidRDefault="00000000" w:rsidRPr="00000000" w14:paraId="000000E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São passíveis de apoio:</w:t>
      </w:r>
    </w:p>
    <w:p w:rsidR="00000000" w:rsidDel="00000000" w:rsidP="00000000" w:rsidRDefault="00000000" w:rsidRPr="00000000" w14:paraId="000000EC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Passagens aéreas (passagem, tarifas e taxas), terrestres (passagem de ônibus) e fluviais (passagem de barco).</w:t>
      </w:r>
    </w:p>
    <w:p w:rsidR="00000000" w:rsidDel="00000000" w:rsidP="00000000" w:rsidRDefault="00000000" w:rsidRPr="00000000" w14:paraId="000000ED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Aluguel de avião, carro, barco e moto. </w:t>
      </w:r>
    </w:p>
    <w:p w:rsidR="00000000" w:rsidDel="00000000" w:rsidP="00000000" w:rsidRDefault="00000000" w:rsidRPr="00000000" w14:paraId="000000EE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Despesas com táxi.</w:t>
      </w:r>
    </w:p>
    <w:p w:rsidR="00000000" w:rsidDel="00000000" w:rsidP="00000000" w:rsidRDefault="00000000" w:rsidRPr="00000000" w14:paraId="000000E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Bilhetes aéreos são apoiáveis apenas em classe econômica. </w:t>
      </w:r>
    </w:p>
    <w:p w:rsidR="00000000" w:rsidDel="00000000" w:rsidP="00000000" w:rsidRDefault="00000000" w:rsidRPr="00000000" w14:paraId="000000F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Podem ser previstas, se necessárias, despesas de viagem para deslocamento à sede da CONAB para acompanhamento do projeto. </w:t>
      </w:r>
    </w:p>
    <w:p w:rsidR="00000000" w:rsidDel="00000000" w:rsidP="00000000" w:rsidRDefault="00000000" w:rsidRPr="00000000" w14:paraId="000000F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Não são apoiáveis</w:t>
      </w:r>
      <w:r w:rsidDel="00000000" w:rsidR="00000000" w:rsidRPr="00000000">
        <w:rPr>
          <w:color w:val="000000"/>
          <w:rtl w:val="0"/>
        </w:rPr>
        <w:t xml:space="preserve"> viagens para atividades institucionais não relacionadas ao projeto. </w:t>
      </w:r>
    </w:p>
    <w:p w:rsidR="00000000" w:rsidDel="00000000" w:rsidP="00000000" w:rsidRDefault="00000000" w:rsidRPr="00000000" w14:paraId="000000F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São apoiáveis pela Chamada as despesas com refeição de pessoal envolvido diretamente na execução ou nas atividades do projeto e/ou em viagens a ele relacionadas:</w:t>
      </w:r>
    </w:p>
    <w:p w:rsidR="00000000" w:rsidDel="00000000" w:rsidP="00000000" w:rsidRDefault="00000000" w:rsidRPr="00000000" w14:paraId="000000F3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São consideradas despesas com refeição (almoço, jantar, lanches e café da manhã) apenas quando não inclusos na hospedagem do hotel, bem como despesas com compras de mantimentos para serem usados na preparação de refeições.</w:t>
      </w:r>
    </w:p>
    <w:p w:rsidR="00000000" w:rsidDel="00000000" w:rsidP="00000000" w:rsidRDefault="00000000" w:rsidRPr="00000000" w14:paraId="000000F4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passíveis de apoio despesas com bebidas alcoólicas. </w:t>
      </w:r>
    </w:p>
    <w:p w:rsidR="00000000" w:rsidDel="00000000" w:rsidP="00000000" w:rsidRDefault="00000000" w:rsidRPr="00000000" w14:paraId="000000F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Somente são apoiáveis taxas diárias de alojamento ou hospedagem na categoria standard. </w:t>
      </w:r>
    </w:p>
    <w:p w:rsidR="00000000" w:rsidDel="00000000" w:rsidP="00000000" w:rsidRDefault="00000000" w:rsidRPr="00000000" w14:paraId="000000F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Não são apoiáveis pelo Fundo Amazônia</w:t>
      </w:r>
      <w:r w:rsidDel="00000000" w:rsidR="00000000" w:rsidRPr="00000000">
        <w:rPr>
          <w:color w:val="000000"/>
          <w:rtl w:val="0"/>
        </w:rPr>
        <w:t xml:space="preserve"> diárias para agentes públicos, tais como servidores, empregados públicos ou qualquer pessoa que esteja no exercício de função pública. </w:t>
      </w:r>
    </w:p>
    <w:p w:rsidR="00000000" w:rsidDel="00000000" w:rsidP="00000000" w:rsidRDefault="00000000" w:rsidRPr="00000000" w14:paraId="000000F7">
      <w:pPr>
        <w:pStyle w:val="Heading2"/>
        <w:numPr>
          <w:ilvl w:val="1"/>
          <w:numId w:val="3"/>
        </w:numPr>
        <w:tabs>
          <w:tab w:val="left" w:leader="none" w:pos="851"/>
        </w:tabs>
        <w:ind w:left="576" w:hanging="576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Despesas Administrativas (ADM)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Envolvem os custos administrativos do postulante e o custeio com a manutenção de escritórios cuja estrutura seja utilizada pelo projeto, tais como provedor de internet, correio, tarifas bancárias, luz, água, taxas administrativas, telefonia fixa e móvel, materiais de escritório etc.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Não são financiáveis despesas de aluguel e condomínio da organização executora.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dúvidas ou esclarecimentos sobre o Guia, entrar em contato com a equipe da Conab do por meio do </w:t>
      </w:r>
      <w:r w:rsidDel="00000000" w:rsidR="00000000" w:rsidRPr="00000000">
        <w:rPr>
          <w:rtl w:val="0"/>
        </w:rPr>
        <w:t xml:space="preserve">e-mail </w:t>
      </w:r>
      <w:r w:rsidDel="00000000" w:rsidR="00000000" w:rsidRPr="00000000">
        <w:rPr>
          <w:b w:val="1"/>
          <w:bCs w:val="1"/>
          <w:rtl w:val="0"/>
        </w:rPr>
        <w:t xml:space="preserve">amazoniaviva@conab.gov.br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color="000000" w:space="1" w:sz="12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)"/>
      <w:lvlJc w:val="left"/>
      <w:pPr>
        <w:ind w:left="1070" w:hanging="360"/>
      </w:pPr>
      <w:rPr/>
    </w:lvl>
    <w:lvl w:ilvl="2">
      <w:start w:val="1"/>
      <w:numFmt w:val="lowerRoman"/>
      <w:lvlText w:val="%3."/>
      <w:lvlJc w:val="left"/>
      <w:pPr>
        <w:ind w:left="1800" w:hanging="360"/>
      </w:pPr>
      <w:rPr/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)"/>
      <w:lvlJc w:val="left"/>
      <w:pPr>
        <w:ind w:left="1070" w:hanging="360"/>
      </w:pPr>
      <w:rPr/>
    </w:lvl>
    <w:lvl w:ilvl="2">
      <w:start w:val="1"/>
      <w:numFmt w:val="lowerRoman"/>
      <w:lvlText w:val="%3."/>
      <w:lvlJc w:val="left"/>
      <w:pPr>
        <w:ind w:left="1800" w:hanging="360"/>
      </w:pPr>
      <w:rPr/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)"/>
      <w:lvlJc w:val="left"/>
      <w:pPr>
        <w:ind w:left="1070" w:hanging="360"/>
      </w:pPr>
      <w:rPr/>
    </w:lvl>
    <w:lvl w:ilvl="2">
      <w:start w:val="1"/>
      <w:numFmt w:val="lowerRoman"/>
      <w:lvlText w:val="%3."/>
      <w:lvlJc w:val="left"/>
      <w:pPr>
        <w:ind w:left="1800" w:hanging="360"/>
      </w:pPr>
      <w:rPr/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)"/>
      <w:lvlJc w:val="left"/>
      <w:pPr>
        <w:ind w:left="1070" w:hanging="360"/>
      </w:pPr>
      <w:rPr/>
    </w:lvl>
    <w:lvl w:ilvl="2">
      <w:start w:val="1"/>
      <w:numFmt w:val="lowerRoman"/>
      <w:lvlText w:val="%3."/>
      <w:lvlJc w:val="left"/>
      <w:pPr>
        <w:ind w:left="1800" w:hanging="360"/>
      </w:pPr>
      <w:rPr/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360" w:hanging="360"/>
    </w:pPr>
    <w:rPr>
      <w:rFonts w:ascii="Calibri" w:cs="Calibri" w:eastAsia="Calibri" w:hAnsi="Calibri"/>
      <w:b w:val="1"/>
      <w:bCs w:val="1"/>
      <w:smallCaps w:val="1"/>
      <w:color w:val="00206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002060" w:val="clear"/>
      <w:tabs>
        <w:tab w:val="left" w:leader="none" w:pos="851"/>
      </w:tabs>
      <w:spacing w:before="240" w:lineRule="auto"/>
      <w:ind w:left="578" w:hanging="578"/>
    </w:pPr>
    <w:rPr>
      <w:rFonts w:ascii="Calibri" w:cs="Calibri" w:eastAsia="Calibri" w:hAnsi="Calibri"/>
      <w:b w:val="1"/>
      <w:bCs w:val="1"/>
      <w:color w:val="ffffff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b w:val="1"/>
      <w:bCs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libri" w:cs="Calibri" w:eastAsia="Calibri" w:hAnsi="Calibri"/>
      <w:b w:val="1"/>
      <w:bCs w:val="1"/>
      <w:i w:val="1"/>
      <w:iCs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1008" w:hanging="1008"/>
    </w:pPr>
    <w:rPr>
      <w:rFonts w:ascii="Calibri" w:cs="Calibri" w:eastAsia="Calibri" w:hAnsi="Calibri"/>
      <w:color w:val="1e4d7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libri" w:cs="Calibri" w:eastAsia="Calibri" w:hAnsi="Calibri"/>
      <w:i w:val="1"/>
      <w:iCs w:val="1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7E45"/>
    <w:pPr>
      <w:keepNext w:val="1"/>
      <w:keepLines w:val="1"/>
      <w:numPr>
        <w:ilvl w:val="6"/>
        <w:numId w:val="10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7E45"/>
    <w:pPr>
      <w:keepNext w:val="1"/>
      <w:keepLines w:val="1"/>
      <w:numPr>
        <w:ilvl w:val="7"/>
        <w:numId w:val="10"/>
      </w:numPr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7E45"/>
    <w:pPr>
      <w:keepNext w:val="1"/>
      <w:keepLines w:val="1"/>
      <w:numPr>
        <w:ilvl w:val="8"/>
        <w:numId w:val="10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uiPriority w:val="9"/>
    <w:rsid w:val="00CD7E45"/>
    <w:rPr>
      <w:rFonts w:asciiTheme="majorHAnsi" w:cstheme="majorBidi" w:eastAsiaTheme="majorEastAsia" w:hAnsiTheme="majorHAnsi"/>
      <w:b w:val="1"/>
      <w:bCs w:val="1"/>
      <w:caps w:val="1"/>
      <w:color w:val="002060"/>
      <w:sz w:val="28"/>
      <w:szCs w:val="28"/>
    </w:rPr>
  </w:style>
  <w:style w:type="character" w:styleId="Ttulo2Char" w:customStyle="1">
    <w:name w:val="Título 2 Char"/>
    <w:basedOn w:val="Fontepargpadro"/>
    <w:uiPriority w:val="9"/>
    <w:rsid w:val="00CD7E45"/>
    <w:rPr>
      <w:rFonts w:asciiTheme="majorHAnsi" w:cstheme="majorBidi" w:eastAsiaTheme="majorEastAsia" w:hAnsiTheme="majorHAnsi"/>
      <w:b w:val="1"/>
      <w:bCs w:val="1"/>
      <w:color w:val="ffffff" w:themeColor="background1"/>
      <w:sz w:val="24"/>
      <w:szCs w:val="26"/>
      <w:shd w:color="auto" w:fill="002060" w:val="clear"/>
    </w:rPr>
  </w:style>
  <w:style w:type="character" w:styleId="Ttulo3Char" w:customStyle="1">
    <w:name w:val="Título 3 Char"/>
    <w:basedOn w:val="Fontepargpadro"/>
    <w:uiPriority w:val="9"/>
    <w:rsid w:val="00CD7E45"/>
    <w:rPr>
      <w:rFonts w:ascii="Cambria" w:hAnsi="Cambria" w:cstheme="majorBidi" w:eastAsiaTheme="majorEastAsia"/>
      <w:b w:val="1"/>
      <w:bCs w:val="1"/>
      <w:color w:val="5b9bd5" w:themeColor="accent1"/>
      <w:sz w:val="24"/>
    </w:rPr>
  </w:style>
  <w:style w:type="character" w:styleId="Ttulo4Char" w:customStyle="1">
    <w:name w:val="Título 4 Char"/>
    <w:basedOn w:val="Fontepargpadro"/>
    <w:uiPriority w:val="9"/>
    <w:semiHidden w:val="1"/>
    <w:rsid w:val="00CD7E45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  <w:sz w:val="24"/>
    </w:rPr>
  </w:style>
  <w:style w:type="character" w:styleId="Ttulo5Char" w:customStyle="1">
    <w:name w:val="Título 5 Char"/>
    <w:basedOn w:val="Fontepargpadro"/>
    <w:uiPriority w:val="9"/>
    <w:semiHidden w:val="1"/>
    <w:rsid w:val="00CD7E45"/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character" w:styleId="Ttulo6Char" w:customStyle="1">
    <w:name w:val="Título 6 Char"/>
    <w:basedOn w:val="Fontepargpadro"/>
    <w:uiPriority w:val="9"/>
    <w:semiHidden w:val="1"/>
    <w:rsid w:val="00CD7E45"/>
    <w:rPr>
      <w:rFonts w:asciiTheme="majorHAnsi" w:cstheme="majorBidi" w:eastAsiaTheme="majorEastAsia" w:hAnsiTheme="majorHAnsi"/>
      <w:i w:val="1"/>
      <w:iCs w:val="1"/>
      <w:color w:val="1f4d78" w:themeColor="accent1" w:themeShade="00007F"/>
      <w:sz w:val="24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7E4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7E45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7E4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CD7E45"/>
    <w:pPr>
      <w:ind w:left="720"/>
      <w:contextualSpacing w:val="1"/>
    </w:p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CD7E45"/>
    <w:pPr>
      <w:spacing w:before="240"/>
    </w:pPr>
  </w:style>
  <w:style w:type="character" w:styleId="Hyperlink">
    <w:name w:val="Hyperlink"/>
    <w:basedOn w:val="Fontepargpadro"/>
    <w:uiPriority w:val="99"/>
    <w:unhideWhenUsed w:val="1"/>
    <w:rsid w:val="00CD7E4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CD7E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D7E45"/>
    <w:rPr>
      <w:rFonts w:ascii="Cambria" w:hAnsi="Cambria"/>
      <w:sz w:val="24"/>
    </w:rPr>
  </w:style>
  <w:style w:type="paragraph" w:styleId="Default" w:customStyle="1">
    <w:name w:val="Default"/>
    <w:rsid w:val="00CD7E4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</w:rPr>
  </w:style>
  <w:style w:type="table" w:styleId="Tabelacomgrade">
    <w:name w:val="Table Grid"/>
    <w:basedOn w:val="Tabelanormal"/>
    <w:uiPriority w:val="59"/>
    <w:rsid w:val="00CD7E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30A11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30A11"/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8A362A"/>
    <w:pPr>
      <w:tabs>
        <w:tab w:val="center" w:pos="4252"/>
        <w:tab w:val="right" w:pos="8504"/>
      </w:tabs>
      <w:spacing w:after="0"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362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onab/pt-br/atuacao/paa/amazonia-viva/amazonia-viva" TargetMode="External"/><Relationship Id="rId8" Type="http://schemas.openxmlformats.org/officeDocument/2006/relationships/hyperlink" Target="https://www.gov.br/conab/pt-br/atuacao/paa/amazonia-viva/amazonia-viv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7kFoPwaMekv+w22me3xz7CcQTQ==">CgMxLjAyDmgubWc5M3I3aWY3NzF4Mg5oLjN2anU1M3NtazZ2bzgAciExMGFHaVY4WjF0ZjBNNU1QVXhGSE9nSkhWLXQzU1Ywb0o=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2026-01-26T12:51:00Z</dcterms:created>
  <dc:creator>NATALIA TAVARES DE AZEVEDO</dc:creator>
</cp:coreProperties>
</file>