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17" w:rsidRDefault="00B57444">
      <w:pPr>
        <w:spacing w:before="36" w:after="0" w:line="240" w:lineRule="auto"/>
        <w:ind w:left="538" w:right="558"/>
        <w:jc w:val="center"/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355F90"/>
          <w:sz w:val="24"/>
        </w:rPr>
        <w:t>Processo Seletivo Simpliﬁcado GSISTE</w:t>
      </w:r>
    </w:p>
    <w:p w:rsidR="00A96817" w:rsidRDefault="00B57444">
      <w:pPr>
        <w:spacing w:before="141" w:after="0" w:line="240" w:lineRule="auto"/>
        <w:ind w:left="538" w:right="562"/>
        <w:jc w:val="center"/>
        <w:rPr>
          <w:rFonts w:ascii="Calibri" w:eastAsia="Calibri" w:hAnsi="Calibri" w:cs="Calibri"/>
          <w:b/>
          <w:color w:val="355F90"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Chamada pública para atuar no Departamento de Normas e Sistemas de Logística</w:t>
      </w:r>
    </w:p>
    <w:p w:rsidR="00A96817" w:rsidRDefault="00B57444">
      <w:pPr>
        <w:spacing w:before="141" w:after="0" w:line="240" w:lineRule="auto"/>
        <w:ind w:left="538" w:right="562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Secretaria de Gestão – Secretaria Especial de Desburocratização, Gestão e Governo Digital – Ministério da Economia</w:t>
      </w:r>
    </w:p>
    <w:p w:rsidR="00A96817" w:rsidRDefault="00B57444">
      <w:pPr>
        <w:spacing w:before="280" w:after="120" w:line="240" w:lineRule="auto"/>
        <w:ind w:left="516" w:right="55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 Secretaria de Gestão do Ministério da Economia está em busca de 01 (um) servidor para atuar no Departamento de Normas e Sistemas e Logística, mais especificamente na Coordenação-Geral dos Sistemas de Compras Governamentais.</w:t>
      </w:r>
    </w:p>
    <w:p w:rsidR="00A96817" w:rsidRDefault="00B57444">
      <w:pPr>
        <w:spacing w:before="280" w:after="120" w:line="240" w:lineRule="auto"/>
        <w:ind w:left="516" w:right="55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 Departamento de Normas e Sis</w:t>
      </w:r>
      <w:r>
        <w:rPr>
          <w:rFonts w:ascii="Calibri" w:eastAsia="Calibri" w:hAnsi="Calibri" w:cs="Calibri"/>
          <w:color w:val="000000"/>
          <w:sz w:val="24"/>
        </w:rPr>
        <w:t>temas de Logística - DELOG é responsável pela gestão da logística governamental, contemplando normas, sistemas e informações no âmbito do Governo Federal, em especial na área de compras públicas (licitações e contratos). São atividades desta unidade no âmb</w:t>
      </w:r>
      <w:r>
        <w:rPr>
          <w:rFonts w:ascii="Calibri" w:eastAsia="Calibri" w:hAnsi="Calibri" w:cs="Calibri"/>
          <w:color w:val="000000"/>
          <w:sz w:val="24"/>
        </w:rPr>
        <w:t>ito das compras públicas: planejar e implantar produtos de inteligência artificial, ciência de dados e visualização de dados; promover pesquisa, sistematizar, consolidar e publicar dados e informações; realizar, de forma colaborativa, a governança e a gest</w:t>
      </w:r>
      <w:r>
        <w:rPr>
          <w:rFonts w:ascii="Calibri" w:eastAsia="Calibri" w:hAnsi="Calibri" w:cs="Calibri"/>
          <w:color w:val="000000"/>
          <w:sz w:val="24"/>
        </w:rPr>
        <w:t>ão do conhecimento e da informação; comunicação técnica e gerencial com outras áreas de dados internas e de outros órgãos;</w:t>
      </w:r>
    </w:p>
    <w:p w:rsidR="00A96817" w:rsidRDefault="00B57444">
      <w:pPr>
        <w:spacing w:before="280" w:after="120" w:line="240" w:lineRule="auto"/>
        <w:ind w:left="516" w:right="55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 servidor selecionado e movimentado para atuação na Secretaria de Gestão – SEGES receberá a Gratiﬁcação Temporária das Unidades dos </w:t>
      </w:r>
      <w:r>
        <w:rPr>
          <w:rFonts w:ascii="Calibri" w:eastAsia="Calibri" w:hAnsi="Calibri" w:cs="Calibri"/>
          <w:color w:val="000000"/>
          <w:sz w:val="24"/>
        </w:rPr>
        <w:t>Sistemas Estruturadores da Administração Pública Federal (GSISTE), instituída pela Lei nº 11.356, de 19 de outubro de 2006. Poderão concorrer servidores públicos federais de outros estados para atuação em Brasília-DF.</w:t>
      </w:r>
    </w:p>
    <w:p w:rsidR="00A96817" w:rsidRDefault="00A96817">
      <w:pPr>
        <w:spacing w:before="6"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96817" w:rsidRDefault="00B57444">
      <w:pPr>
        <w:spacing w:after="0" w:line="240" w:lineRule="auto"/>
        <w:ind w:left="515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Valor máximo da GSISTE de nível super</w:t>
      </w:r>
      <w:r>
        <w:rPr>
          <w:rFonts w:ascii="Calibri" w:eastAsia="Calibri" w:hAnsi="Calibri" w:cs="Calibri"/>
          <w:b/>
          <w:sz w:val="24"/>
        </w:rPr>
        <w:t>ior: R$ 3.158,00</w:t>
      </w:r>
    </w:p>
    <w:p w:rsidR="00A96817" w:rsidRDefault="00B57444">
      <w:pPr>
        <w:spacing w:before="280" w:after="120" w:line="240" w:lineRule="auto"/>
        <w:ind w:left="516" w:right="544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GSISTE é aplicável apenas a algumas carreiras do setor público, e possui limite máximo ajustado à remuneração do servidor nos termos da Lei nº 11.356, de 19 de outubro de 2006.</w:t>
      </w:r>
    </w:p>
    <w:p w:rsidR="00A96817" w:rsidRDefault="00A96817">
      <w:pPr>
        <w:spacing w:before="7"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A96817" w:rsidRDefault="00B57444">
      <w:pPr>
        <w:numPr>
          <w:ilvl w:val="0"/>
          <w:numId w:val="1"/>
        </w:numPr>
        <w:tabs>
          <w:tab w:val="left" w:pos="943"/>
        </w:tabs>
        <w:spacing w:after="0" w:line="240" w:lineRule="auto"/>
        <w:ind w:left="942" w:hanging="428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Requisitos básicos</w:t>
      </w:r>
    </w:p>
    <w:p w:rsidR="00A96817" w:rsidRDefault="00B57444">
      <w:pPr>
        <w:numPr>
          <w:ilvl w:val="0"/>
          <w:numId w:val="1"/>
        </w:numPr>
        <w:spacing w:before="144" w:after="0" w:line="240" w:lineRule="auto"/>
        <w:ind w:left="1235" w:right="55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Ser servidor titular de cargo de nível superior e de provimento efetivo, regido pela Lei nº 8.112, de 11 de dezembro de 1990, do PGPE, para o caso de cargo federal; ou de carreiras/ planos especiais similares ao PGPE do Governo Federal, para o caso de carg</w:t>
      </w:r>
      <w:r>
        <w:rPr>
          <w:rFonts w:ascii="Calibri" w:eastAsia="Calibri" w:hAnsi="Calibri" w:cs="Calibri"/>
          <w:color w:val="000000"/>
          <w:sz w:val="24"/>
        </w:rPr>
        <w:t>os estaduais e municipais;</w:t>
      </w:r>
    </w:p>
    <w:p w:rsidR="00A96817" w:rsidRDefault="00B57444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1235" w:right="539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Cumprir jornada semanal de 40 (quarenta) horas, resguardadas as disposições legais especíﬁcas;</w:t>
      </w:r>
    </w:p>
    <w:p w:rsidR="00A96817" w:rsidRDefault="00B57444">
      <w:pPr>
        <w:numPr>
          <w:ilvl w:val="0"/>
          <w:numId w:val="1"/>
        </w:numPr>
        <w:tabs>
          <w:tab w:val="left" w:pos="1236"/>
        </w:tabs>
        <w:spacing w:after="0" w:line="240" w:lineRule="auto"/>
        <w:ind w:left="1235" w:right="539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Os servidores deverão apresentar a anuência prévia da chefia imediata do órgão de origem, para agentes públicos, a qual deverá estar d</w:t>
      </w:r>
      <w:r>
        <w:rPr>
          <w:rFonts w:ascii="Calibri" w:eastAsia="Calibri" w:hAnsi="Calibri" w:cs="Calibri"/>
          <w:color w:val="000000"/>
          <w:sz w:val="24"/>
        </w:rPr>
        <w:t xml:space="preserve">e acordo com a política de liberação do órgão/entidade de </w:t>
      </w:r>
      <w:r>
        <w:rPr>
          <w:rFonts w:ascii="Calibri" w:eastAsia="Calibri" w:hAnsi="Calibri" w:cs="Calibri"/>
          <w:color w:val="000000"/>
          <w:sz w:val="24"/>
        </w:rPr>
        <w:lastRenderedPageBreak/>
        <w:t>exercício dos candidatos às oportunidades oferecidas, conforme anexo a este Edital.</w:t>
      </w:r>
    </w:p>
    <w:p w:rsidR="00A96817" w:rsidRDefault="00A96817">
      <w:pPr>
        <w:spacing w:before="8" w:after="0" w:line="240" w:lineRule="auto"/>
        <w:rPr>
          <w:rFonts w:ascii="Calibri" w:eastAsia="Calibri" w:hAnsi="Calibri" w:cs="Calibri"/>
          <w:i/>
          <w:color w:val="000000"/>
          <w:sz w:val="23"/>
        </w:rPr>
      </w:pPr>
    </w:p>
    <w:p w:rsidR="00A96817" w:rsidRDefault="00B57444">
      <w:pPr>
        <w:numPr>
          <w:ilvl w:val="0"/>
          <w:numId w:val="2"/>
        </w:numPr>
        <w:tabs>
          <w:tab w:val="left" w:pos="943"/>
        </w:tabs>
        <w:spacing w:after="0" w:line="240" w:lineRule="auto"/>
        <w:ind w:left="942" w:hanging="428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Perﬁl Desejado</w:t>
      </w:r>
    </w:p>
    <w:p w:rsidR="00A96817" w:rsidRDefault="00B57444">
      <w:pPr>
        <w:spacing w:before="280" w:after="120" w:line="240" w:lineRule="auto"/>
        <w:ind w:left="516" w:right="544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 processo seletivo visa o preenchimento de 01 (uma) vaga no Departamento de Normas e Sistemas de </w:t>
      </w:r>
      <w:r>
        <w:rPr>
          <w:rFonts w:ascii="Calibri" w:eastAsia="Calibri" w:hAnsi="Calibri" w:cs="Calibri"/>
          <w:color w:val="000000"/>
          <w:sz w:val="24"/>
        </w:rPr>
        <w:t>Logística, mais especificamente na Coordenação-Geral dos Sistemas de Compras Governamentais, da Secretaria de Gestão do Ministério da Economia, sendo exigido nível superior em qualquer área de formação.</w:t>
      </w:r>
    </w:p>
    <w:p w:rsidR="00A96817" w:rsidRDefault="00B57444">
      <w:pPr>
        <w:spacing w:before="280" w:after="120" w:line="240" w:lineRule="auto"/>
        <w:ind w:left="516" w:right="544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Servidor pertencente a outro órgão ou entidade que nã</w:t>
      </w:r>
      <w:r>
        <w:rPr>
          <w:rFonts w:ascii="Calibri" w:eastAsia="Calibri" w:hAnsi="Calibri" w:cs="Calibri"/>
          <w:color w:val="000000"/>
          <w:sz w:val="24"/>
        </w:rPr>
        <w:t>o o Ministério da Economia deverá ser estável no cargo, nos termos do § 3º do art. 20 da Lei 8.112;</w:t>
      </w:r>
    </w:p>
    <w:p w:rsidR="00A96817" w:rsidRDefault="00B57444">
      <w:pPr>
        <w:spacing w:before="280" w:after="120" w:line="240" w:lineRule="auto"/>
        <w:ind w:left="516" w:right="544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São valores esperados para o perfil: comprometimento, inovação, objetividade, confiança entre a equipe, motivação, lealdade, bom relacionamento, honestidade, colaboração, empatia e assertividade.</w:t>
      </w:r>
    </w:p>
    <w:p w:rsidR="00A96817" w:rsidRDefault="00A96817">
      <w:pPr>
        <w:spacing w:before="1" w:after="0" w:line="240" w:lineRule="auto"/>
        <w:ind w:left="515" w:right="546"/>
        <w:jc w:val="both"/>
        <w:rPr>
          <w:rFonts w:ascii="Calibri" w:eastAsia="Calibri" w:hAnsi="Calibri" w:cs="Calibri"/>
          <w:color w:val="000000"/>
          <w:sz w:val="24"/>
        </w:rPr>
      </w:pPr>
    </w:p>
    <w:p w:rsidR="00A96817" w:rsidRDefault="00B57444">
      <w:pPr>
        <w:numPr>
          <w:ilvl w:val="0"/>
          <w:numId w:val="3"/>
        </w:numPr>
        <w:tabs>
          <w:tab w:val="left" w:pos="942"/>
          <w:tab w:val="left" w:pos="943"/>
        </w:tabs>
        <w:spacing w:before="31" w:after="0" w:line="240" w:lineRule="auto"/>
        <w:ind w:left="942" w:hanging="428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Descrição detalhada do perﬁl</w:t>
      </w:r>
    </w:p>
    <w:p w:rsidR="00A96817" w:rsidRDefault="00A96817">
      <w:pPr>
        <w:spacing w:after="0" w:line="240" w:lineRule="auto"/>
        <w:rPr>
          <w:rFonts w:ascii="Calibri" w:eastAsia="Calibri" w:hAnsi="Calibri" w:cs="Calibri"/>
          <w:b/>
          <w:color w:val="000000"/>
          <w:sz w:val="27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6622"/>
      </w:tblGrid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9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DCDCD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57" w:after="0" w:line="240" w:lineRule="auto"/>
              <w:ind w:left="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</w:rPr>
              <w:t>Atuação na Coordenação-Geral dos Sistemas de Compras Governamentais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156" w:after="0" w:line="240" w:lineRule="auto"/>
              <w:ind w:left="1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Atividades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Elaborar documentos, desenvolver atividades e integrar a equipe de negócios;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Acompanhar e validar o desenvolvimento de produtos relacionados aos sistemas de compras governamentais;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Redigir, segundo a norma padrão, textos oficiais, notas técnicas, relatórios, etc.;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Atender demandas provindas de público interno e externo;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 xml:space="preserve">Analisar e </w:t>
            </w:r>
            <w:r>
              <w:rPr>
                <w:rFonts w:ascii="Calibri" w:eastAsia="Calibri" w:hAnsi="Calibri" w:cs="Calibri"/>
                <w:color w:val="202020"/>
                <w:sz w:val="21"/>
              </w:rPr>
              <w:t>elaborar resposta às demandas dos órgãos de controle, externo e interno, bem como do Poder Judiciário;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Analisar dados e informações e propor ações a serem adotados;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Atuar no aprimoramento da qualidade dos produtos e/ou serviços contratados pelos órgãos e d</w:t>
            </w:r>
            <w:r>
              <w:rPr>
                <w:rFonts w:ascii="Calibri" w:eastAsia="Calibri" w:hAnsi="Calibri" w:cs="Calibri"/>
                <w:color w:val="202020"/>
                <w:sz w:val="21"/>
              </w:rPr>
              <w:t>o atendimento interno/externo;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Acompanhar as atividades dos envolvidos nos projetos da coordenação;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Identificar riscos nos projetos e propor medidas cautelares;</w:t>
            </w:r>
          </w:p>
          <w:p w:rsidR="00A96817" w:rsidRDefault="00B57444">
            <w:pPr>
              <w:numPr>
                <w:ilvl w:val="0"/>
                <w:numId w:val="4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Aplicar técnicas, conhecimentos e habilidades para que o sucesso do projeto seja alcançado;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after="0" w:line="240" w:lineRule="auto"/>
              <w:ind w:left="36" w:right="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Competências Técnicas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tabs>
                <w:tab w:val="left" w:pos="777"/>
                <w:tab w:val="left" w:pos="778"/>
              </w:tabs>
              <w:spacing w:before="109" w:after="0" w:line="240" w:lineRule="auto"/>
              <w:jc w:val="both"/>
              <w:rPr>
                <w:rFonts w:ascii="Calibri" w:eastAsia="Calibri" w:hAnsi="Calibri" w:cs="Calibri"/>
                <w:b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b/>
                <w:color w:val="202020"/>
                <w:sz w:val="21"/>
              </w:rPr>
              <w:t>NECESSÁRIAS:</w:t>
            </w:r>
          </w:p>
          <w:p w:rsidR="00A96817" w:rsidRDefault="00B57444">
            <w:pPr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Noções dos processos de compras públicas;</w:t>
            </w:r>
          </w:p>
          <w:p w:rsidR="00A96817" w:rsidRDefault="00B57444">
            <w:pPr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Conhecimento e aplicação da legislação vigente referente aos sistemas de compras governamentais e processos de aquisições públicas;</w:t>
            </w:r>
          </w:p>
          <w:p w:rsidR="00A96817" w:rsidRDefault="00B57444">
            <w:pPr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lastRenderedPageBreak/>
              <w:t>Capacidade analítica, visão crítica e competência para aplicar novos conhecimentos, métodos e procedimentos;</w:t>
            </w:r>
          </w:p>
          <w:p w:rsidR="00A96817" w:rsidRDefault="00B57444">
            <w:pPr>
              <w:numPr>
                <w:ilvl w:val="0"/>
                <w:numId w:val="5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Visão sistêmica e estratégica para identificação de problemas e soluções;</w:t>
            </w:r>
          </w:p>
          <w:p w:rsidR="00A96817" w:rsidRDefault="00B57444">
            <w:pPr>
              <w:tabs>
                <w:tab w:val="left" w:pos="777"/>
                <w:tab w:val="left" w:pos="778"/>
              </w:tabs>
              <w:spacing w:before="109" w:after="0" w:line="240" w:lineRule="auto"/>
              <w:jc w:val="both"/>
              <w:rPr>
                <w:rFonts w:ascii="Calibri" w:eastAsia="Calibri" w:hAnsi="Calibri" w:cs="Calibri"/>
                <w:b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b/>
                <w:color w:val="202020"/>
                <w:sz w:val="21"/>
              </w:rPr>
              <w:t>DESEJÁVEIS:</w:t>
            </w:r>
          </w:p>
          <w:p w:rsidR="00A96817" w:rsidRDefault="00B57444">
            <w:pPr>
              <w:numPr>
                <w:ilvl w:val="0"/>
                <w:numId w:val="6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Conhecimento em gestão de projetos de desenvolvimento;</w:t>
            </w:r>
          </w:p>
          <w:p w:rsidR="00A96817" w:rsidRDefault="00B57444">
            <w:pPr>
              <w:numPr>
                <w:ilvl w:val="0"/>
                <w:numId w:val="6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Conhec</w:t>
            </w:r>
            <w:r>
              <w:rPr>
                <w:rFonts w:ascii="Calibri" w:eastAsia="Calibri" w:hAnsi="Calibri" w:cs="Calibri"/>
                <w:color w:val="202020"/>
                <w:sz w:val="21"/>
              </w:rPr>
              <w:t>imento de metodologias ágeis de projetos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after="0" w:line="240" w:lineRule="auto"/>
              <w:ind w:left="36" w:right="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lastRenderedPageBreak/>
              <w:t>Competências Comportamentais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Capacidade redacional clara e objetiva;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Comunicação oral clara e objetiva;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Receptividade a opiniões divergentes;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Trabalho em equipe;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Comprometimento com prazos e resultados;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Senso de urgência e prioridade;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Identificação e análise de problemas e oportunidades;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Saber lidar com demandas urgentes.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Proatividade e dinamicidade;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Visão sistêmica;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Análise crítica de dados e informações;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Gestão de conflitos;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Postura inovadora e criativa</w:t>
            </w:r>
            <w:r>
              <w:rPr>
                <w:rFonts w:ascii="Calibri" w:eastAsia="Calibri" w:hAnsi="Calibri" w:cs="Calibri"/>
                <w:color w:val="202020"/>
                <w:sz w:val="21"/>
              </w:rPr>
              <w:t>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  <w:color w:val="202020"/>
                <w:sz w:val="21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Proposição de soluções viáveis;</w:t>
            </w:r>
          </w:p>
          <w:p w:rsidR="00A96817" w:rsidRDefault="00B57444">
            <w:pPr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Estudo autodidata.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57" w:after="0" w:line="240" w:lineRule="auto"/>
              <w:ind w:left="275" w:right="185" w:firstLine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Carga Horária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before="109" w:after="0" w:line="240" w:lineRule="auto"/>
              <w:ind w:left="777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02020"/>
                <w:sz w:val="21"/>
              </w:rPr>
              <w:t>40 h semanais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57" w:after="0" w:line="240" w:lineRule="auto"/>
              <w:ind w:left="41" w:right="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Nº de vagas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57" w:after="0"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01 (uma) vaga</w:t>
            </w:r>
          </w:p>
        </w:tc>
      </w:tr>
      <w:tr w:rsidR="00A96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before="57" w:after="0" w:line="240" w:lineRule="auto"/>
              <w:ind w:left="254" w:right="162" w:hanging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Área de atuação</w:t>
            </w:r>
          </w:p>
        </w:tc>
        <w:tc>
          <w:tcPr>
            <w:tcW w:w="6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0F0"/>
            <w:tcMar>
              <w:left w:w="0" w:type="dxa"/>
              <w:right w:w="0" w:type="dxa"/>
            </w:tcMar>
            <w:vAlign w:val="center"/>
          </w:tcPr>
          <w:p w:rsidR="00A96817" w:rsidRDefault="00B57444">
            <w:pPr>
              <w:spacing w:after="0" w:line="240" w:lineRule="auto"/>
              <w:ind w:lef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1"/>
              </w:rPr>
              <w:t>Coordenação-Geral dos Sistemas de Compras Governamentais do Departamento de Normas e Sistemas de Logística.</w:t>
            </w:r>
          </w:p>
        </w:tc>
      </w:tr>
    </w:tbl>
    <w:p w:rsidR="00A96817" w:rsidRDefault="00A96817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</w:rPr>
      </w:pP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after="0" w:line="240" w:lineRule="auto"/>
        <w:ind w:left="942" w:hanging="428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355F90"/>
          <w:sz w:val="24"/>
        </w:rPr>
        <w:t>Seleção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before="1" w:after="0" w:line="240" w:lineRule="auto"/>
        <w:ind w:left="515" w:right="35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Os interessados deverão: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before="1" w:after="0" w:line="240" w:lineRule="auto"/>
        <w:ind w:left="1235" w:right="356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Preencher o currículo no Sigepe Banco de Talentos, no endereço</w:t>
      </w:r>
      <w:r>
        <w:rPr>
          <w:rFonts w:ascii="Calibri" w:eastAsia="Calibri" w:hAnsi="Calibri" w:cs="Calibri"/>
          <w:color w:val="0000FF"/>
          <w:sz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u w:val="single"/>
        </w:rPr>
        <w:t>https:// bancodetalentos.economia.gov.br</w:t>
      </w:r>
      <w:r>
        <w:rPr>
          <w:rFonts w:ascii="Calibri" w:eastAsia="Calibri" w:hAnsi="Calibri" w:cs="Calibri"/>
          <w:color w:val="0562C2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tendo em vista o disposto no art. 4º da Instrução Normativa SGP/</w:t>
      </w:r>
      <w:r>
        <w:rPr>
          <w:rFonts w:ascii="Calibri" w:eastAsia="Calibri" w:hAnsi="Calibri" w:cs="Calibri"/>
          <w:color w:val="000000"/>
        </w:rPr>
        <w:t>MP nº 4/2018, e baixá-lo no módulo em formato PDF;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before="1" w:after="0" w:line="240" w:lineRule="auto"/>
        <w:ind w:left="1235" w:right="356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Preencher o formulário de experiência do candidato disponível no endereço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https://forms.gle/GRN2ypRvLpedHAcj9</w:t>
        </w:r>
      </w:hyperlink>
      <w:r>
        <w:rPr>
          <w:rFonts w:ascii="Calibri" w:eastAsia="Calibri" w:hAnsi="Calibri" w:cs="Calibri"/>
          <w:color w:val="000000"/>
        </w:rPr>
        <w:t>;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before="1" w:after="0" w:line="240" w:lineRule="auto"/>
        <w:ind w:left="1235" w:right="356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Ao final do preenchimento do formulário, f</w:t>
      </w:r>
      <w:r>
        <w:rPr>
          <w:rFonts w:ascii="Calibri" w:eastAsia="Calibri" w:hAnsi="Calibri" w:cs="Calibri"/>
        </w:rPr>
        <w:t>azer o upload do currículo, juntamente com a anuência prévia da chefia imediata (Anexo I).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after="0" w:line="240" w:lineRule="auto"/>
        <w:ind w:left="515" w:right="540" w:hanging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Os currículos juntamente com os formulários preenchidos serão submetidos à análise e os candidatos selecionados serão convidados para entrevista individual, a ser re</w:t>
      </w:r>
      <w:r>
        <w:rPr>
          <w:rFonts w:ascii="Calibri" w:eastAsia="Calibri" w:hAnsi="Calibri" w:cs="Calibri"/>
          <w:color w:val="000000"/>
          <w:sz w:val="24"/>
        </w:rPr>
        <w:t xml:space="preserve">alizada por </w:t>
      </w:r>
      <w:r>
        <w:rPr>
          <w:rFonts w:ascii="Calibri" w:eastAsia="Calibri" w:hAnsi="Calibri" w:cs="Calibri"/>
          <w:sz w:val="24"/>
        </w:rPr>
        <w:t>videoconferência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after="0" w:line="240" w:lineRule="auto"/>
        <w:ind w:left="515" w:right="53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Após o resultado ﬁnal, os candidatos selecionados terão sua </w:t>
      </w:r>
      <w:r>
        <w:rPr>
          <w:rFonts w:ascii="Calibri" w:eastAsia="Calibri" w:hAnsi="Calibri" w:cs="Calibri"/>
          <w:b/>
          <w:color w:val="000000"/>
          <w:sz w:val="24"/>
        </w:rPr>
        <w:t>alteração de lotação/exercício formalizada por meio de cessão</w:t>
      </w:r>
      <w:r>
        <w:rPr>
          <w:rFonts w:ascii="Calibri" w:eastAsia="Calibri" w:hAnsi="Calibri" w:cs="Calibri"/>
          <w:color w:val="000000"/>
          <w:sz w:val="24"/>
        </w:rPr>
        <w:t>.</w:t>
      </w:r>
    </w:p>
    <w:p w:rsidR="00A96817" w:rsidRDefault="00B57444">
      <w:pPr>
        <w:numPr>
          <w:ilvl w:val="0"/>
          <w:numId w:val="9"/>
        </w:numPr>
        <w:tabs>
          <w:tab w:val="left" w:pos="942"/>
          <w:tab w:val="left" w:pos="943"/>
        </w:tabs>
        <w:spacing w:after="0" w:line="293" w:lineRule="auto"/>
        <w:ind w:left="942" w:hanging="428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Cronograma da seleção:</w:t>
      </w:r>
    </w:p>
    <w:p w:rsidR="00A96817" w:rsidRDefault="00B57444">
      <w:pPr>
        <w:numPr>
          <w:ilvl w:val="0"/>
          <w:numId w:val="9"/>
        </w:numPr>
        <w:tabs>
          <w:tab w:val="left" w:pos="1056"/>
        </w:tabs>
        <w:spacing w:before="101" w:after="0" w:line="240" w:lineRule="auto"/>
        <w:ind w:left="1055" w:hanging="115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– 1ª Etapa - </w:t>
      </w:r>
      <w:r>
        <w:rPr>
          <w:rFonts w:ascii="Calibri" w:eastAsia="Calibri" w:hAnsi="Calibri" w:cs="Calibri"/>
          <w:b/>
          <w:color w:val="000000"/>
          <w:sz w:val="24"/>
        </w:rPr>
        <w:t xml:space="preserve">até </w:t>
      </w:r>
      <w:r>
        <w:rPr>
          <w:rFonts w:ascii="Calibri" w:eastAsia="Calibri" w:hAnsi="Calibri" w:cs="Calibri"/>
          <w:b/>
          <w:sz w:val="24"/>
        </w:rPr>
        <w:t>10/07</w:t>
      </w:r>
      <w:r>
        <w:rPr>
          <w:rFonts w:ascii="Calibri" w:eastAsia="Calibri" w:hAnsi="Calibri" w:cs="Calibri"/>
          <w:color w:val="000000"/>
          <w:sz w:val="24"/>
        </w:rPr>
        <w:t xml:space="preserve">: preenchimento do formulário, recebimento dos currículos </w:t>
      </w:r>
      <w:r>
        <w:rPr>
          <w:rFonts w:ascii="Calibri" w:eastAsia="Calibri" w:hAnsi="Calibri" w:cs="Calibri"/>
          <w:color w:val="000000"/>
          <w:sz w:val="24"/>
        </w:rPr>
        <w:t>e avaliação de perfil;</w:t>
      </w:r>
    </w:p>
    <w:p w:rsidR="00A96817" w:rsidRDefault="00B57444">
      <w:pPr>
        <w:numPr>
          <w:ilvl w:val="0"/>
          <w:numId w:val="9"/>
        </w:numPr>
        <w:tabs>
          <w:tab w:val="left" w:pos="1125"/>
        </w:tabs>
        <w:spacing w:before="100" w:after="0" w:line="240" w:lineRule="auto"/>
        <w:ind w:left="940" w:right="54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– 2ª Etapa - </w:t>
      </w:r>
      <w:r>
        <w:rPr>
          <w:rFonts w:ascii="Calibri" w:eastAsia="Calibri" w:hAnsi="Calibri" w:cs="Calibri"/>
          <w:b/>
          <w:color w:val="000000"/>
          <w:sz w:val="24"/>
        </w:rPr>
        <w:t>de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13 </w:t>
      </w:r>
      <w:r>
        <w:rPr>
          <w:rFonts w:ascii="Calibri" w:eastAsia="Calibri" w:hAnsi="Calibri" w:cs="Calibri"/>
          <w:b/>
          <w:color w:val="000000"/>
          <w:sz w:val="24"/>
        </w:rPr>
        <w:t xml:space="preserve">a </w:t>
      </w:r>
      <w:r>
        <w:rPr>
          <w:rFonts w:ascii="Calibri" w:eastAsia="Calibri" w:hAnsi="Calibri" w:cs="Calibri"/>
          <w:b/>
          <w:sz w:val="24"/>
        </w:rPr>
        <w:t>17/07</w:t>
      </w:r>
      <w:r>
        <w:rPr>
          <w:rFonts w:ascii="Calibri" w:eastAsia="Calibri" w:hAnsi="Calibri" w:cs="Calibri"/>
          <w:color w:val="000000"/>
          <w:sz w:val="24"/>
        </w:rPr>
        <w:t xml:space="preserve">: Agendamento e realização das entrevistas por videoconferência com os candidatos selecionados; </w:t>
      </w:r>
    </w:p>
    <w:p w:rsidR="00A96817" w:rsidRDefault="00A96817">
      <w:pPr>
        <w:tabs>
          <w:tab w:val="left" w:pos="1125"/>
        </w:tabs>
        <w:spacing w:before="100" w:after="0" w:line="240" w:lineRule="auto"/>
        <w:ind w:left="940" w:right="546"/>
        <w:jc w:val="both"/>
        <w:rPr>
          <w:rFonts w:ascii="Calibri" w:eastAsia="Calibri" w:hAnsi="Calibri" w:cs="Calibri"/>
          <w:color w:val="000000"/>
          <w:sz w:val="24"/>
        </w:rPr>
      </w:pPr>
    </w:p>
    <w:p w:rsidR="00A96817" w:rsidRDefault="00B57444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 resultado do processo seletivo será informado por e-mail ao candidato selecionado e tornado público por meio de divulgação no portal 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</w:rPr>
          <w:t>https://www.comprasgovernamentais.gov.br</w:t>
        </w:r>
      </w:hyperlink>
      <w:r>
        <w:rPr>
          <w:rFonts w:ascii="Calibri" w:eastAsia="Calibri" w:hAnsi="Calibri" w:cs="Calibri"/>
          <w:sz w:val="24"/>
        </w:rPr>
        <w:t>, na data provável d</w:t>
      </w:r>
      <w:r>
        <w:rPr>
          <w:rFonts w:ascii="Calibri" w:eastAsia="Calibri" w:hAnsi="Calibri" w:cs="Calibri"/>
          <w:sz w:val="24"/>
        </w:rPr>
        <w:t xml:space="preserve">e </w:t>
      </w:r>
      <w:r>
        <w:rPr>
          <w:rFonts w:ascii="Calibri" w:eastAsia="Calibri" w:hAnsi="Calibri" w:cs="Calibri"/>
          <w:b/>
          <w:sz w:val="24"/>
        </w:rPr>
        <w:t>21/07/2020</w:t>
      </w:r>
      <w:r>
        <w:rPr>
          <w:rFonts w:ascii="Calibri" w:eastAsia="Calibri" w:hAnsi="Calibri" w:cs="Calibri"/>
          <w:sz w:val="24"/>
        </w:rPr>
        <w:t>.</w:t>
      </w:r>
    </w:p>
    <w:p w:rsidR="00A96817" w:rsidRDefault="00A96817">
      <w:pPr>
        <w:tabs>
          <w:tab w:val="left" w:pos="1205"/>
        </w:tabs>
        <w:spacing w:before="101" w:after="0" w:line="240" w:lineRule="auto"/>
        <w:ind w:left="940" w:right="545"/>
        <w:jc w:val="both"/>
        <w:rPr>
          <w:rFonts w:ascii="Calibri" w:eastAsia="Calibri" w:hAnsi="Calibri" w:cs="Calibri"/>
          <w:sz w:val="24"/>
        </w:rPr>
      </w:pPr>
    </w:p>
    <w:p w:rsidR="00A96817" w:rsidRDefault="00B57444">
      <w:pPr>
        <w:tabs>
          <w:tab w:val="left" w:pos="1205"/>
        </w:tabs>
        <w:spacing w:before="101" w:after="0" w:line="240" w:lineRule="auto"/>
        <w:ind w:left="940" w:right="54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96817" w:rsidRDefault="00A9681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96817" w:rsidRDefault="00B57444">
      <w:pPr>
        <w:spacing w:after="0" w:line="240" w:lineRule="auto"/>
        <w:jc w:val="center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ANEXO I</w:t>
      </w:r>
    </w:p>
    <w:p w:rsidR="00A96817" w:rsidRDefault="00A96817">
      <w:pPr>
        <w:spacing w:after="0" w:line="240" w:lineRule="auto"/>
        <w:jc w:val="center"/>
        <w:rPr>
          <w:rFonts w:ascii="CIDFont+F2" w:eastAsia="CIDFont+F2" w:hAnsi="CIDFont+F2" w:cs="CIDFont+F2"/>
        </w:rPr>
      </w:pPr>
    </w:p>
    <w:p w:rsidR="00A96817" w:rsidRDefault="00B57444">
      <w:pPr>
        <w:spacing w:after="0" w:line="240" w:lineRule="auto"/>
        <w:jc w:val="center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AUTORIZAÇÃO DE PARTICIPAÇÃO EM PROCESSO SELETIVO</w:t>
      </w:r>
    </w:p>
    <w:p w:rsidR="00A96817" w:rsidRDefault="00A96817">
      <w:pPr>
        <w:spacing w:after="0" w:line="240" w:lineRule="auto"/>
        <w:jc w:val="center"/>
        <w:rPr>
          <w:rFonts w:ascii="CIDFont+F2" w:eastAsia="CIDFont+F2" w:hAnsi="CIDFont+F2" w:cs="CIDFont+F2"/>
        </w:rPr>
      </w:pPr>
    </w:p>
    <w:p w:rsidR="00A96817" w:rsidRDefault="00A96817">
      <w:pPr>
        <w:spacing w:after="0" w:line="240" w:lineRule="auto"/>
        <w:jc w:val="center"/>
        <w:rPr>
          <w:rFonts w:ascii="CIDFont+F2" w:eastAsia="CIDFont+F2" w:hAnsi="CIDFont+F2" w:cs="CIDFont+F2"/>
        </w:rPr>
      </w:pPr>
    </w:p>
    <w:p w:rsidR="00A96817" w:rsidRDefault="00B57444">
      <w:pPr>
        <w:spacing w:after="0" w:line="240" w:lineRule="auto"/>
        <w:jc w:val="both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Autorizo o(a) servidor(a) Sr.(a)___________________________________________, matrícula SIAPE nº __________________, lotado(a) no(a)________________________________________________________, a participar do Processo de Seleção da ______(nome da unidade)_____</w:t>
      </w:r>
      <w:r>
        <w:rPr>
          <w:rFonts w:ascii="CIDFont+F2" w:eastAsia="CIDFont+F2" w:hAnsi="CIDFont+F2" w:cs="CIDFont+F2"/>
        </w:rPr>
        <w:t>___. Estou ciente que, se o(a) referido(a) servidor for selecionado, será aberto processo formalizando sua movimentação para a ____(nome da unidade)_____ do Ministério da Economia, nos termos da legislação pertinente, em consonância com a Portaria MP n° 19</w:t>
      </w:r>
      <w:r>
        <w:rPr>
          <w:rFonts w:ascii="CIDFont+F2" w:eastAsia="CIDFont+F2" w:hAnsi="CIDFont+F2" w:cs="CIDFont+F2"/>
        </w:rPr>
        <w:t>3, de 3 de julho de 2018, para a qual, desde já, manifesto minha concordância.</w:t>
      </w:r>
    </w:p>
    <w:p w:rsidR="00A96817" w:rsidRDefault="00B57444">
      <w:pPr>
        <w:spacing w:after="0" w:line="240" w:lineRule="auto"/>
        <w:jc w:val="right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Brasília, ________ de __________________ de 2020.</w:t>
      </w:r>
    </w:p>
    <w:p w:rsidR="00A96817" w:rsidRDefault="00A96817">
      <w:pPr>
        <w:spacing w:after="0" w:line="240" w:lineRule="auto"/>
        <w:jc w:val="center"/>
        <w:rPr>
          <w:rFonts w:ascii="CIDFont+F2" w:eastAsia="CIDFont+F2" w:hAnsi="CIDFont+F2" w:cs="CIDFont+F2"/>
        </w:rPr>
      </w:pPr>
    </w:p>
    <w:p w:rsidR="00A96817" w:rsidRDefault="00B57444">
      <w:pPr>
        <w:spacing w:after="0" w:line="240" w:lineRule="auto"/>
        <w:jc w:val="center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_______________________________________</w:t>
      </w:r>
    </w:p>
    <w:p w:rsidR="00A96817" w:rsidRDefault="00B57444">
      <w:pPr>
        <w:tabs>
          <w:tab w:val="left" w:pos="1205"/>
        </w:tabs>
        <w:spacing w:before="101" w:after="0" w:line="240" w:lineRule="auto"/>
        <w:ind w:left="940" w:right="54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IDFont+F2" w:eastAsia="CIDFont+F2" w:hAnsi="CIDFont+F2" w:cs="CIDFont+F2"/>
          <w:color w:val="000000"/>
        </w:rPr>
        <w:t>Nome e Cargo da chefia</w:t>
      </w:r>
    </w:p>
    <w:sectPr w:rsidR="00A96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F83"/>
    <w:multiLevelType w:val="multilevel"/>
    <w:tmpl w:val="46161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7428F"/>
    <w:multiLevelType w:val="multilevel"/>
    <w:tmpl w:val="35461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A460E"/>
    <w:multiLevelType w:val="multilevel"/>
    <w:tmpl w:val="7CE00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915FB"/>
    <w:multiLevelType w:val="multilevel"/>
    <w:tmpl w:val="E7AA1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45A3A"/>
    <w:multiLevelType w:val="multilevel"/>
    <w:tmpl w:val="32647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8D7B82"/>
    <w:multiLevelType w:val="multilevel"/>
    <w:tmpl w:val="E5D01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81720"/>
    <w:multiLevelType w:val="multilevel"/>
    <w:tmpl w:val="B3066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5F3929"/>
    <w:multiLevelType w:val="multilevel"/>
    <w:tmpl w:val="23E67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776E8D"/>
    <w:multiLevelType w:val="multilevel"/>
    <w:tmpl w:val="B20E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7"/>
    <w:rsid w:val="00A96817"/>
    <w:rsid w:val="00B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mprasgovernamentai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RN2ypRvLpedHAcj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Rocha Ribeiro</dc:creator>
  <cp:lastModifiedBy>Brenda Rocha Ribeiro</cp:lastModifiedBy>
  <cp:revision>2</cp:revision>
  <dcterms:created xsi:type="dcterms:W3CDTF">2020-07-02T14:32:00Z</dcterms:created>
  <dcterms:modified xsi:type="dcterms:W3CDTF">2020-07-02T14:32:00Z</dcterms:modified>
</cp:coreProperties>
</file>