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Calibri" w:hAnsi="Calibri" w:eastAsia="Calibri" w:cs="Calibri"/>
          <w:b/>
          <w:b/>
          <w:bCs/>
          <w:color w:val="000000"/>
          <w:sz w:val="24"/>
          <w:szCs w:val="24"/>
          <w:lang w:val="pt-PT"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>Anexo V</w:t>
      </w:r>
      <w:bookmarkStart w:id="0" w:name="_GoBack"/>
      <w:bookmarkEnd w:id="0"/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Arial" w:hAnsi="Arial" w:eastAsia="Times New Roman" w:cs="Arial"/>
          <w:b/>
          <w:b/>
          <w:bCs/>
          <w:sz w:val="28"/>
          <w:szCs w:val="28"/>
          <w:lang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>Plano de Ações Afirmativas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  <w:lang w:val="pt-PT" w:eastAsia="pt-BR"/>
        </w:rPr>
      </w:pPr>
      <w:r>
        <w:rPr>
          <w:rFonts w:eastAsia="Calibri" w:cs="Calibri"/>
          <w:color w:val="000000"/>
          <w:sz w:val="20"/>
          <w:szCs w:val="20"/>
          <w:lang w:val="pt-PT" w:eastAsia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  <w:lang w:val="pt-PT" w:eastAsia="pt-BR"/>
        </w:rPr>
      </w:pPr>
      <w:r>
        <w:rPr>
          <w:rFonts w:eastAsia="Calibri" w:cs="Calibri"/>
          <w:color w:val="000000"/>
          <w:sz w:val="20"/>
          <w:szCs w:val="20"/>
          <w:lang w:val="pt-PT" w:eastAsia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  <w:lang w:val="pt-PT" w:eastAsia="pt-BR"/>
        </w:rPr>
      </w:pPr>
      <w:r>
        <w:rPr>
          <w:rFonts w:eastAsia="Calibri" w:cs="Calibri"/>
          <w:color w:val="000000"/>
          <w:sz w:val="20"/>
          <w:szCs w:val="20"/>
          <w:lang w:val="pt-PT" w:eastAsia="pt-BR"/>
        </w:rPr>
      </w:r>
    </w:p>
    <w:tbl>
      <w:tblPr>
        <w:tblW w:w="101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3"/>
        <w:gridCol w:w="1254"/>
        <w:gridCol w:w="1254"/>
        <w:gridCol w:w="1483"/>
        <w:gridCol w:w="1300"/>
        <w:gridCol w:w="1796"/>
        <w:gridCol w:w="1779"/>
      </w:tblGrid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E4080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FFFFFF"/>
                <w:sz w:val="24"/>
                <w:szCs w:val="24"/>
                <w:lang w:eastAsia="pt-BR"/>
              </w:rPr>
              <w:t>I – INTRODUÇÃO</w:t>
            </w:r>
            <w:r>
              <w:rPr>
                <w:rFonts w:eastAsia="Aptos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Este documento tem como objetivo fornecer diretrizes para a implementação do Programa de Ações Afirmativas (PAA), conforme exigido pela Portaria GM/MS nº 5.801/2024, no âmbito do</w:t>
            </w: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Aptos" w:cs="Calibri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Preencher aqui no nome do projeto</w:t>
            </w: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AE9F7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OBJETIVO DO PLANO DE AÇÕES AFIRMATIVAS 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E8E8E8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val="pt-PT" w:eastAsia="pt-BR"/>
              </w:rPr>
              <w:t>INSTRUÇÕES:</w:t>
            </w: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val="pt-PT" w:eastAsia="pt-BR"/>
              </w:rPr>
              <w:t xml:space="preserve"> Promover a equidade, diversidade e democratização de oportunidades, em especial no âmbito étnico-racial e de gênero, por meio de reservas de vagas nos programas e parcerias do Ministério da Saúde. 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AE9F7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val="pt-PT"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val="pt-PT" w:eastAsia="pt-BR"/>
              </w:rPr>
              <w:t>II. DADOS BÁSICOS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70C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II.I. Órgão/Entidade Proponente: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II.II. Unidade do Órgão/Entidade Proponente: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II.III. Objeto do projeto: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II.IV. N° do Instrumento: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II.V. Coordenador(a):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II.VI. Contato do(a) Coordenador(a):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II.VII. Público-alvo: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70C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II.VIII. Área do Ministério da Saúde: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Coevis/CGPS/Decit/SCTIE/MS.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AE9F7" w:val="clear"/>
          </w:tcPr>
          <w:p>
            <w:pPr>
              <w:pStyle w:val="Normal"/>
              <w:keepNext w:val="true"/>
              <w:keepLines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val="pt-PT" w:eastAsia="pt-BR"/>
              </w:rPr>
              <w:t>III. APLICABILIDADE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Marcar o tipo de instrumento ao qual o plano se aplica: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PROADI-SUS (Art. 7º)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PRONON – PRONAS/PCD (Art. 7º)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Termo de Execução Descentralizada – TED (Art. 8º)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Termo de Cooperação com OPAS/OMS (Art. 9º)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Project Document – PRODOC com Organismos Internacionais (Art. 9°)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X ] Pesquisa (Art. 10º)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III.I. AÇÕES PREVISTAS NO INSTRUMENTO ÀS QUAIS SE APLICA O PLANO DE AÇÕES AFIRMATIVAS (PAA)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Marcar as opções que se aplicam ao projeto.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Contratação de pessoal via CLT;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[   ] Concessão de bolsas;  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Oferta de vagas em cursos.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IV. ELEMENTOS OBRIGATÓRIOS DO PAA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IV.I. Critérios de Reserva de Vagas:</w:t>
            </w:r>
          </w:p>
        </w:tc>
      </w:tr>
      <w:tr>
        <w:trPr>
          <w:trHeight w:val="726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sz w:val="24"/>
                <w:szCs w:val="24"/>
                <w:lang w:eastAsia="pt-BR"/>
              </w:rPr>
              <w:t>INSTRUÇÕES</w:t>
            </w:r>
            <w:r>
              <w:rPr>
                <w:rFonts w:eastAsia="Aptos" w:cs="Calibri"/>
                <w:sz w:val="24"/>
                <w:szCs w:val="24"/>
                <w:lang w:eastAsia="pt-BR"/>
              </w:rPr>
              <w:t xml:space="preserve">: As contratações, concessões de bolsas e vagas para cursos criadas por este projeto deverão observar, no mínimo, a reserva de vagas abaixo descrita conforme o Art. 4º da Portaria, considerando o número global de vagas criadas: 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30% para pessoas negras; 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5% para indígenas; 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5% para quilombolas; 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10% para pessoas com deficiência; 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5% para pessoas trans. 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 xml:space="preserve">**caso o projeto inclua percentuais superiores ou reservas de vagas para outros grupos sociais historicamente excluídos ou estratégicos para o projeto em questão, inserir essa informação e a sua justificativa aqui. 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libri" w:hAnsi="Calibri" w:eastAsia="Aptos" w:cs="Calibri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sz w:val="24"/>
                <w:szCs w:val="24"/>
                <w:lang w:eastAsia="pt-BR"/>
              </w:rPr>
              <w:t xml:space="preserve">Caso os percentuais resultem em frações, aplicar: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Arredondamento para cima (≥0,5);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sz w:val="24"/>
                <w:szCs w:val="24"/>
              </w:rPr>
            </w:pPr>
            <w:r>
              <w:rPr>
                <w:rFonts w:eastAsia="Aptos" w:cs="Calibri"/>
                <w:sz w:val="24"/>
                <w:szCs w:val="24"/>
              </w:rPr>
              <w:t xml:space="preserve">Arredondamento para baixo (&lt;0,5);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Arial"/>
                <w:sz w:val="24"/>
                <w:szCs w:val="24"/>
              </w:rPr>
            </w:pPr>
            <w:r>
              <w:rPr>
                <w:rFonts w:eastAsia="Aptos" w:cs="Arial"/>
                <w:sz w:val="24"/>
                <w:szCs w:val="24"/>
              </w:rPr>
              <w:t>Vagas supranumerárias: em chamadas públicas, especificamente de processos seletivos para cursos de formação com número reduzido de vagas, em que a regra de arredondamento resulte em 0 (zero) vaga para pessoas com deficiência, negras, quilombolas ou indígenas, deverá ser prevista ao menos 1 (uma) vaga supranumerária para cada grupo em questão ou, em caso de vagas únicas, por meio de rodízio de reserva de vagas em chamadas organizadas por um mesmo setor.</w:t>
            </w:r>
          </w:p>
          <w:p>
            <w:pPr>
              <w:pStyle w:val="Normal"/>
              <w:spacing w:lineRule="auto" w:line="240" w:before="240" w:after="240"/>
              <w:jc w:val="both"/>
              <w:rPr>
                <w:rFonts w:ascii="Calibri" w:hAnsi="Calibri" w:eastAsia="Aptos" w:cs="Calibri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sz w:val="24"/>
                <w:szCs w:val="24"/>
                <w:lang w:eastAsia="pt-BR"/>
              </w:rPr>
              <w:t>Estratégia de Implementação: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Arial"/>
                <w:sz w:val="24"/>
                <w:szCs w:val="24"/>
              </w:rPr>
            </w:pPr>
            <w:r>
              <w:rPr>
                <w:rFonts w:eastAsia="Aptos" w:cs="Arial"/>
                <w:sz w:val="24"/>
                <w:szCs w:val="24"/>
              </w:rPr>
              <w:t xml:space="preserve">A estimativa de vagas a serem reservadas em contratações, concessões de bolsa ou oferta de cursos está descrita nas tabelas abaixo. 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Arial"/>
                <w:sz w:val="24"/>
                <w:szCs w:val="24"/>
              </w:rPr>
            </w:pPr>
            <w:r>
              <w:rPr>
                <w:rFonts w:eastAsia="Aptos" w:cs="Arial"/>
                <w:sz w:val="24"/>
                <w:szCs w:val="24"/>
              </w:rPr>
              <w:t>As reservas de vagas serão implementadas de maneira [pode marcar mais de uma opção; descrever em texto abaixo em qual caso se aplica cada marcação: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 ] Imediata; marcar quando as vagas forem preenchidas em grandes lotes ou de uma vez só – ex.: um edital -, permitindo a aplicação dos percentuais desde o início.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] Escalonada; marcar quando as vagas forem preenchidas em lotes menores – ex.: contratação da equipe de coordenação, depois da equipe de supervisão, depois da equipe de execução -, exigindo algum grau de adequação dos percentuais a cada chamada/edital/contratação para atingir o percentual mínimo exigido.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[  ] Intercalada; marcar quando as vagas forem preenchidas uma por uma, exigindo um esquema de rodízio entre as diferentes reservas de vagas para efetivar o percentual mínimo exigido.</w:t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Estimativa de vagas reservadas em contratações CLT a serem realizadas durante a implementação das ações do Projeto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Ação ou Atividade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da Ação ou Atividade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Reservas- Portaria 5.801/2024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Vagas reservadas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Inaplicabilidade (justificar abaixo da tabela)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Prazo de Implementação</w:t>
            </w:r>
          </w:p>
        </w:tc>
      </w:tr>
      <w:tr>
        <w:trPr/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Negras (30%)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Indígenas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Quilombolas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com Deficiência (10%)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Trans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Estimativa de vagas reservadas em concessões de bolsa a serem realizadas durante a implementação das ações do Projeto </w:t>
            </w:r>
            <w:r>
              <w:rPr>
                <w:rFonts w:eastAsia="Apto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Ação ou Atividade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da Ação ou Atividade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Reservas- Portaria 5.801/2024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Vagas reservadas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Inaplicabilidade (justificar abaixo da tabela)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Prazo de Implementação</w:t>
            </w:r>
          </w:p>
        </w:tc>
      </w:tr>
      <w:tr>
        <w:trPr/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Negras (30%)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Indígenas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Quilombolas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com Deficiência (10%)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Trans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285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Estimativa de vagas reservadas em cursos ofertados na implementação das ações do Projeto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Ação ou Atividade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da Ação ou Atividade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Reservas- Portaria 5.801/2024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Vagas reservadas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Inaplicabilidade (justificar abaixo da tabela)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Prazo de Implementação</w:t>
            </w:r>
          </w:p>
        </w:tc>
      </w:tr>
      <w:tr>
        <w:trPr/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Negras (30%)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Indígenas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Quilombolas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com Deficiência (10%)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253" w:type="dxa"/>
            <w:vMerge w:val="continue"/>
            <w:tcBorders>
              <w:lef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25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Pessoas Trans (5%)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  <w:tc>
          <w:tcPr>
            <w:tcW w:w="1779" w:type="dxa"/>
            <w:vMerge w:val="continue"/>
            <w:tcBorders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IV.II. MEDIDAS DE EQUIDADE: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DBDB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O plano pode descrever ações concretas para garantir equidade, incluindo:   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Processos de acolhimento e suporte; 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Medidas de acessibilidade, acolhimento e/ou permanência; 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>Medidas para garantir diversidade nas equipes de pesquisa e instrumentos vinculados ao Ministério da Saúde.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IV.III. INDICADORES DE MONITORAMENTO – ANEXO I: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DBDB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O cumprimento das metas deve ser monitorado minimamente com os seguintes indicadores: 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Percentual e número absoluto de vagas efetivamente preenchidas conforme as reservas;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Percentual e número absoluto de vagas reservadas redistribuídas;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Percentual e número absoluto de preenchimento da ampla concorrência;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Taxa de permanência e conclusão dos beneficiários de vagas para cursos;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>Diversidade na composição das lideranças.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IV.IV. PROCEDIMENTOS PARA EDITAIS E CHAMADAS PÚBLICAS: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Caso uma categoria de reserva de vagas não seja preenchida, as vagas devem ser redistribuídas entre os outros grupos de ações afirmativas antes de serem alocadas à ampla concorrência.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Em caso de múltiplas etapas num processo seletivo, mecanismos para que a reserva de vagas seja aplicada a cada uma das etapas, com formação de listas separadas durante todo o processo, favorecendo que a reserva resulte em efetivo preenchimento da vaga.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IV.V. PROCESSO DE HETEROIDENTIFICAÇÃO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sz w:val="24"/>
                <w:szCs w:val="24"/>
                <w:lang w:eastAsia="pt-BR"/>
              </w:rPr>
              <w:t xml:space="preserve"> Caso a previsão de vagas ofertadas para contratação/bolsas/cursos seja igual ou maior que 50 vagas, o PAA deve prever: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240" w:after="24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Banca de heteroidentificação para autodeclarados negros e trans;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Mecanismo de recurso para candidatos indeferidos, com avaliação de uma segunda banca;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Previsão de orçamento para remuneração da banca;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ptos" w:cs="Calibri"/>
                <w:color w:val="000000"/>
                <w:sz w:val="24"/>
                <w:szCs w:val="24"/>
              </w:rPr>
              <w:t>Processo de auditoria e denúncia em caso de fraudes.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IV.VI. RELATÓRIOS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Os relatórios devem incluir: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Dados quantitativos sobre a reserva de vagas, informando o seu cumprimento; 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Justificativas para o não cumprimento das metas, se aplicável; 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Medidas corretivas para ajustes futuros; 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Lista de beneficiários de cada uma das reservas de vagas, identificada por CPF protegido.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A instituição tem ciência de que o descumprimento do Programa de Ações Afirmativas, a ser verificado pelo Ministério da Saúde, pode resultar em interrupção de desembolsos e revisão dos planos de trabalho.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V. METODOLOGIA DA IMPLEMENTAÇÃO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A implementação do Plano de Ações Afirmativas seguirá as seguintes etapas: 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Definição dos percentuais de reserva de vagas conforme a Portaria;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Desenvolvimento de critérios de seleção e monitoramento; 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Acompanhamento por meio de relatórios parciais e de conclusão;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>Ajustes e revisões conforme necessário.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VI. CUMPRIMENTO DAS METAS E JUSTIFICATIVAS - ANEXO I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b/>
                <w:bCs/>
                <w:color w:val="000000"/>
                <w:sz w:val="24"/>
                <w:szCs w:val="24"/>
                <w:lang w:eastAsia="pt-BR"/>
              </w:rPr>
              <w:t>INSTRUÇÕES:</w:t>
            </w: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O cumprimento das metas de reserva de vagas deverá ser aferido por meio de indicadores dispostos no Anexo I e evidenciado por meio dos seguintes documentos: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6.1 Pessoas Negras: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Declaração de raça/cor;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Banca de heteroidentificação (Art. 12);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CPF protegido.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6.2 Pessoas Indígenas: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Registro Administrativo de Nascimento e Óbito de Índios (RANI); OU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Declaração de pertencimento assinada por liderança indígena;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CPF protegido.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6.3 Pessoas Quilombolas: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Declaração de pertencimento assinada por liderança ou associação local; OU 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Certificado de reconhecimento do território pela Fundação Cultural Palmares (FCP), se houver; 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CPF protegido.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6.4 Pessoas com Deficiência: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Autodeclaração em formulário próprio; 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Laudo Médico ou de avaliação biopsicossocial (original ou cópia autenticada) com grau/nível da deficiência ou suporte necessário. Código CID-10;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CPF protegido.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 xml:space="preserve">6.5 Pessoas Trans: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>Autodeclaração;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 xml:space="preserve">Banca de heteroidentificação (Art. 12);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</w:rPr>
            </w:pPr>
            <w:r>
              <w:rPr>
                <w:rFonts w:eastAsia="Aptos" w:cs="Calibri"/>
                <w:color w:val="000000"/>
                <w:sz w:val="24"/>
                <w:szCs w:val="24"/>
              </w:rPr>
              <w:t>CPF protegido.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DD6EE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color w:val="000000"/>
                <w:sz w:val="24"/>
                <w:szCs w:val="24"/>
                <w:lang w:eastAsia="pt-BR"/>
              </w:rPr>
              <w:t>VII. OBSERVAÇÕES</w:t>
            </w:r>
          </w:p>
        </w:tc>
      </w:tr>
      <w:tr>
        <w:trPr>
          <w:trHeight w:val="300" w:hRule="atLeast"/>
        </w:trPr>
        <w:tc>
          <w:tcPr>
            <w:tcW w:w="10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i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i/>
                <w:iCs/>
                <w:color w:val="000000"/>
                <w:sz w:val="24"/>
                <w:szCs w:val="24"/>
                <w:lang w:eastAsia="pt-BR"/>
              </w:rPr>
              <w:t>Preencher aqui.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Calibri" w:hAnsi="Calibri" w:eastAsia="Calibri" w:cs="Calibri"/>
          <w:b/>
          <w:b/>
          <w:bCs/>
          <w:color w:val="000000"/>
          <w:sz w:val="24"/>
          <w:szCs w:val="24"/>
          <w:lang w:val="pt-PT"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>Anexo I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Calibri" w:hAnsi="Calibri" w:eastAsia="Calibri" w:cs="Calibri"/>
          <w:b/>
          <w:b/>
          <w:bCs/>
          <w:color w:val="000000"/>
          <w:sz w:val="24"/>
          <w:szCs w:val="24"/>
          <w:lang w:val="pt-PT"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>Indicadores de Monitoramento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jc w:val="both"/>
        <w:outlineLvl w:val="1"/>
        <w:rPr>
          <w:rFonts w:ascii="Calibri" w:hAnsi="Calibri" w:eastAsia="Aptos" w:cs="Calibri"/>
          <w:b/>
          <w:b/>
          <w:bCs/>
          <w:sz w:val="24"/>
          <w:szCs w:val="24"/>
          <w:lang w:eastAsia="pt-BR"/>
        </w:rPr>
      </w:pPr>
      <w:r>
        <w:rPr>
          <w:rFonts w:eastAsia="Aptos" w:cs="Calibri"/>
          <w:b/>
          <w:bCs/>
          <w:sz w:val="24"/>
          <w:szCs w:val="24"/>
          <w:lang w:eastAsia="pt-BR"/>
        </w:rPr>
        <w:t>1. Indicadores de Efetividade da Reserva de Vagas</w:t>
      </w:r>
    </w:p>
    <w:tbl>
      <w:tblPr>
        <w:tblW w:w="101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9"/>
        <w:gridCol w:w="2881"/>
        <w:gridCol w:w="4365"/>
      </w:tblGrid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Fórmula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Interpretação</w:t>
            </w:r>
          </w:p>
        </w:tc>
      </w:tr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Percentual de vagas reservadas preenchidas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(Vagas ocupadas ÷ Vagas reservadas) × 100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Mede a adesão dos candidatos às vagas reservadas.</w:t>
            </w:r>
          </w:p>
        </w:tc>
      </w:tr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Percentual de vagas reservadas redistribuídas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(Vagas reservadas não preenchidas e redistribuídas ÷ Total de vagas reservadas) × 100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Avalia a redistribuição antes da ampla concorrência.</w:t>
            </w:r>
          </w:p>
        </w:tc>
      </w:tr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Percentual de preenchimento da ampla concorrência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(Vagas preenchidas na ampla concorrência ÷ Total de vagas oferecidas) × 100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Mede o impacto da reserva de vagas na ampla concorrência.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jc w:val="both"/>
        <w:outlineLvl w:val="1"/>
        <w:rPr>
          <w:rFonts w:ascii="Calibri" w:hAnsi="Calibri" w:eastAsia="Aptos" w:cs="Calibri"/>
          <w:b/>
          <w:b/>
          <w:bCs/>
          <w:sz w:val="24"/>
          <w:szCs w:val="24"/>
          <w:lang w:eastAsia="pt-BR"/>
        </w:rPr>
      </w:pPr>
      <w:r>
        <w:rPr>
          <w:rFonts w:eastAsia="Aptos" w:cs="Calibri"/>
          <w:b/>
          <w:bCs/>
          <w:sz w:val="24"/>
          <w:szCs w:val="24"/>
          <w:lang w:eastAsia="pt-BR"/>
        </w:rPr>
        <w:t>2. Indicadores de Permanência e Conclusão</w:t>
      </w:r>
    </w:p>
    <w:tbl>
      <w:tblPr>
        <w:tblW w:w="101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9"/>
        <w:gridCol w:w="2881"/>
        <w:gridCol w:w="4365"/>
      </w:tblGrid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Fórmula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Interpretação</w:t>
            </w:r>
          </w:p>
        </w:tc>
      </w:tr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Taxa de permanência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(Beneficiários das ações afirmativas que continuam no curso, emprego ou bolsa após X meses ÷ Total de beneficiários iniciais) × 100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Mede a retenção dentro do curso, contratação de pessoal ou concessão de bolsa.</w:t>
            </w:r>
          </w:p>
        </w:tc>
      </w:tr>
      <w:tr>
        <w:trPr>
          <w:trHeight w:val="300" w:hRule="atLeast"/>
        </w:trPr>
        <w:tc>
          <w:tcPr>
            <w:tcW w:w="2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Taxa de conclusão de cursos</w:t>
            </w:r>
          </w:p>
        </w:tc>
        <w:tc>
          <w:tcPr>
            <w:tcW w:w="2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(Beneficiários das ações afirmativas que concluíram o curso ÷ Total de beneficiários que ingressaram) × 100</w:t>
            </w: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Avalia a conclusão da trajetória conforme a modalidade do projeto.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jc w:val="both"/>
        <w:outlineLvl w:val="1"/>
        <w:rPr>
          <w:rFonts w:ascii="Calibri" w:hAnsi="Calibri" w:eastAsia="Aptos" w:cs="Calibri"/>
          <w:b/>
          <w:b/>
          <w:bCs/>
          <w:sz w:val="24"/>
          <w:szCs w:val="24"/>
          <w:lang w:eastAsia="pt-BR"/>
        </w:rPr>
      </w:pPr>
      <w:r>
        <w:rPr>
          <w:rFonts w:eastAsia="Aptos" w:cs="Calibri"/>
          <w:b/>
          <w:bCs/>
          <w:sz w:val="24"/>
          <w:szCs w:val="24"/>
          <w:lang w:eastAsia="pt-BR"/>
        </w:rPr>
        <w:t>3. Indicadores de Diversidade na Composição das Equipes e Lideranças (Editais de pesquisa- Art. 10, inciso I)</w:t>
      </w:r>
    </w:p>
    <w:tbl>
      <w:tblPr>
        <w:tblW w:w="987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7"/>
        <w:gridCol w:w="2870"/>
        <w:gridCol w:w="4142"/>
      </w:tblGrid>
      <w:tr>
        <w:trPr>
          <w:trHeight w:val="300" w:hRule="atLeast"/>
        </w:trPr>
        <w:tc>
          <w:tcPr>
            <w:tcW w:w="2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28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Fórmula</w:t>
            </w:r>
          </w:p>
        </w:tc>
        <w:tc>
          <w:tcPr>
            <w:tcW w:w="41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Interpretação</w:t>
            </w:r>
          </w:p>
        </w:tc>
      </w:tr>
      <w:tr>
        <w:trPr>
          <w:trHeight w:val="300" w:hRule="atLeast"/>
        </w:trPr>
        <w:tc>
          <w:tcPr>
            <w:tcW w:w="2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Percentual de diversidade em cargos de liderança</w:t>
            </w:r>
          </w:p>
        </w:tc>
        <w:tc>
          <w:tcPr>
            <w:tcW w:w="28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(Número de pessoas negras, indígenas, quilombolas, PCD ou trans em cargos de liderança ÷ Total de cargos de liderança) × 100</w:t>
            </w:r>
          </w:p>
        </w:tc>
        <w:tc>
          <w:tcPr>
            <w:tcW w:w="41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Aptos" w:cs="Calibri"/>
                <w:sz w:val="24"/>
                <w:szCs w:val="24"/>
                <w:lang w:eastAsia="pt-BR"/>
              </w:rPr>
            </w:pPr>
            <w:r>
              <w:rPr>
                <w:rFonts w:eastAsia="Aptos" w:cs="Calibri"/>
                <w:sz w:val="24"/>
                <w:szCs w:val="24"/>
                <w:lang w:eastAsia="pt-BR"/>
              </w:rPr>
              <w:t>Mede a presença de grupos beneficiados em posições estratégicas.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ptos" w:hAnsi="Aptos" w:eastAsia="Aptos" w:cs="Aptos"/>
          <w:lang w:eastAsia="pt-BR"/>
        </w:rPr>
      </w:pPr>
      <w:r>
        <w:rPr>
          <w:rFonts w:eastAsia="Aptos" w:cs="Aptos" w:ascii="Aptos" w:hAnsi="Aptos"/>
          <w:lang w:eastAsia="pt-BR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Calibri" w:hAnsi="Calibri" w:eastAsia="Calibri" w:cs="Calibri"/>
          <w:b/>
          <w:b/>
          <w:bCs/>
          <w:color w:val="000000"/>
          <w:sz w:val="24"/>
          <w:szCs w:val="24"/>
          <w:lang w:val="pt-PT"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>Anexo II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52" w:after="0"/>
        <w:ind w:left="112" w:hanging="0"/>
        <w:jc w:val="center"/>
        <w:outlineLvl w:val="0"/>
        <w:rPr>
          <w:rFonts w:ascii="Calibri" w:hAnsi="Calibri" w:eastAsia="Calibri" w:cs="Calibri"/>
          <w:b/>
          <w:b/>
          <w:bCs/>
          <w:color w:val="000000"/>
          <w:sz w:val="24"/>
          <w:szCs w:val="24"/>
          <w:lang w:val="pt-PT" w:eastAsia="pt-BR"/>
        </w:rPr>
      </w:pPr>
      <w:r>
        <w:rPr>
          <w:rFonts w:eastAsia="Calibri" w:cs="Calibri"/>
          <w:b/>
          <w:bCs/>
          <w:color w:val="000000"/>
          <w:sz w:val="24"/>
          <w:szCs w:val="24"/>
          <w:lang w:val="pt-PT" w:eastAsia="pt-BR"/>
        </w:rPr>
        <w:t xml:space="preserve">Tabela guia de referência para o preenchimento das vagas </w:t>
      </w:r>
    </w:p>
    <w:p>
      <w:pPr>
        <w:pStyle w:val="Normal"/>
        <w:spacing w:lineRule="auto" w:line="240" w:before="0" w:after="0"/>
        <w:jc w:val="both"/>
        <w:rPr>
          <w:rFonts w:ascii="Aptos" w:hAnsi="Aptos" w:eastAsia="Aptos" w:cs="Aptos"/>
          <w:lang w:eastAsia="pt-BR"/>
        </w:rPr>
      </w:pPr>
      <w:r>
        <w:rPr>
          <w:rFonts w:eastAsia="Aptos" w:cs="Aptos" w:ascii="Aptos" w:hAnsi="Aptos"/>
          <w:lang w:eastAsia="pt-BR"/>
        </w:rPr>
      </w:r>
    </w:p>
    <w:tbl>
      <w:tblPr>
        <w:tblStyle w:val="Tabelacomgrade1"/>
        <w:tblW w:w="90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509"/>
        <w:gridCol w:w="1510"/>
        <w:gridCol w:w="1510"/>
        <w:gridCol w:w="1510"/>
        <w:gridCol w:w="1510"/>
        <w:gridCol w:w="1508"/>
      </w:tblGrid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>Vagas totais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>Negros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 xml:space="preserve">Indígenas 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 xml:space="preserve">Quilombolas 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>PCD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ptos" w:hAnsi="Aptos" w:eastAsia="Aptos" w:cs="Aptos"/>
                <w:b/>
                <w:b/>
                <w:bCs/>
                <w:color w:val="4472C4"/>
                <w:lang w:eastAsia="pt-BR"/>
              </w:rPr>
            </w:pPr>
            <w:r>
              <w:rPr>
                <w:rFonts w:eastAsia="Aptos" w:cs="Aptos" w:ascii="Aptos" w:hAnsi="Aptos"/>
                <w:b/>
                <w:bCs/>
                <w:color w:val="4471C4"/>
                <w:sz w:val="20"/>
                <w:szCs w:val="20"/>
                <w:lang w:eastAsia="pt-BR"/>
              </w:rPr>
              <w:t xml:space="preserve">Trans 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5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ptos" w:hAnsi="Aptos" w:eastAsia="Aptos" w:cs="Aptos"/>
                <w:lang w:eastAsia="pt-BR"/>
              </w:rPr>
            </w:pPr>
            <w:r>
              <w:rPr>
                <w:rFonts w:eastAsia="Aptos" w:cs="Aptos" w:ascii="Aptos" w:hAnsi="Aptos"/>
                <w:sz w:val="20"/>
                <w:szCs w:val="20"/>
                <w:lang w:eastAsia="pt-BR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ptos" w:hAnsi="Aptos" w:eastAsia="Aptos" w:cs="Aptos"/>
          <w:lang w:eastAsia="pt-BR"/>
        </w:rPr>
      </w:pPr>
      <w:r>
        <w:rPr>
          <w:rFonts w:eastAsia="Aptos" w:cs="Aptos" w:ascii="Aptos" w:hAnsi="Aptos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ptos" w:hAnsi="Aptos" w:eastAsia="Aptos" w:cs="Aptos"/>
          <w:lang w:eastAsia="pt-BR"/>
        </w:rPr>
      </w:pPr>
      <w:r>
        <w:rPr>
          <w:rFonts w:eastAsia="Aptos" w:cs="Aptos" w:ascii="Aptos" w:hAnsi="Aptos"/>
          <w:lang w:eastAsia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  <w:lang w:val="pt-PT" w:eastAsia="pt-BR"/>
        </w:rPr>
      </w:pPr>
      <w:r>
        <w:rPr>
          <w:rFonts w:eastAsia="Calibri" w:cs="Calibri"/>
          <w:color w:val="000000"/>
          <w:sz w:val="20"/>
          <w:szCs w:val="20"/>
          <w:lang w:val="pt-PT" w:eastAsia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  <w:lang w:val="pt-PT" w:eastAsia="pt-BR"/>
        </w:rPr>
      </w:pPr>
      <w:r>
        <w:rPr>
          <w:rFonts w:eastAsia="Calibri" w:cs="Calibri"/>
          <w:color w:val="000000"/>
          <w:sz w:val="20"/>
          <w:szCs w:val="20"/>
          <w:lang w:val="pt-PT"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2614295" cy="49339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</w:r>
  </w:p>
  <w:p>
    <w:pPr>
      <w:pStyle w:val="Ttulo8"/>
      <w:keepNext w:val="false"/>
      <w:ind w:right="333" w:hanging="0"/>
      <w:jc w:val="center"/>
      <w:rPr>
        <w:rFonts w:ascii="Calibri" w:hAnsi="Calibri" w:eastAsia="Yu Mincho"/>
        <w:color w:val="000000"/>
        <w:sz w:val="20"/>
        <w:szCs w:val="20"/>
      </w:rPr>
    </w:pPr>
    <w:r>
      <w:rPr>
        <w:rFonts w:eastAsia="Yu Mincho" w:ascii="Calibri" w:hAnsi="Calibri"/>
        <w:color w:val="000000"/>
        <w:sz w:val="20"/>
        <w:szCs w:val="20"/>
      </w:rPr>
      <w:t>Ministério da Saúde</w:t>
    </w:r>
  </w:p>
  <w:p>
    <w:pPr>
      <w:pStyle w:val="Ttulo8"/>
      <w:keepNext w:val="false"/>
      <w:ind w:right="333" w:hanging="0"/>
      <w:jc w:val="center"/>
      <w:rPr>
        <w:rFonts w:ascii="Calibri" w:hAnsi="Calibri" w:eastAsia="Yu Mincho"/>
        <w:color w:val="000000"/>
        <w:sz w:val="20"/>
        <w:szCs w:val="20"/>
      </w:rPr>
    </w:pPr>
    <w:r>
      <w:rPr>
        <w:rFonts w:eastAsia="Yu Mincho" w:ascii="Calibri" w:hAnsi="Calibri"/>
        <w:color w:val="000000"/>
        <w:sz w:val="20"/>
        <w:szCs w:val="20"/>
      </w:rPr>
      <w:t>Secretaria de Ciência, Tecnologia e Inovação em Saúde</w:t>
    </w:r>
  </w:p>
  <w:p>
    <w:pPr>
      <w:pStyle w:val="Ttulo8"/>
      <w:keepNext w:val="false"/>
      <w:ind w:right="333" w:hanging="0"/>
      <w:jc w:val="center"/>
      <w:rPr>
        <w:rFonts w:ascii="Calibri" w:hAnsi="Calibri" w:eastAsia="Yu Mincho"/>
        <w:color w:val="000000"/>
        <w:sz w:val="20"/>
        <w:szCs w:val="20"/>
      </w:rPr>
    </w:pPr>
    <w:r>
      <w:rPr>
        <w:rFonts w:eastAsia="Yu Mincho" w:ascii="Calibri" w:hAnsi="Calibri"/>
        <w:color w:val="000000"/>
        <w:sz w:val="20"/>
        <w:szCs w:val="20"/>
      </w:rPr>
      <w:t>Departamento de Ciência e Tecnologia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1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c3c2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c2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1"/>
    <w:qFormat/>
    <w:rsid w:val="00cc3c22"/>
    <w:pPr>
      <w:keepNext w:val="true"/>
      <w:spacing w:lineRule="auto" w:line="240" w:before="0" w:after="0"/>
      <w:jc w:val="right"/>
      <w:outlineLvl w:val="7"/>
    </w:pPr>
    <w:rPr>
      <w:rFonts w:ascii="Arial" w:hAnsi="Arial" w:eastAsia="Times New Roman" w:cs="Arial"/>
      <w:color w:val="000080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c3c2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c3c22"/>
    <w:rPr/>
  </w:style>
  <w:style w:type="character" w:styleId="Ttulo8Char" w:customStyle="1">
    <w:name w:val="Título 8 Char"/>
    <w:basedOn w:val="DefaultParagraphFont"/>
    <w:link w:val="Ttulo8"/>
    <w:uiPriority w:val="1"/>
    <w:qFormat/>
    <w:rsid w:val="00cc3c22"/>
    <w:rPr>
      <w:rFonts w:ascii="Arial" w:hAnsi="Arial" w:eastAsia="Times New Roman" w:cs="Arial"/>
      <w:color w:val="000080"/>
      <w:sz w:val="48"/>
      <w:szCs w:val="48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c3c2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c3c2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rFonts w:ascii="Calibri" w:hAnsi="Calibri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Calibri" w:hAnsi="Calibri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Calibri" w:hAnsi="Calibri" w:cs="Symbol"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Calibri" w:hAnsi="Calibri" w:cs="Symbol"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Calibri" w:hAnsi="Calibri" w:cs="Symbol"/>
      <w:sz w:val="24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Calibri" w:hAnsi="Calibri" w:cs="Symbol"/>
      <w:sz w:val="24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Calibri" w:hAnsi="Calibri" w:cs="Symbol"/>
      <w:sz w:val="24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Calibri" w:hAnsi="Calibri" w:cs="Symbol"/>
      <w:sz w:val="24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Calibri" w:hAnsi="Calibri" w:cs="Symbol"/>
      <w:sz w:val="24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Calibri" w:hAnsi="Calibri" w:cs="Symbol"/>
      <w:sz w:val="24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ascii="Calibri" w:hAnsi="Calibri" w:cs="Symbol"/>
      <w:sz w:val="24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Calibri" w:hAnsi="Calibri" w:cs="Symbol"/>
      <w:sz w:val="24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cc3c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c3c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cc3c22"/>
    <w:pPr>
      <w:spacing w:after="0" w:line="240" w:lineRule="auto"/>
    </w:pPr>
    <w:rPr>
      <w:lang w:eastAsia="ja-JP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elacomgrade">
    <w:name w:val="Table Grid"/>
    <w:basedOn w:val="Tabelanormal"/>
    <w:uiPriority w:val="39"/>
    <w:rsid w:val="00cc3c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7dcb5-5612-4d92-ae63-09eb71e7fd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C60BC32307C4A8A34BEB9EA083D61" ma:contentTypeVersion="18" ma:contentTypeDescription="Create a new document." ma:contentTypeScope="" ma:versionID="fc03e5e7889d7e9b43de91f990a499df">
  <xsd:schema xmlns:xsd="http://www.w3.org/2001/XMLSchema" xmlns:xs="http://www.w3.org/2001/XMLSchema" xmlns:p="http://schemas.microsoft.com/office/2006/metadata/properties" xmlns:ns3="1b005e9d-193a-4c7e-a5a0-af39f2bb8b10" xmlns:ns4="1227dcb5-5612-4d92-ae63-09eb71e7fdfb" targetNamespace="http://schemas.microsoft.com/office/2006/metadata/properties" ma:root="true" ma:fieldsID="e4d96db3fcc2e1337f3cc91cca701895" ns3:_="" ns4:_="">
    <xsd:import namespace="1b005e9d-193a-4c7e-a5a0-af39f2bb8b10"/>
    <xsd:import namespace="1227dcb5-5612-4d92-ae63-09eb71e7fd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5e9d-193a-4c7e-a5a0-af39f2bb8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dcb5-5612-4d92-ae63-09eb71e7f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8C316-D060-429D-80FB-1D4143C79F23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1b005e9d-193a-4c7e-a5a0-af39f2bb8b10"/>
    <ds:schemaRef ds:uri="http://schemas.microsoft.com/office/infopath/2007/PartnerControls"/>
    <ds:schemaRef ds:uri="http://schemas.openxmlformats.org/package/2006/metadata/core-properties"/>
    <ds:schemaRef ds:uri="1227dcb5-5612-4d92-ae63-09eb71e7fdfb"/>
  </ds:schemaRefs>
</ds:datastoreItem>
</file>

<file path=customXml/itemProps2.xml><?xml version="1.0" encoding="utf-8"?>
<ds:datastoreItem xmlns:ds="http://schemas.openxmlformats.org/officeDocument/2006/customXml" ds:itemID="{0C7C49E1-4132-4A4E-9A24-B843B5440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7CFE7-6205-472F-B9AA-B0978915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05e9d-193a-4c7e-a5a0-af39f2bb8b10"/>
    <ds:schemaRef ds:uri="1227dcb5-5612-4d92-ae63-09eb71e7f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LibreOffice/6.2.1.2$Windows_X86_64 LibreOffice_project/7bcb35dc3024a62dea0caee87020152d1ee96e71</Application>
  <Pages>12</Pages>
  <Words>1658</Words>
  <Characters>8922</Characters>
  <CharactersWithSpaces>10341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2026-06-22T18:42:00Z</dcterms:created>
  <dc:creator>Camila Lasse Silva</dc:creator>
  <dc:description/>
  <dc:language>pt-BR</dc:language>
  <cp:lastModifiedBy>Camila Lasse Silva</cp:lastModifiedBy>
  <dcterms:modified xsi:type="dcterms:W3CDTF">2026-06-22T18:45:00Z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0x010100CD3C60BC32307C4A8A34BEB9EA083D61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