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93"/>
        <w:rPr>
          <w:sz w:val="20"/>
        </w:rPr>
      </w:pPr>
      <w:r>
        <w:rPr>
          <w:sz w:val="20"/>
        </w:rPr>
        <w:drawing>
          <wp:inline distT="0" distB="0" distL="0" distR="0">
            <wp:extent cx="717751" cy="737234"/>
            <wp:effectExtent l="0" t="0" r="0" b="0"/>
            <wp:docPr id="2" name="Image 2" descr="C:\Users\kmonteroj\AppData\Local\Microsoft\Windows\INetCache\Content.MSO\59DE854F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kmonteroj\AppData\Local\Microsoft\Windows\INetCache\Content.MSO\59DE854F.t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51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"/>
      </w:pPr>
    </w:p>
    <w:p>
      <w:pPr>
        <w:pStyle w:val="Title"/>
        <w:spacing w:line="242" w:lineRule="auto"/>
      </w:pPr>
      <w:r>
        <w:rPr/>
        <w:t>INSTRUCTIVO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PRESENTACIÓN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PROPUESTAS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CONCEPTOS</w:t>
      </w:r>
      <w:r>
        <w:rPr>
          <w:spacing w:val="-6"/>
        </w:rPr>
        <w:t> </w:t>
      </w:r>
      <w:r>
        <w:rPr/>
        <w:t>DE PROYECTOS CICLO 2028-2029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spacing w:line="240" w:lineRule="auto" w:before="0"/>
        <w:ind w:left="260" w:right="255" w:firstLine="0"/>
        <w:jc w:val="both"/>
        <w:rPr>
          <w:sz w:val="22"/>
        </w:rPr>
      </w:pPr>
      <w:r>
        <w:rPr>
          <w:sz w:val="22"/>
        </w:rPr>
        <w:t>La presentación de conceptos de proyectos ARCAL para el ciclo 2028–2029 deberá enmarcarse exclusivamente en las </w:t>
      </w:r>
      <w:r>
        <w:rPr>
          <w:b/>
          <w:sz w:val="22"/>
        </w:rPr>
        <w:t>Necesidades/Problemas (N/P) </w:t>
      </w:r>
      <w:r>
        <w:rPr>
          <w:sz w:val="22"/>
        </w:rPr>
        <w:t>definidas en la </w:t>
      </w:r>
      <w:r>
        <w:rPr>
          <w:i/>
          <w:sz w:val="22"/>
        </w:rPr>
        <w:t>Agenda ARCAL 2030</w:t>
      </w:r>
      <w:r>
        <w:rPr>
          <w:sz w:val="22"/>
        </w:rPr>
        <w:t>, correspondientes a las áreas temáticas de </w:t>
      </w:r>
      <w:r>
        <w:rPr>
          <w:b/>
          <w:sz w:val="22"/>
        </w:rPr>
        <w:t>Energía (EN) </w:t>
      </w:r>
      <w:r>
        <w:rPr>
          <w:sz w:val="22"/>
        </w:rPr>
        <w:t>y </w:t>
      </w:r>
      <w:r>
        <w:rPr>
          <w:b/>
          <w:sz w:val="22"/>
        </w:rPr>
        <w:t>Medio Ambiente (MA)</w:t>
      </w:r>
      <w:r>
        <w:rPr>
          <w:sz w:val="22"/>
        </w:rPr>
        <w:t>.</w:t>
      </w:r>
    </w:p>
    <w:p>
      <w:pPr>
        <w:pStyle w:val="BodyText"/>
        <w:spacing w:before="28"/>
      </w:pPr>
    </w:p>
    <w:p>
      <w:pPr>
        <w:pStyle w:val="BodyText"/>
        <w:ind w:left="260" w:right="267"/>
        <w:jc w:val="both"/>
      </w:pPr>
      <w:r>
        <w:rPr/>
        <w:t>La</w:t>
      </w:r>
      <w:r>
        <w:rPr>
          <w:spacing w:val="-9"/>
        </w:rPr>
        <w:t> </w:t>
      </w:r>
      <w:r>
        <w:rPr>
          <w:i/>
        </w:rPr>
        <w:t>Agenda</w:t>
      </w:r>
      <w:r>
        <w:rPr>
          <w:i/>
          <w:spacing w:val="-10"/>
        </w:rPr>
        <w:t> </w:t>
      </w:r>
      <w:r>
        <w:rPr>
          <w:i/>
        </w:rPr>
        <w:t>ARCAL</w:t>
      </w:r>
      <w:r>
        <w:rPr>
          <w:i/>
          <w:spacing w:val="-10"/>
        </w:rPr>
        <w:t> </w:t>
      </w:r>
      <w:r>
        <w:rPr>
          <w:i/>
        </w:rPr>
        <w:t>2030</w:t>
      </w:r>
      <w:r>
        <w:rPr>
          <w:i/>
          <w:spacing w:val="-2"/>
        </w:rPr>
        <w:t> </w:t>
      </w:r>
      <w:r>
        <w:rPr/>
        <w:t>tiene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proporcionar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marco</w:t>
      </w:r>
      <w:r>
        <w:rPr>
          <w:spacing w:val="-6"/>
        </w:rPr>
        <w:t> </w:t>
      </w:r>
      <w:r>
        <w:rPr/>
        <w:t>estratégico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cooperación</w:t>
      </w:r>
      <w:r>
        <w:rPr>
          <w:spacing w:val="-10"/>
        </w:rPr>
        <w:t> </w:t>
      </w:r>
      <w:r>
        <w:rPr/>
        <w:t>para América Latina y el Caribe, sustentado en un análisis detallado de los principales desafíos y prioridades regionales que pueden ser abordados mediante la aplicación de tecnologías nucleares.</w:t>
      </w:r>
    </w:p>
    <w:p>
      <w:pPr>
        <w:pStyle w:val="BodyText"/>
        <w:spacing w:before="29"/>
      </w:pPr>
    </w:p>
    <w:p>
      <w:pPr>
        <w:pStyle w:val="BodyText"/>
        <w:ind w:left="260" w:right="266"/>
        <w:jc w:val="both"/>
      </w:pPr>
      <w:r>
        <w:rPr/>
        <w:t>En línea con los resultados de largo plazo establecidos en la Agenda y en consonancia con las iniciativas</w:t>
      </w:r>
      <w:r>
        <w:rPr>
          <w:spacing w:val="-2"/>
        </w:rPr>
        <w:t> </w:t>
      </w:r>
      <w:r>
        <w:rPr/>
        <w:t>globales</w:t>
      </w:r>
      <w:r>
        <w:rPr>
          <w:spacing w:val="-2"/>
        </w:rPr>
        <w:t> </w:t>
      </w:r>
      <w:r>
        <w:rPr/>
        <w:t>promovidas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Organismo Internacional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Energía</w:t>
      </w:r>
      <w:r>
        <w:rPr>
          <w:spacing w:val="-2"/>
        </w:rPr>
        <w:t> </w:t>
      </w:r>
      <w:r>
        <w:rPr/>
        <w:t>Atómica</w:t>
      </w:r>
      <w:r>
        <w:rPr>
          <w:spacing w:val="-2"/>
        </w:rPr>
        <w:t> </w:t>
      </w:r>
      <w:r>
        <w:rPr/>
        <w:t>(OIEA), se</w:t>
      </w:r>
      <w:r>
        <w:rPr>
          <w:spacing w:val="-2"/>
        </w:rPr>
        <w:t> </w:t>
      </w:r>
      <w:r>
        <w:rPr/>
        <w:t>han formulado objetivos e indicadores específicos, definidos a</w:t>
      </w:r>
      <w:r>
        <w:rPr>
          <w:spacing w:val="-1"/>
        </w:rPr>
        <w:t> </w:t>
      </w:r>
      <w:r>
        <w:rPr/>
        <w:t>partir de líneas de base actualizadas, que permiten la fijación de metas concretas para cada ciclo de cooperación técnica.</w:t>
      </w:r>
    </w:p>
    <w:p>
      <w:pPr>
        <w:pStyle w:val="BodyText"/>
        <w:spacing w:before="27"/>
      </w:pPr>
    </w:p>
    <w:p>
      <w:pPr>
        <w:pStyle w:val="BodyText"/>
        <w:spacing w:before="1"/>
        <w:ind w:left="260" w:right="254"/>
        <w:jc w:val="both"/>
      </w:pPr>
      <w:r>
        <w:rPr/>
        <w:t>Las</w:t>
      </w:r>
      <w:r>
        <w:rPr>
          <w:spacing w:val="-13"/>
        </w:rPr>
        <w:t> </w:t>
      </w:r>
      <w:r>
        <w:rPr/>
        <w:t>propuestas</w:t>
      </w:r>
      <w:r>
        <w:rPr>
          <w:spacing w:val="-13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elaborarse</w:t>
      </w:r>
      <w:r>
        <w:rPr>
          <w:spacing w:val="-13"/>
        </w:rPr>
        <w:t> </w:t>
      </w:r>
      <w:r>
        <w:rPr/>
        <w:t>tomando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referencia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N/P</w:t>
      </w:r>
      <w:r>
        <w:rPr>
          <w:spacing w:val="-10"/>
        </w:rPr>
        <w:t> </w:t>
      </w:r>
      <w:r>
        <w:rPr/>
        <w:t>detalladas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3"/>
        </w:rPr>
        <w:t> </w:t>
      </w:r>
      <w:r>
        <w:rPr>
          <w:b/>
        </w:rPr>
        <w:t>Anexo</w:t>
      </w:r>
      <w:r>
        <w:rPr>
          <w:b/>
          <w:spacing w:val="-10"/>
        </w:rPr>
        <w:t> </w:t>
      </w:r>
      <w:r>
        <w:rPr>
          <w:b/>
        </w:rPr>
        <w:t>II</w:t>
      </w:r>
      <w:r>
        <w:rPr/>
        <w:t>,</w:t>
      </w:r>
      <w:r>
        <w:rPr>
          <w:spacing w:val="-11"/>
        </w:rPr>
        <w:t> </w:t>
      </w:r>
      <w:r>
        <w:rPr/>
        <w:t>donde se</w:t>
      </w:r>
      <w:r>
        <w:rPr>
          <w:spacing w:val="-9"/>
        </w:rPr>
        <w:t> </w:t>
      </w:r>
      <w:r>
        <w:rPr/>
        <w:t>incluyen</w:t>
      </w:r>
      <w:r>
        <w:rPr>
          <w:spacing w:val="-10"/>
        </w:rPr>
        <w:t> </w:t>
      </w:r>
      <w:r>
        <w:rPr/>
        <w:t>tanto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necesidades</w:t>
      </w:r>
      <w:r>
        <w:rPr>
          <w:spacing w:val="-9"/>
        </w:rPr>
        <w:t> </w:t>
      </w:r>
      <w:r>
        <w:rPr/>
        <w:t>priorizadas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respectivos</w:t>
      </w:r>
      <w:r>
        <w:rPr>
          <w:spacing w:val="-9"/>
        </w:rPr>
        <w:t> </w:t>
      </w:r>
      <w:r>
        <w:rPr/>
        <w:t>desgloses,</w:t>
      </w:r>
      <w:r>
        <w:rPr>
          <w:spacing w:val="-7"/>
        </w:rPr>
        <w:t> </w:t>
      </w:r>
      <w:r>
        <w:rPr/>
        <w:t>según</w:t>
      </w:r>
      <w:r>
        <w:rPr>
          <w:spacing w:val="-10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 la guía de implementación de la Agenda.</w:t>
      </w:r>
    </w:p>
    <w:p>
      <w:pPr>
        <w:pStyle w:val="BodyText"/>
        <w:spacing w:before="24"/>
      </w:pPr>
    </w:p>
    <w:p>
      <w:pPr>
        <w:spacing w:line="240" w:lineRule="auto" w:before="0"/>
        <w:ind w:left="260" w:right="256" w:firstLine="0"/>
        <w:jc w:val="both"/>
        <w:rPr>
          <w:sz w:val="22"/>
        </w:rPr>
      </w:pPr>
      <w:r>
        <w:rPr>
          <w:sz w:val="22"/>
        </w:rPr>
        <w:t>Cabe</w:t>
      </w:r>
      <w:r>
        <w:rPr>
          <w:spacing w:val="-14"/>
          <w:sz w:val="22"/>
        </w:rPr>
        <w:t> </w:t>
      </w:r>
      <w:r>
        <w:rPr>
          <w:sz w:val="22"/>
        </w:rPr>
        <w:t>señalar</w:t>
      </w:r>
      <w:r>
        <w:rPr>
          <w:spacing w:val="-13"/>
          <w:sz w:val="22"/>
        </w:rPr>
        <w:t> </w:t>
      </w:r>
      <w:r>
        <w:rPr>
          <w:sz w:val="22"/>
        </w:rPr>
        <w:t>que,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esta</w:t>
      </w:r>
      <w:r>
        <w:rPr>
          <w:spacing w:val="-13"/>
          <w:sz w:val="22"/>
        </w:rPr>
        <w:t> </w:t>
      </w:r>
      <w:r>
        <w:rPr>
          <w:sz w:val="22"/>
        </w:rPr>
        <w:t>convocatoria,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considerarán</w:t>
      </w:r>
      <w:r>
        <w:rPr>
          <w:spacing w:val="-14"/>
          <w:sz w:val="22"/>
        </w:rPr>
        <w:t> </w:t>
      </w:r>
      <w:r>
        <w:rPr>
          <w:sz w:val="22"/>
        </w:rPr>
        <w:t>propuestas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áreas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b/>
          <w:sz w:val="22"/>
        </w:rPr>
        <w:t>Alimentación y Agricultura (SA)</w:t>
      </w:r>
      <w:r>
        <w:rPr>
          <w:sz w:val="22"/>
        </w:rPr>
        <w:t>, </w:t>
      </w:r>
      <w:r>
        <w:rPr>
          <w:b/>
          <w:sz w:val="22"/>
        </w:rPr>
        <w:t>Salud Humana (SH) </w:t>
      </w:r>
      <w:r>
        <w:rPr>
          <w:sz w:val="22"/>
        </w:rPr>
        <w:t>ni </w:t>
      </w:r>
      <w:r>
        <w:rPr>
          <w:b/>
          <w:sz w:val="22"/>
        </w:rPr>
        <w:t>Tecnologías con Radiación (TR)</w:t>
      </w:r>
      <w:r>
        <w:rPr>
          <w:sz w:val="22"/>
        </w:rPr>
        <w:t>, dado que estas ya se encuentran abordadas mediante proyectos integrales formulados para el ciclo 2026–2027. Asimismo, el área de </w:t>
      </w:r>
      <w:r>
        <w:rPr>
          <w:b/>
          <w:sz w:val="22"/>
        </w:rPr>
        <w:t>Seguridad Radiológica (SR) no será incluida</w:t>
      </w:r>
      <w:r>
        <w:rPr>
          <w:sz w:val="22"/>
        </w:rPr>
        <w:t>, ya que sus prioridades están actualmente cubiertas a través de proyectos regionales fuera del marco del Acuerdo ARCAL.</w:t>
      </w:r>
    </w:p>
    <w:sectPr>
      <w:footerReference w:type="default" r:id="rId5"/>
      <w:type w:val="continuous"/>
      <w:pgSz w:w="12240" w:h="15840"/>
      <w:pgMar w:header="0" w:footer="705" w:top="1420" w:bottom="90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776">
              <wp:simplePos x="0" y="0"/>
              <wp:positionH relativeFrom="page">
                <wp:posOffset>1067117</wp:posOffset>
              </wp:positionH>
              <wp:positionV relativeFrom="page">
                <wp:posOffset>9471088</wp:posOffset>
              </wp:positionV>
              <wp:extent cx="255714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57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ANEXO I: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Instructivo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convocatoria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25002pt;margin-top:745.755005pt;width:201.35pt;height:12pt;mso-position-horizontal-relative:page;mso-position-vertical-relative:page;z-index:-157527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ANEXO I: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Instructivo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convocatoria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</w:t>
                    </w:r>
                    <w:r>
                      <w:rPr>
                        <w:spacing w:val="-4"/>
                        <w:sz w:val="18"/>
                      </w:rPr>
                      <w:t>2029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01" w:hanging="2445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98BB667210441ADC0665C80B9ED04" ma:contentTypeVersion="15" ma:contentTypeDescription="Crie um novo documento." ma:contentTypeScope="" ma:versionID="24e993c5eb0a6fe02054fb15987fe6d8">
  <xsd:schema xmlns:xsd="http://www.w3.org/2001/XMLSchema" xmlns:xs="http://www.w3.org/2001/XMLSchema" xmlns:p="http://schemas.microsoft.com/office/2006/metadata/properties" xmlns:ns2="2de6ebd6-5faf-41ec-99f1-c54bc3a86df9" xmlns:ns3="dcfa77f6-0272-484f-b64d-b68b21cbcdeb" targetNamespace="http://schemas.microsoft.com/office/2006/metadata/properties" ma:root="true" ma:fieldsID="63a565abca9aecf45e898e26aed32a12" ns2:_="" ns3:_="">
    <xsd:import namespace="2de6ebd6-5faf-41ec-99f1-c54bc3a86df9"/>
    <xsd:import namespace="dcfa77f6-0272-484f-b64d-b68b21cb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6ebd6-5faf-41ec-99f1-c54bc3a86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01563c7e-27b7-414d-8649-6bb45272f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77f6-0272-484f-b64d-b68b21cb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678ac2-eb83-4ad0-a63a-c981d68ec912}" ma:internalName="TaxCatchAll" ma:showField="CatchAllData" ma:web="dcfa77f6-0272-484f-b64d-b68b21cb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fa77f6-0272-484f-b64d-b68b21cbcdeb" xsi:nil="true"/>
    <lcf76f155ced4ddcb4097134ff3c332f xmlns="2de6ebd6-5faf-41ec-99f1-c54bc3a86d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5E2967-D84E-4BFC-8620-3462F635E043}"/>
</file>

<file path=customXml/itemProps2.xml><?xml version="1.0" encoding="utf-8"?>
<ds:datastoreItem xmlns:ds="http://schemas.openxmlformats.org/officeDocument/2006/customXml" ds:itemID="{FC8039EC-AA6D-4909-B330-8333661AA09F}"/>
</file>

<file path=customXml/itemProps3.xml><?xml version="1.0" encoding="utf-8"?>
<ds:datastoreItem xmlns:ds="http://schemas.openxmlformats.org/officeDocument/2006/customXml" ds:itemID="{DC069C24-D57A-4930-82DF-8273EB6FC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Montero Jara</dc:creator>
  <dcterms:created xsi:type="dcterms:W3CDTF">2025-11-14T15:06:35Z</dcterms:created>
  <dcterms:modified xsi:type="dcterms:W3CDTF">2025-11-14T15:06:35Z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0x010100DCA98BB667210441ADC0665C80B9ED04</vt:lpwstr>
  </property>
</Properties>
</file>