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6276D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648DC95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FBAB492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5E2AC9A5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0C321935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37CE17FD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04BE07C3" w14:textId="78FDB322" w:rsidR="00183B62" w:rsidRPr="00183B62" w:rsidRDefault="00183B62" w:rsidP="00183B62">
      <w:pPr>
        <w:spacing w:line="360" w:lineRule="auto"/>
        <w:jc w:val="both"/>
        <w:rPr>
          <w:b/>
          <w:bCs/>
          <w:sz w:val="24"/>
          <w:szCs w:val="24"/>
        </w:rPr>
      </w:pPr>
      <w:r w:rsidRPr="00183B62">
        <w:rPr>
          <w:b/>
          <w:bCs/>
          <w:sz w:val="24"/>
          <w:szCs w:val="24"/>
        </w:rPr>
        <w:t>XXXIII ASSEMBLEIA GERAL DE MINISTROS E MÁXIMAS AUTORIDADES DA HABITAÇÃO E DO DESENVOLVIMENTO URBANO DA AMÉRICA LATINA E DO CARIBE – MINURVI</w:t>
      </w:r>
    </w:p>
    <w:p w14:paraId="093C8358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0379B82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77F96BEB" w14:textId="2F55F8D4" w:rsidR="00183B62" w:rsidRPr="00183B62" w:rsidRDefault="00183B62" w:rsidP="00183B62">
      <w:pPr>
        <w:spacing w:line="360" w:lineRule="auto"/>
        <w:jc w:val="both"/>
        <w:rPr>
          <w:i/>
          <w:iCs/>
          <w:sz w:val="24"/>
          <w:szCs w:val="24"/>
        </w:rPr>
      </w:pPr>
      <w:r w:rsidRPr="00183B62">
        <w:rPr>
          <w:i/>
          <w:iCs/>
          <w:sz w:val="24"/>
          <w:szCs w:val="24"/>
        </w:rPr>
        <w:t>Belém, Brasil</w:t>
      </w:r>
      <w:r w:rsidRPr="00183B62">
        <w:rPr>
          <w:i/>
          <w:iCs/>
          <w:sz w:val="24"/>
          <w:szCs w:val="24"/>
        </w:rPr>
        <w:t xml:space="preserve"> </w:t>
      </w:r>
    </w:p>
    <w:p w14:paraId="36AE20C4" w14:textId="77777777" w:rsidR="00183B62" w:rsidRPr="00183B62" w:rsidRDefault="00183B62" w:rsidP="00183B62">
      <w:pPr>
        <w:spacing w:line="360" w:lineRule="auto"/>
        <w:jc w:val="both"/>
        <w:rPr>
          <w:i/>
          <w:iCs/>
          <w:sz w:val="24"/>
          <w:szCs w:val="24"/>
        </w:rPr>
      </w:pPr>
      <w:r w:rsidRPr="00183B62">
        <w:rPr>
          <w:i/>
          <w:iCs/>
          <w:sz w:val="24"/>
          <w:szCs w:val="24"/>
        </w:rPr>
        <w:t>12 e 13 de dezembro de 2024</w:t>
      </w:r>
    </w:p>
    <w:p w14:paraId="512BC58F" w14:textId="77777777" w:rsidR="00183B62" w:rsidRPr="00183B62" w:rsidRDefault="00183B62" w:rsidP="00183B62">
      <w:pPr>
        <w:spacing w:line="360" w:lineRule="auto"/>
        <w:jc w:val="both"/>
        <w:rPr>
          <w:i/>
          <w:iCs/>
          <w:sz w:val="24"/>
          <w:szCs w:val="24"/>
        </w:rPr>
      </w:pPr>
    </w:p>
    <w:p w14:paraId="2D92D3BC" w14:textId="77777777" w:rsidR="00183B62" w:rsidRDefault="00183B62" w:rsidP="00183B62">
      <w:pPr>
        <w:spacing w:line="360" w:lineRule="auto"/>
        <w:jc w:val="center"/>
        <w:rPr>
          <w:b/>
          <w:bCs/>
          <w:sz w:val="24"/>
          <w:szCs w:val="24"/>
        </w:rPr>
      </w:pPr>
    </w:p>
    <w:p w14:paraId="1746EE4C" w14:textId="4055906F" w:rsidR="00183B62" w:rsidRPr="00183B62" w:rsidRDefault="00183B62" w:rsidP="00183B62">
      <w:pPr>
        <w:spacing w:line="360" w:lineRule="auto"/>
        <w:jc w:val="center"/>
        <w:rPr>
          <w:b/>
          <w:bCs/>
          <w:sz w:val="24"/>
          <w:szCs w:val="24"/>
        </w:rPr>
      </w:pPr>
      <w:r w:rsidRPr="00183B62">
        <w:rPr>
          <w:b/>
          <w:bCs/>
          <w:sz w:val="24"/>
          <w:szCs w:val="24"/>
        </w:rPr>
        <w:t>Declaração de Belém</w:t>
      </w:r>
    </w:p>
    <w:p w14:paraId="173089F1" w14:textId="77777777" w:rsidR="00183B62" w:rsidRPr="00183B62" w:rsidRDefault="00183B62" w:rsidP="00183B62">
      <w:pPr>
        <w:spacing w:line="360" w:lineRule="auto"/>
        <w:jc w:val="center"/>
        <w:rPr>
          <w:b/>
          <w:bCs/>
          <w:sz w:val="24"/>
          <w:szCs w:val="24"/>
        </w:rPr>
      </w:pPr>
    </w:p>
    <w:p w14:paraId="3C289C19" w14:textId="77777777" w:rsidR="00183B62" w:rsidRPr="00183B62" w:rsidRDefault="00183B62" w:rsidP="00183B62">
      <w:pPr>
        <w:spacing w:line="360" w:lineRule="auto"/>
        <w:jc w:val="center"/>
        <w:rPr>
          <w:b/>
          <w:bCs/>
          <w:sz w:val="24"/>
          <w:szCs w:val="24"/>
        </w:rPr>
      </w:pPr>
      <w:r w:rsidRPr="00183B62">
        <w:rPr>
          <w:b/>
          <w:bCs/>
          <w:sz w:val="24"/>
          <w:szCs w:val="24"/>
        </w:rPr>
        <w:t>A habitação e a agenda urbana: prioridades estratégicas diante da crise climática global</w:t>
      </w:r>
    </w:p>
    <w:p w14:paraId="7CF931BC" w14:textId="77777777" w:rsidR="00183B62" w:rsidRPr="00183B62" w:rsidRDefault="00183B62" w:rsidP="00183B62">
      <w:pPr>
        <w:spacing w:line="360" w:lineRule="auto"/>
        <w:jc w:val="center"/>
        <w:rPr>
          <w:b/>
          <w:bCs/>
          <w:sz w:val="24"/>
          <w:szCs w:val="24"/>
        </w:rPr>
      </w:pPr>
    </w:p>
    <w:p w14:paraId="7EF60483" w14:textId="77777777" w:rsidR="00183B62" w:rsidRPr="00183B62" w:rsidRDefault="00183B62" w:rsidP="00183B62">
      <w:pPr>
        <w:spacing w:line="360" w:lineRule="auto"/>
        <w:jc w:val="center"/>
        <w:rPr>
          <w:b/>
          <w:bCs/>
          <w:sz w:val="24"/>
          <w:szCs w:val="24"/>
        </w:rPr>
      </w:pPr>
      <w:r w:rsidRPr="00183B62">
        <w:rPr>
          <w:b/>
          <w:bCs/>
          <w:sz w:val="24"/>
          <w:szCs w:val="24"/>
        </w:rPr>
        <w:t>Um papel renovado para o MINURVI e seu fortalecimento institucional</w:t>
      </w:r>
    </w:p>
    <w:p w14:paraId="3F180250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25EFA2CF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71D801F" w14:textId="1DA68DA2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 xml:space="preserve">As </w:t>
      </w:r>
      <w:r>
        <w:rPr>
          <w:sz w:val="24"/>
          <w:szCs w:val="24"/>
        </w:rPr>
        <w:t>M</w:t>
      </w:r>
      <w:r w:rsidRPr="00183B62">
        <w:rPr>
          <w:sz w:val="24"/>
          <w:szCs w:val="24"/>
        </w:rPr>
        <w:t xml:space="preserve">inistras, </w:t>
      </w:r>
      <w:r>
        <w:rPr>
          <w:sz w:val="24"/>
          <w:szCs w:val="24"/>
        </w:rPr>
        <w:t>M</w:t>
      </w:r>
      <w:r w:rsidRPr="00183B62">
        <w:rPr>
          <w:sz w:val="24"/>
          <w:szCs w:val="24"/>
        </w:rPr>
        <w:t xml:space="preserve">inistros e </w:t>
      </w:r>
      <w:r>
        <w:rPr>
          <w:sz w:val="24"/>
          <w:szCs w:val="24"/>
        </w:rPr>
        <w:t>M</w:t>
      </w:r>
      <w:r w:rsidRPr="00183B62">
        <w:rPr>
          <w:sz w:val="24"/>
          <w:szCs w:val="24"/>
        </w:rPr>
        <w:t xml:space="preserve">áximas </w:t>
      </w:r>
      <w:r>
        <w:rPr>
          <w:sz w:val="24"/>
          <w:szCs w:val="24"/>
        </w:rPr>
        <w:t>A</w:t>
      </w:r>
      <w:r w:rsidRPr="00183B62">
        <w:rPr>
          <w:sz w:val="24"/>
          <w:szCs w:val="24"/>
        </w:rPr>
        <w:t xml:space="preserve">utoridades da </w:t>
      </w:r>
      <w:r>
        <w:rPr>
          <w:sz w:val="24"/>
          <w:szCs w:val="24"/>
        </w:rPr>
        <w:t>H</w:t>
      </w:r>
      <w:r w:rsidRPr="00183B62">
        <w:rPr>
          <w:sz w:val="24"/>
          <w:szCs w:val="24"/>
        </w:rPr>
        <w:t xml:space="preserve">abitação e do </w:t>
      </w:r>
      <w:r>
        <w:rPr>
          <w:sz w:val="24"/>
          <w:szCs w:val="24"/>
        </w:rPr>
        <w:t>D</w:t>
      </w:r>
      <w:r w:rsidRPr="00183B62">
        <w:rPr>
          <w:sz w:val="24"/>
          <w:szCs w:val="24"/>
        </w:rPr>
        <w:t xml:space="preserve">esenvolvimento </w:t>
      </w:r>
      <w:r>
        <w:rPr>
          <w:sz w:val="24"/>
          <w:szCs w:val="24"/>
        </w:rPr>
        <w:t>U</w:t>
      </w:r>
      <w:r w:rsidRPr="00183B62">
        <w:rPr>
          <w:sz w:val="24"/>
          <w:szCs w:val="24"/>
        </w:rPr>
        <w:t>rbano da América Latina e do Caribe, participantes desta trigésima terceira Assembleia Geral, declaram o seguinte:</w:t>
      </w:r>
    </w:p>
    <w:p w14:paraId="61C8DC8F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71C235BC" w14:textId="77777777" w:rsidR="00183B62" w:rsidRPr="00183B62" w:rsidRDefault="00183B62" w:rsidP="00183B62">
      <w:pPr>
        <w:spacing w:line="360" w:lineRule="auto"/>
        <w:jc w:val="both"/>
        <w:rPr>
          <w:b/>
          <w:bCs/>
          <w:sz w:val="24"/>
          <w:szCs w:val="24"/>
        </w:rPr>
      </w:pPr>
      <w:r w:rsidRPr="00183B62">
        <w:rPr>
          <w:b/>
          <w:bCs/>
          <w:sz w:val="24"/>
          <w:szCs w:val="24"/>
        </w:rPr>
        <w:t>Considerando que:</w:t>
      </w:r>
    </w:p>
    <w:p w14:paraId="42945AB1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506819A2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O Fórum de Ministros e Máximas Autoridades da Habitação e do Desenvolvimento Urbano da América Latina e do Caribe (MINURVI), estabelecido em 1992, é o principal espaço para promover a coordenação e a cooperação regional em assuntos relacionados à habitação adequada e ao desenvolvimento sustentável das cidades e áreas urbanas na América Latina e no Caribe.</w:t>
      </w:r>
    </w:p>
    <w:p w14:paraId="44AC33D1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7A4C031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457612F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38A06E92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D4CBC35" w14:textId="7737F434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O acesso à habitação adequada e ao solo urbanizável, assim como a melhoria de assentamentos informais, continuam sendo aspectos críticos a serem considerados nos esforços de desenvolvimento sustentável e inclusivo nos países da região.</w:t>
      </w:r>
    </w:p>
    <w:p w14:paraId="23DD0A95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71EBBAFC" w14:textId="3DCA58FA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 xml:space="preserve">A América Latina e o Caribe </w:t>
      </w:r>
      <w:r>
        <w:rPr>
          <w:sz w:val="24"/>
          <w:szCs w:val="24"/>
        </w:rPr>
        <w:t>constituem</w:t>
      </w:r>
      <w:r w:rsidRPr="00183B62">
        <w:rPr>
          <w:sz w:val="24"/>
          <w:szCs w:val="24"/>
        </w:rPr>
        <w:t xml:space="preserve"> uma região com desafios e oportunidades únicas, sendo a mais urbanizada do mundo em desenvolvimento e, dado os altos níveis de desigualdade e diversidade, exige a promoção de um desenvolvimento urbano sustentável, resiliente, inclusivo e produtivo.</w:t>
      </w:r>
    </w:p>
    <w:p w14:paraId="7B7152F9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5891D5B" w14:textId="039FF83B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As cidades da região, devido à sua condição geográfica e socioeconômica, são altamente vulneráveis aos efeitos das mudanças climáticas – um dos desafios mais urgentes do nosso tempo – e sofrem impactos exacerbados de fenômenos meteorológicos extremos e da perda de ecossistemas; tudo em um contexto de desigualdades sociais e econômicas. Esse contexto evidencia a necessidade de estratégias ativas de ordenamento territorial e desenvolvimento urbano na formulação de planos nacionais e locais de mitigação e, sobretudo, de adaptação.</w:t>
      </w:r>
    </w:p>
    <w:p w14:paraId="3838127D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5A2A0480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As cidades são espaços onde se expressam e reproduzem altos níveis de segregação socioespacial e baixos níveis de produtividade, mas também possuem um imenso potencial para gerar soluções e responder às crises, maximizando impactos positivos nas dimensões ambiental, econômica e social.</w:t>
      </w:r>
    </w:p>
    <w:p w14:paraId="18FB7A18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0287AB29" w14:textId="77777777" w:rsidR="00183B62" w:rsidRPr="00183B62" w:rsidRDefault="00183B62" w:rsidP="00183B62">
      <w:pPr>
        <w:spacing w:line="360" w:lineRule="auto"/>
        <w:jc w:val="both"/>
        <w:rPr>
          <w:b/>
          <w:bCs/>
          <w:sz w:val="24"/>
          <w:szCs w:val="24"/>
        </w:rPr>
      </w:pPr>
      <w:r w:rsidRPr="00183B62">
        <w:rPr>
          <w:b/>
          <w:bCs/>
          <w:sz w:val="24"/>
          <w:szCs w:val="24"/>
        </w:rPr>
        <w:t>Reconhecendo:</w:t>
      </w:r>
    </w:p>
    <w:p w14:paraId="29BDFF77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CC91B6E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 xml:space="preserve">A relevância estratégica do MINURVI, que reúne as máximas autoridades em habitação e desenvolvimento urbano, fortalecendo o intercâmbio de experiências e lições aprendidas, com o propósito de consolidar esforços práticos e orientados a </w:t>
      </w:r>
    </w:p>
    <w:p w14:paraId="378B9B0B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65F2A078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706EF8D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007DA7D1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3F8C84D7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78FE3B37" w14:textId="6F9B9ABF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resultados em direção a um desenvolvimento urbano mais sustentável na América Latina e no Caribe.</w:t>
      </w:r>
    </w:p>
    <w:p w14:paraId="4C32ACA8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F1696A7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A valiosa contribuição da Comissão Econômica para a América Latina e o Caribe (CEPAL) e do Programa das Nações Unidas para os Assentamentos Humanos (ONU-Habitat), que, em seu papel conjunto de Secretaria Técnica do MINURVI, têm acompanhado e apoiado continuamente o MINURVI e os esforços da região em direção ao desenvolvimento urbano sustentável e ao acesso à habitação adequada.</w:t>
      </w:r>
    </w:p>
    <w:p w14:paraId="309E548B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51E2419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A liderança do Comitê Executivo do MINURVI, liderado pelo Ministro das Cidades do Brasil, na organização da trigésima terceira Assembleia Geral, como um espaço chave para fortalecer a agenda regional em habitação adequada e desenvolvimento urbano.</w:t>
      </w:r>
    </w:p>
    <w:p w14:paraId="305BB77D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99AF92C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A necessidade de uma cooperação regional reforçada para dar visibilidade ao papel estratégico das políticas urbanas e habitacionais na resposta à crise climática e na promoção de uma maior equidade econômica, social e ambiental, abordando temas prioritários como:</w:t>
      </w:r>
    </w:p>
    <w:p w14:paraId="5955E0C1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E9C28CD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a. Estratégias integrais diante das mudanças climáticas.</w:t>
      </w:r>
    </w:p>
    <w:p w14:paraId="57D60E66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b. A habitação adequada e o planejamento urbano como eixos chave para avançar na Agenda 2030.</w:t>
      </w:r>
    </w:p>
    <w:p w14:paraId="49F3354C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c. Renovação e requalificação urbana como motores de sustentabilidade.</w:t>
      </w:r>
    </w:p>
    <w:p w14:paraId="12508113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d. Gestão do solo e mecanismos inovadores de financiamento.</w:t>
      </w:r>
    </w:p>
    <w:p w14:paraId="35746EEC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e. O desenvolvimento urbano inclusivo e sustentável na Região Amazônica.</w:t>
      </w:r>
    </w:p>
    <w:p w14:paraId="4ED03657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24C182F2" w14:textId="77777777" w:rsidR="00183B62" w:rsidRPr="00183B62" w:rsidRDefault="00183B62" w:rsidP="00183B62">
      <w:pPr>
        <w:spacing w:line="360" w:lineRule="auto"/>
        <w:jc w:val="both"/>
        <w:rPr>
          <w:b/>
          <w:bCs/>
          <w:sz w:val="24"/>
          <w:szCs w:val="24"/>
        </w:rPr>
      </w:pPr>
      <w:r w:rsidRPr="00183B62">
        <w:rPr>
          <w:b/>
          <w:bCs/>
          <w:sz w:val="24"/>
          <w:szCs w:val="24"/>
        </w:rPr>
        <w:t>Comprometemo-nos a:</w:t>
      </w:r>
    </w:p>
    <w:p w14:paraId="2EC94180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79E29F31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Continuar os esforços destinados ao cumprimento dos princípios e metas da Agenda 2030, da Nova Agenda Urbana, do Acordo de Paris, do Marco de Sendai, assim como a promoção e proteção dos Direitos Humanos, em particular o direito à cidade e à habitação adequada.</w:t>
      </w:r>
    </w:p>
    <w:p w14:paraId="060216E3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4CB997C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68A18573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0E40C0EB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934AE27" w14:textId="17896DAA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Fortalecer o desenvolvimento urbano sustentável por meio de ações e estratégias específicas de adaptação e mitigação das mudanças climáticas, assim como a prevenção e gestão de riscos de desastres, através do ordenamento territorial, planejamento urbano e promoção de habitações resilientes que atendam às necessidades das comunidades mais vulneráveis.</w:t>
      </w:r>
    </w:p>
    <w:p w14:paraId="1509BDAD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31BE4F78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Impulsionar a renovação urbana, em particular das áreas centrais das cidades da região, buscando dinamizar a utilização mais eficiente do solo e das edificações existentes sob uma perspectiva de economia circular e de proximidade, adotando estratégias e ações concretas que promovam a descarbonização das edificações.</w:t>
      </w:r>
    </w:p>
    <w:p w14:paraId="6CFB7C38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06D95114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Elaborar e implementar políticas urbanas baseadas em equidade e sustentabilidade, priorizando o bem-estar coletivo, a coesão social e que resultem de um processo vigoroso de participação social, no qual sejam garantidos, de forma oportuna e eficaz, os direitos de acesso à informação e à participação cidadã.</w:t>
      </w:r>
    </w:p>
    <w:p w14:paraId="5A0832EC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07966C97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Desenvolver instrumentos de financiamento que permitam capturar parcialmente a valorização do solo urbano, resultante de mudanças normativas e/ou investimento público, de maneira que priorize o interesse público e permita financiar a infraestrutura urbana de forma sustentável e equitativa, considerando também a função social e ecológica do solo.</w:t>
      </w:r>
    </w:p>
    <w:p w14:paraId="30D0A311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F0C7E38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Fortalecer as plataformas que permitam o acompanhamento dos avanços na implementação da Nova Agenda Urbana na América Latina e no Caribe, na localização dos Objetivos de Desenvolvimento Sustentável (ODS) e na promoção da habitação adequada, incluindo a Plataforma Urbana e das Cidades, que é um repositório estratégico para as ações e resultados do MINURVI, a plataforma da Agenda Urbana, a plataforma UHPH e outras da região.</w:t>
      </w:r>
    </w:p>
    <w:p w14:paraId="2D530948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56471FBF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01DC8E7D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5BA1E4A3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4E8B669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31554F6F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6597C7F3" w14:textId="3EAA9650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Promover, inclusive com a formação de coalizões, o intercâmbio regional e inter-regional de dados, conhecimentos e boas práticas, fortalecendo a cooperação entre os países para aprender com experiências exitosas em habitação adequada e desenvolvimento urbano, e ampliar a difusão dessas lições em benefício da América Latina e do Caribe e de outras regiões do mundo.</w:t>
      </w:r>
    </w:p>
    <w:p w14:paraId="0ADEA958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B13564F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Participar ativamente em fóruns regionais e globais, incluindo a Continuação da Segunda Assembleia das Nações Unidas Habitat em 2025, posicionando a visão e as decisões do MINURVI como uma voz relevante e representativa da América Latina e do Caribe nos temas de habitação adequada e desenvolvimento urbano sustentável.</w:t>
      </w:r>
    </w:p>
    <w:p w14:paraId="4FE2D729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C651E27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Retomar a formulação de um Acordo Urbanístico Latino-americano e do Caribe, considerando as recentes resoluções da Assembleia das Nações Unidas Habitat sobre Habitação para Todos e Localização dos ODS.</w:t>
      </w:r>
    </w:p>
    <w:p w14:paraId="5E42AB56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3EB3F508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Reafirmar e impulsionar a importância da agenda urbana nas discussões climáticas, sobretudo no contexto da 30ª Conferência das Partes da Convenção das Nações Unidas sobre Mudanças Climáticas (UNFCCC), a ser realizada em Belém, Brasil, em novembro de 2025, promovendo mais meios de implementação do Acordo de Paris no que diz respeito à mitigação e, sobretudo, à adaptação climática de suas cidades e regiões mais vulneráveis.</w:t>
      </w:r>
    </w:p>
    <w:p w14:paraId="18CC183D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68CA97F3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Promover a adesão de todos os países da região à Coalizão para as Parcerias Multiníveis de Grande Ambição (CHAMP, na sigla em inglês) para a Ação Climática, assim como ao Conselho Intergovernamental de Edificações e Clima (ICBC, na sigla em inglês), para a implementação da Declaração de Chaillot, com ênfase em habitação de interesse social.</w:t>
      </w:r>
    </w:p>
    <w:p w14:paraId="3F344388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7AC78F39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 xml:space="preserve">Procurar estabelecer posições comuns da região nas iniciativas mencionadas acima, bem como promover a formação de grupos de trabalho ad hoc em temáticas de </w:t>
      </w:r>
    </w:p>
    <w:p w14:paraId="10AA266E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5782A16B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05CA61D5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6FD2C149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530F94B8" w14:textId="4017E5AC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interesse, sob a coordenação de um país membro, cujas tarefas deverão observar uma fase técnica prévia à sua inclusão na agenda da Assembleia Geral.</w:t>
      </w:r>
    </w:p>
    <w:p w14:paraId="17C9284B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B1B89BC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Impulsionar o desenvolvimento de um Marco Estratégico de Desenvolvimento Urbano para a Amazônia, como resultado do trabalho do Grupo de Trabalho do MINURVI para a região amazônica, que permita orientar políticas urbanas e habitacionais alinhadas com as agendas globais de desenvolvimento e características sociais, culturais e ambientais deste bioma, promovendo uma urbanização sustentável que priorize a conservação da biodiversidade, a resiliência climática e o bem-estar das comunidades locais.</w:t>
      </w:r>
    </w:p>
    <w:p w14:paraId="0A7FA587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5DFDD04F" w14:textId="77777777" w:rsidR="00183B62" w:rsidRPr="00183B62" w:rsidRDefault="00183B62" w:rsidP="00183B62">
      <w:pPr>
        <w:spacing w:line="360" w:lineRule="auto"/>
        <w:jc w:val="both"/>
        <w:rPr>
          <w:b/>
          <w:bCs/>
          <w:sz w:val="24"/>
          <w:szCs w:val="24"/>
        </w:rPr>
      </w:pPr>
      <w:r w:rsidRPr="00183B62">
        <w:rPr>
          <w:b/>
          <w:bCs/>
          <w:sz w:val="24"/>
          <w:szCs w:val="24"/>
        </w:rPr>
        <w:t>Decidimos, ademais:</w:t>
      </w:r>
    </w:p>
    <w:p w14:paraId="6D2D3D3D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7B93457E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Aprovar a atualização do Regulamento Interno do MINURVI.</w:t>
      </w:r>
    </w:p>
    <w:p w14:paraId="5BDDE82F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6B214530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Escolher XXX como sede da XXXIV Assembleia Geral do MINURVI.</w:t>
      </w:r>
    </w:p>
    <w:p w14:paraId="766834C6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6BD9754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Eleger o seguinte Comitê Executivo, que acompanhará o período de 2025:</w:t>
      </w:r>
    </w:p>
    <w:p w14:paraId="02632DB0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31DC66F2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Presidência:</w:t>
      </w:r>
    </w:p>
    <w:p w14:paraId="6F66199F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3AF1D316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Vice-Presidência:</w:t>
      </w:r>
    </w:p>
    <w:p w14:paraId="6A3BC33D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11BDE99C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Representação da Região Caribe:</w:t>
      </w:r>
    </w:p>
    <w:p w14:paraId="3DB7AF1C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AC589CE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Representação da Região América do Sul:</w:t>
      </w:r>
    </w:p>
    <w:p w14:paraId="17448C5D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3BC98E2C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Representação da Região América Central e México:</w:t>
      </w:r>
    </w:p>
    <w:p w14:paraId="3E600547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63F5A970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F15A67F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20B444BC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0A539F2C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4A0AF6FC" w14:textId="77777777" w:rsid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04B73FBA" w14:textId="450E20BE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Assinado pelas Ministras, Ministros e/ou Máximas Autoridades da Habitação e do Desenvolvimento Urbano da América Latina e do Caribe, ou seus delegados, que participaram presencialmente da XXXIII Assembleia Geral do MINURVI em Belém, aos 13 dias do mês de dezembro de 2024.</w:t>
      </w:r>
    </w:p>
    <w:p w14:paraId="05146843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</w:p>
    <w:p w14:paraId="7AF093D3" w14:textId="77777777" w:rsidR="00183B62" w:rsidRPr="00183B62" w:rsidRDefault="00183B62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sz w:val="24"/>
          <w:szCs w:val="24"/>
        </w:rPr>
        <w:t>[Adicionar nome, cargo, cidade das autoridades/representantes signatários]</w:t>
      </w:r>
    </w:p>
    <w:p w14:paraId="1058E4DD" w14:textId="77777777" w:rsidR="00C73735" w:rsidRPr="00183B62" w:rsidRDefault="00000000" w:rsidP="00183B62">
      <w:pPr>
        <w:spacing w:line="360" w:lineRule="auto"/>
        <w:jc w:val="both"/>
        <w:rPr>
          <w:sz w:val="24"/>
          <w:szCs w:val="24"/>
        </w:rPr>
      </w:pPr>
      <w:r w:rsidRPr="00183B62">
        <w:rPr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anchorId="3D50A17E" wp14:editId="595022E2">
            <wp:simplePos x="0" y="0"/>
            <wp:positionH relativeFrom="column">
              <wp:posOffset>1927388</wp:posOffset>
            </wp:positionH>
            <wp:positionV relativeFrom="paragraph">
              <wp:posOffset>8543925</wp:posOffset>
            </wp:positionV>
            <wp:extent cx="1875024" cy="10441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024" cy="1044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73735" w:rsidRPr="00183B62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CBCBE" w14:textId="77777777" w:rsidR="0007067E" w:rsidRDefault="0007067E">
      <w:pPr>
        <w:spacing w:line="240" w:lineRule="auto"/>
      </w:pPr>
      <w:r>
        <w:separator/>
      </w:r>
    </w:p>
  </w:endnote>
  <w:endnote w:type="continuationSeparator" w:id="0">
    <w:p w14:paraId="13C6FBC8" w14:textId="77777777" w:rsidR="0007067E" w:rsidRDefault="00070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061C" w14:textId="77777777" w:rsidR="00C73735" w:rsidRDefault="00C737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6734E" w14:textId="77777777" w:rsidR="0007067E" w:rsidRDefault="0007067E">
      <w:pPr>
        <w:spacing w:line="240" w:lineRule="auto"/>
      </w:pPr>
      <w:r>
        <w:separator/>
      </w:r>
    </w:p>
  </w:footnote>
  <w:footnote w:type="continuationSeparator" w:id="0">
    <w:p w14:paraId="542210BC" w14:textId="77777777" w:rsidR="0007067E" w:rsidRDefault="00070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4635F" w14:textId="77777777" w:rsidR="00C73735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D1F5D00" wp14:editId="773F9E31">
          <wp:simplePos x="0" y="0"/>
          <wp:positionH relativeFrom="column">
            <wp:posOffset>1832138</wp:posOffset>
          </wp:positionH>
          <wp:positionV relativeFrom="paragraph">
            <wp:posOffset>-85724</wp:posOffset>
          </wp:positionV>
          <wp:extent cx="2063523" cy="14849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3523" cy="148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4520D5" w14:textId="77777777" w:rsidR="00C73735" w:rsidRDefault="00C737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35"/>
    <w:rsid w:val="0007067E"/>
    <w:rsid w:val="00183B62"/>
    <w:rsid w:val="005C704B"/>
    <w:rsid w:val="00C7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7D75"/>
  <w15:docId w15:val="{EC493BE1-2106-45B0-B3E0-90ACE270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1431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Bruna Carneiro</cp:lastModifiedBy>
  <cp:revision>2</cp:revision>
  <dcterms:created xsi:type="dcterms:W3CDTF">2024-12-13T16:19:00Z</dcterms:created>
  <dcterms:modified xsi:type="dcterms:W3CDTF">2024-12-13T16:19:00Z</dcterms:modified>
</cp:coreProperties>
</file>