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867E" w14:textId="77777777" w:rsidR="00A14568" w:rsidRPr="004F3D85" w:rsidRDefault="0009217F">
      <w:pPr>
        <w:pStyle w:val="Ttulo"/>
        <w:rPr>
          <w:sz w:val="42"/>
          <w:szCs w:val="42"/>
        </w:rPr>
      </w:pPr>
      <w:bookmarkStart w:id="0" w:name="_GoBack"/>
      <w:bookmarkEnd w:id="0"/>
      <w:r w:rsidRPr="004F3D85">
        <w:rPr>
          <w:sz w:val="42"/>
          <w:szCs w:val="42"/>
        </w:rPr>
        <w:t xml:space="preserve">Relatório de status </w:t>
      </w:r>
      <w:r w:rsidR="00043C5A" w:rsidRPr="004F3D85">
        <w:rPr>
          <w:sz w:val="42"/>
          <w:szCs w:val="42"/>
        </w:rPr>
        <w:t>de execução de compromisso</w:t>
      </w:r>
    </w:p>
    <w:p w14:paraId="058F51A4" w14:textId="77777777" w:rsidR="00A14568" w:rsidRPr="004F3D85" w:rsidRDefault="0009217F">
      <w:pPr>
        <w:pStyle w:val="ttulo1"/>
      </w:pPr>
      <w:r w:rsidRPr="004F3D85">
        <w:t xml:space="preserve">Resumo do </w:t>
      </w:r>
      <w:r w:rsidR="00043C5A" w:rsidRPr="004F3D85">
        <w:t>compromisso</w:t>
      </w: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220"/>
        <w:gridCol w:w="5201"/>
      </w:tblGrid>
      <w:tr w:rsidR="00A14568" w:rsidRPr="004F3D85" w14:paraId="4EFA7CCB" w14:textId="77777777" w:rsidTr="00F8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4" w:type="dxa"/>
          </w:tcPr>
          <w:p w14:paraId="663BA717" w14:textId="77777777" w:rsidR="00A14568" w:rsidRPr="004F3D85" w:rsidRDefault="0009217F">
            <w:r w:rsidRPr="004F3D85">
              <w:t>Data do relatório</w:t>
            </w:r>
          </w:p>
        </w:tc>
        <w:tc>
          <w:tcPr>
            <w:tcW w:w="3548" w:type="dxa"/>
          </w:tcPr>
          <w:p w14:paraId="19860522" w14:textId="77777777" w:rsidR="00A14568" w:rsidRPr="004F3D85" w:rsidRDefault="00043C5A">
            <w:r w:rsidRPr="004F3D85">
              <w:t>compromisso</w:t>
            </w:r>
          </w:p>
        </w:tc>
        <w:tc>
          <w:tcPr>
            <w:tcW w:w="3535" w:type="dxa"/>
          </w:tcPr>
          <w:p w14:paraId="457FB2C8" w14:textId="77777777" w:rsidR="00A14568" w:rsidRPr="004F3D85" w:rsidRDefault="0009217F">
            <w:r w:rsidRPr="004F3D85">
              <w:t>Preparado por</w:t>
            </w:r>
          </w:p>
        </w:tc>
      </w:tr>
      <w:tr w:rsidR="00A14568" w:rsidRPr="004F3D85" w14:paraId="34D148BB" w14:textId="77777777" w:rsidTr="00F83ECD">
        <w:sdt>
          <w:sdtPr>
            <w:rPr>
              <w:rFonts w:asciiTheme="majorHAnsi" w:hAnsiTheme="majorHAnsi"/>
            </w:rPr>
            <w:id w:val="1279524753"/>
            <w:placeholder>
              <w:docPart w:val="8D34AF7BB2D4427DBD72B8B80AF4868B"/>
            </w:placeholder>
            <w:date>
              <w:dateFormat w:val="d 'de' MMMM 'de' 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</w:tcPr>
              <w:p w14:paraId="7A92654A" w14:textId="105BA17D" w:rsidR="00A14568" w:rsidRPr="00D9302F" w:rsidRDefault="0000540C" w:rsidP="004F3D85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maio</w:t>
                </w:r>
                <w:r w:rsidR="001377B2">
                  <w:rPr>
                    <w:rFonts w:asciiTheme="majorHAnsi" w:hAnsiTheme="majorHAnsi"/>
                  </w:rPr>
                  <w:t xml:space="preserve"> de 2020</w:t>
                </w:r>
              </w:p>
            </w:tc>
          </w:sdtContent>
        </w:sdt>
        <w:tc>
          <w:tcPr>
            <w:tcW w:w="3548" w:type="dxa"/>
          </w:tcPr>
          <w:p w14:paraId="5D44B726" w14:textId="77777777" w:rsidR="00A14568" w:rsidRPr="004F3D85" w:rsidRDefault="00084E30" w:rsidP="004F3D85">
            <w:pPr>
              <w:rPr>
                <w:rFonts w:asciiTheme="majorHAnsi" w:hAnsiTheme="majorHAnsi"/>
              </w:rPr>
            </w:pPr>
            <w:r w:rsidRPr="00084E30">
              <w:rPr>
                <w:rFonts w:asciiTheme="majorHAnsi" w:hAnsiTheme="majorHAnsi"/>
              </w:rPr>
              <w:t xml:space="preserve">Compromisso </w:t>
            </w:r>
            <w:r w:rsidR="00A6059D" w:rsidRPr="00A6059D">
              <w:rPr>
                <w:rFonts w:asciiTheme="majorHAnsi" w:hAnsiTheme="majorHAnsi"/>
              </w:rPr>
              <w:t>4. Implementar ações de formação voltadas aos gestores públicos e à sociedade civil com o objetivo de ampliar o reconhecimento do Direito Humano à Alimentação Adequada (DHAA) e fortalecer o controle social da política de Segurança Alimentar e Nutricional (SAN)</w:t>
            </w:r>
          </w:p>
        </w:tc>
        <w:tc>
          <w:tcPr>
            <w:tcW w:w="3535" w:type="dxa"/>
          </w:tcPr>
          <w:p w14:paraId="303322F8" w14:textId="77777777" w:rsidR="00A14568" w:rsidRPr="004F3D85" w:rsidRDefault="00A6059D" w:rsidP="004F3D85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Elcio de Souza Magalhães</w:t>
            </w:r>
          </w:p>
        </w:tc>
      </w:tr>
    </w:tbl>
    <w:p w14:paraId="5BDFF018" w14:textId="77777777" w:rsidR="00043C5A" w:rsidRPr="004F3D85" w:rsidRDefault="0085489E" w:rsidP="00043C5A">
      <w:pPr>
        <w:pStyle w:val="ttulo1"/>
      </w:pPr>
      <w:r w:rsidRPr="004F3D85">
        <w:t xml:space="preserve">Órgão Responsável e </w:t>
      </w:r>
      <w:r w:rsidR="00043C5A" w:rsidRPr="004F3D85">
        <w:t xml:space="preserve">entidades </w:t>
      </w:r>
      <w:r w:rsidRPr="004F3D85">
        <w:t>Participantes</w:t>
      </w:r>
    </w:p>
    <w:p w14:paraId="390AB178" w14:textId="77777777" w:rsidR="007E59F4" w:rsidRPr="004F3D85" w:rsidRDefault="007E59F4" w:rsidP="00043C5A">
      <w:pPr>
        <w:rPr>
          <w:rFonts w:asciiTheme="majorHAnsi" w:hAnsiTheme="majorHAnsi"/>
        </w:rPr>
      </w:pP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1877"/>
        <w:gridCol w:w="9752"/>
      </w:tblGrid>
      <w:tr w:rsidR="00057EE7" w:rsidRPr="004F3D85" w14:paraId="029178BF" w14:textId="77777777" w:rsidTr="00057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gridSpan w:val="2"/>
          </w:tcPr>
          <w:p w14:paraId="6A471FE2" w14:textId="77777777" w:rsidR="00057EE7" w:rsidRPr="004F3D85" w:rsidRDefault="00057EE7" w:rsidP="007D0FB1">
            <w:r w:rsidRPr="004F3D85">
              <w:rPr>
                <w:caps w:val="0"/>
                <w:color w:val="595959" w:themeColor="text1" w:themeTint="A6"/>
              </w:rPr>
              <w:t>Órgão coordenador</w:t>
            </w:r>
          </w:p>
        </w:tc>
        <w:tc>
          <w:tcPr>
            <w:tcW w:w="6628" w:type="dxa"/>
          </w:tcPr>
          <w:p w14:paraId="459F1265" w14:textId="719BA0B7" w:rsidR="00057EE7" w:rsidRPr="004F3D85" w:rsidRDefault="006C0848" w:rsidP="007D0FB1">
            <w:r>
              <w:rPr>
                <w:caps w:val="0"/>
                <w:color w:val="595959" w:themeColor="text1" w:themeTint="A6"/>
              </w:rPr>
              <w:t>Ministério da Cidadania (incorporou o MDS)</w:t>
            </w:r>
          </w:p>
        </w:tc>
      </w:tr>
      <w:tr w:rsidR="007E59F4" w:rsidRPr="004F3D85" w14:paraId="608EFEC6" w14:textId="77777777" w:rsidTr="00057EE7">
        <w:tc>
          <w:tcPr>
            <w:tcW w:w="1843" w:type="dxa"/>
            <w:vMerge w:val="restart"/>
          </w:tcPr>
          <w:p w14:paraId="21D1F8E0" w14:textId="77777777" w:rsidR="007E59F4" w:rsidRPr="004F3D85" w:rsidRDefault="007E59F4" w:rsidP="007D0FB1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Atores Envolvidos</w:t>
            </w:r>
          </w:p>
        </w:tc>
        <w:tc>
          <w:tcPr>
            <w:tcW w:w="1276" w:type="dxa"/>
          </w:tcPr>
          <w:p w14:paraId="0F4579C7" w14:textId="77777777" w:rsidR="007E59F4" w:rsidRPr="004F3D85" w:rsidRDefault="007E59F4" w:rsidP="007D0FB1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Governo</w:t>
            </w:r>
          </w:p>
        </w:tc>
        <w:tc>
          <w:tcPr>
            <w:tcW w:w="6628" w:type="dxa"/>
          </w:tcPr>
          <w:p w14:paraId="775D8DF3" w14:textId="77777777" w:rsidR="00A6059D" w:rsidRPr="00A6059D" w:rsidRDefault="00A6059D" w:rsidP="00A6059D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Secretaria de Estado de ciência, Tecnologia e Desenvolvimento Social do Rio de Janeiro</w:t>
            </w:r>
          </w:p>
          <w:p w14:paraId="5B1B8821" w14:textId="3B4902D3" w:rsidR="00A6059D" w:rsidRPr="00A6059D" w:rsidRDefault="00A6059D" w:rsidP="00A6059D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Controladoria-Geral da União – CGU</w:t>
            </w:r>
          </w:p>
          <w:p w14:paraId="6B9F7D18" w14:textId="7F2734B6" w:rsidR="007E59F4" w:rsidRPr="004F3D85" w:rsidRDefault="00A6059D" w:rsidP="00A6059D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 xml:space="preserve">Escola Nacional de Administração Pública </w:t>
            </w:r>
            <w:r w:rsidR="00D63DD1">
              <w:rPr>
                <w:rFonts w:asciiTheme="majorHAnsi" w:hAnsiTheme="majorHAnsi"/>
              </w:rPr>
              <w:t xml:space="preserve"> </w:t>
            </w:r>
            <w:r w:rsidRPr="00A6059D">
              <w:rPr>
                <w:rFonts w:asciiTheme="majorHAnsi" w:hAnsiTheme="majorHAnsi"/>
              </w:rPr>
              <w:t>– ENAP</w:t>
            </w:r>
          </w:p>
        </w:tc>
      </w:tr>
      <w:tr w:rsidR="007E59F4" w:rsidRPr="004F3D85" w14:paraId="276BE9F0" w14:textId="77777777" w:rsidTr="00057EE7">
        <w:tc>
          <w:tcPr>
            <w:tcW w:w="1843" w:type="dxa"/>
            <w:vMerge/>
          </w:tcPr>
          <w:p w14:paraId="68D0D1E9" w14:textId="77777777" w:rsidR="007E59F4" w:rsidRPr="004F3D85" w:rsidRDefault="007E59F4" w:rsidP="007D0FB1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2E11CBA3" w14:textId="77777777" w:rsidR="007E59F4" w:rsidRPr="004F3D85" w:rsidRDefault="007E59F4" w:rsidP="007D0FB1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Sociedade Civil</w:t>
            </w:r>
          </w:p>
        </w:tc>
        <w:tc>
          <w:tcPr>
            <w:tcW w:w="6628" w:type="dxa"/>
          </w:tcPr>
          <w:p w14:paraId="7BBDE695" w14:textId="59D57240" w:rsidR="00A6059D" w:rsidRPr="00A6059D" w:rsidRDefault="001377B2" w:rsidP="00A6059D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Comissão de Presidentes de CONSEAS Estaduais</w:t>
            </w:r>
          </w:p>
          <w:p w14:paraId="3F43CF13" w14:textId="77777777" w:rsidR="007E59F4" w:rsidRPr="004F3D85" w:rsidRDefault="00A6059D" w:rsidP="00A6059D">
            <w:pPr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Universidade Federal de Santa Catarina – UFSC</w:t>
            </w:r>
          </w:p>
        </w:tc>
      </w:tr>
    </w:tbl>
    <w:p w14:paraId="71FA7473" w14:textId="77777777" w:rsidR="00043C5A" w:rsidRPr="004F3D85" w:rsidRDefault="00043C5A" w:rsidP="00043C5A">
      <w:pPr>
        <w:rPr>
          <w:rFonts w:asciiTheme="majorHAnsi" w:hAnsiTheme="majorHAnsi"/>
        </w:rPr>
      </w:pPr>
    </w:p>
    <w:p w14:paraId="30525EEF" w14:textId="77777777" w:rsidR="00010944" w:rsidRPr="004F3D85" w:rsidRDefault="00010944" w:rsidP="00010944">
      <w:pPr>
        <w:pStyle w:val="ttulo1"/>
      </w:pPr>
      <w:r w:rsidRPr="004F3D85">
        <w:t>VISÃO GERAL DO COMPROMISSO (</w:t>
      </w:r>
      <w:r w:rsidRPr="004F3D85">
        <w:rPr>
          <w:sz w:val="16"/>
        </w:rPr>
        <w:t>máximo 2 parágrafos</w:t>
      </w:r>
      <w:r w:rsidRPr="004F3D85">
        <w:t>)</w:t>
      </w:r>
    </w:p>
    <w:p w14:paraId="12CC4D5A" w14:textId="77777777" w:rsidR="00057EE7" w:rsidRPr="004F3D85" w:rsidRDefault="00057EE7" w:rsidP="000A3124">
      <w:pPr>
        <w:rPr>
          <w:rFonts w:asciiTheme="majorHAnsi" w:hAnsiTheme="majorHAnsi"/>
        </w:rPr>
      </w:pPr>
    </w:p>
    <w:p w14:paraId="42C03A8E" w14:textId="77777777" w:rsidR="00057EE7" w:rsidRPr="004F3D85" w:rsidRDefault="00057EE7" w:rsidP="000A3124">
      <w:pPr>
        <w:rPr>
          <w:rFonts w:asciiTheme="majorHAnsi" w:hAnsiTheme="majorHAnsi"/>
        </w:rPr>
      </w:pPr>
    </w:p>
    <w:p w14:paraId="639330A7" w14:textId="77777777" w:rsidR="00A14568" w:rsidRPr="004F3D85" w:rsidRDefault="0009217F">
      <w:pPr>
        <w:pStyle w:val="ttulo1"/>
      </w:pPr>
      <w:r w:rsidRPr="004F3D85">
        <w:lastRenderedPageBreak/>
        <w:t xml:space="preserve">Visão geral do </w:t>
      </w:r>
      <w:r w:rsidR="002178C5" w:rsidRPr="004F3D85">
        <w:t>marco</w:t>
      </w:r>
      <w:r w:rsidR="00084918" w:rsidRPr="004F3D85">
        <w:t xml:space="preserve"> / PRAZOS</w:t>
      </w: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80"/>
        <w:gridCol w:w="1142"/>
        <w:gridCol w:w="1271"/>
        <w:gridCol w:w="1420"/>
        <w:gridCol w:w="1417"/>
        <w:gridCol w:w="3267"/>
        <w:gridCol w:w="3000"/>
      </w:tblGrid>
      <w:tr w:rsidR="0000540C" w:rsidRPr="004F3D85" w14:paraId="489CD82D" w14:textId="157FAE3E" w:rsidTr="2DA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pct"/>
            <w:gridSpan w:val="2"/>
          </w:tcPr>
          <w:p w14:paraId="20BE530F" w14:textId="00C5CF4A" w:rsidR="0000540C" w:rsidRPr="004F3D85" w:rsidRDefault="0000540C" w:rsidP="0000540C">
            <w:r w:rsidRPr="00BE5546">
              <w:rPr>
                <w:rFonts w:cstheme="majorHAnsi"/>
                <w:sz w:val="18"/>
                <w:szCs w:val="18"/>
              </w:rPr>
              <w:t>MARCOS</w:t>
            </w:r>
          </w:p>
        </w:tc>
        <w:tc>
          <w:tcPr>
            <w:tcW w:w="398" w:type="pct"/>
          </w:tcPr>
          <w:p w14:paraId="40851880" w14:textId="130B2B02" w:rsidR="0000540C" w:rsidRPr="004F3D85" w:rsidRDefault="0000540C" w:rsidP="0000540C">
            <w:r w:rsidRPr="00BE5546">
              <w:rPr>
                <w:rFonts w:cstheme="majorHAnsi"/>
                <w:sz w:val="18"/>
                <w:szCs w:val="18"/>
              </w:rPr>
              <w:t>% conclusão</w:t>
            </w:r>
          </w:p>
        </w:tc>
        <w:tc>
          <w:tcPr>
            <w:tcW w:w="443" w:type="pct"/>
          </w:tcPr>
          <w:p w14:paraId="4D09CD3A" w14:textId="26E3A1F3" w:rsidR="0000540C" w:rsidRPr="004F3D85" w:rsidRDefault="0000540C" w:rsidP="0000540C">
            <w:r w:rsidRPr="00BE5546">
              <w:rPr>
                <w:rFonts w:cstheme="majorHAnsi"/>
                <w:sz w:val="18"/>
                <w:szCs w:val="18"/>
              </w:rPr>
              <w:t>Data para conclusão original</w:t>
            </w:r>
          </w:p>
        </w:tc>
        <w:tc>
          <w:tcPr>
            <w:tcW w:w="495" w:type="pct"/>
          </w:tcPr>
          <w:p w14:paraId="05C8A9AB" w14:textId="17F38CF9" w:rsidR="0000540C" w:rsidRPr="00BE5546" w:rsidRDefault="0000540C" w:rsidP="0000540C">
            <w:pPr>
              <w:spacing w:before="100" w:beforeAutospacing="1" w:after="100" w:afterAutospacing="1"/>
              <w:jc w:val="both"/>
              <w:rPr>
                <w:rFonts w:cstheme="majorHAnsi"/>
                <w:sz w:val="18"/>
                <w:szCs w:val="18"/>
              </w:rPr>
            </w:pPr>
            <w:r w:rsidRPr="00BE5546">
              <w:rPr>
                <w:rFonts w:cstheme="majorHAnsi"/>
                <w:b/>
                <w:bCs/>
                <w:sz w:val="18"/>
                <w:szCs w:val="18"/>
              </w:rPr>
              <w:t>Nova data de conclusão</w:t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br/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br/>
            </w:r>
            <w:r w:rsidRPr="00BE5546">
              <w:rPr>
                <w:rFonts w:cstheme="majorHAnsi"/>
                <w:caps w:val="0"/>
                <w:sz w:val="18"/>
                <w:szCs w:val="18"/>
              </w:rPr>
              <w:t xml:space="preserve">(alterada devido </w:t>
            </w:r>
            <w:r w:rsidR="000E5C76">
              <w:rPr>
                <w:rFonts w:cstheme="majorHAnsi"/>
                <w:caps w:val="0"/>
                <w:sz w:val="18"/>
                <w:szCs w:val="18"/>
              </w:rPr>
              <w:t>à</w:t>
            </w:r>
            <w:r w:rsidRPr="00BE5546">
              <w:rPr>
                <w:rFonts w:cstheme="majorHAnsi"/>
                <w:caps w:val="0"/>
                <w:sz w:val="18"/>
                <w:szCs w:val="18"/>
              </w:rPr>
              <w:t xml:space="preserve"> pandemia)</w:t>
            </w:r>
            <w:r w:rsidRPr="00BE5546">
              <w:rPr>
                <w:rFonts w:cstheme="majorHAnsi"/>
                <w:sz w:val="18"/>
                <w:szCs w:val="18"/>
              </w:rPr>
              <w:t xml:space="preserve">  </w:t>
            </w:r>
          </w:p>
          <w:p w14:paraId="70D2A143" w14:textId="7E21B60C" w:rsidR="0000540C" w:rsidRPr="004F3D85" w:rsidRDefault="0000540C" w:rsidP="0000540C">
            <w:r w:rsidRPr="00BE5546">
              <w:rPr>
                <w:rFonts w:cstheme="majorHAnsi"/>
                <w:caps w:val="0"/>
                <w:sz w:val="18"/>
                <w:szCs w:val="18"/>
              </w:rPr>
              <w:t>Prazo limite</w:t>
            </w:r>
            <w:r w:rsidRPr="00BE5546">
              <w:rPr>
                <w:rFonts w:cstheme="majorHAnsi"/>
                <w:sz w:val="18"/>
                <w:szCs w:val="18"/>
              </w:rPr>
              <w:t xml:space="preserve">: 31/12/2020  </w:t>
            </w:r>
          </w:p>
        </w:tc>
        <w:tc>
          <w:tcPr>
            <w:tcW w:w="494" w:type="pct"/>
          </w:tcPr>
          <w:p w14:paraId="0C130509" w14:textId="556461B8" w:rsidR="0000540C" w:rsidRPr="004F3D85" w:rsidRDefault="0000540C" w:rsidP="0000540C">
            <w:r w:rsidRPr="00BE5546">
              <w:rPr>
                <w:rFonts w:cstheme="majorHAnsi"/>
                <w:sz w:val="18"/>
                <w:szCs w:val="18"/>
              </w:rPr>
              <w:t>Responsável</w:t>
            </w:r>
          </w:p>
        </w:tc>
        <w:tc>
          <w:tcPr>
            <w:tcW w:w="1138" w:type="pct"/>
          </w:tcPr>
          <w:p w14:paraId="50B4F160" w14:textId="617F3E1C" w:rsidR="0000540C" w:rsidRPr="004F3D85" w:rsidRDefault="0000540C" w:rsidP="0000540C">
            <w:r w:rsidRPr="00BE5546">
              <w:rPr>
                <w:rFonts w:cstheme="majorHAnsi"/>
                <w:sz w:val="18"/>
                <w:szCs w:val="18"/>
              </w:rPr>
              <w:t>Observações</w:t>
            </w:r>
            <w:r>
              <w:rPr>
                <w:rFonts w:cstheme="majorHAnsi"/>
                <w:sz w:val="18"/>
                <w:szCs w:val="18"/>
              </w:rPr>
              <w:t xml:space="preserve"> e evidências</w:t>
            </w:r>
            <w:r w:rsidRPr="00BE5546">
              <w:rPr>
                <w:rFonts w:cstheme="majorHAnsi"/>
                <w:sz w:val="18"/>
                <w:szCs w:val="18"/>
              </w:rPr>
              <w:t xml:space="preserve"> sobre o andamento do marco</w:t>
            </w:r>
          </w:p>
        </w:tc>
        <w:tc>
          <w:tcPr>
            <w:tcW w:w="1046" w:type="pct"/>
          </w:tcPr>
          <w:p w14:paraId="5E4C3126" w14:textId="07BA7886" w:rsidR="0000540C" w:rsidRPr="004F3D85" w:rsidRDefault="0000540C" w:rsidP="0000540C">
            <w:r w:rsidRPr="00BE5546">
              <w:rPr>
                <w:rFonts w:cstheme="majorHAnsi"/>
                <w:b/>
                <w:bCs/>
                <w:sz w:val="18"/>
                <w:szCs w:val="18"/>
              </w:rPr>
              <w:t xml:space="preserve">justificativa que demonstre a necessidade de extensão do prazo de conclusão frente </w:t>
            </w:r>
            <w:r w:rsidR="000E5C76">
              <w:rPr>
                <w:rFonts w:cstheme="majorHAnsi"/>
                <w:b/>
                <w:bCs/>
                <w:sz w:val="18"/>
                <w:szCs w:val="18"/>
              </w:rPr>
              <w:t>à</w:t>
            </w:r>
            <w:r w:rsidRPr="00BE5546">
              <w:rPr>
                <w:rFonts w:cstheme="majorHAnsi"/>
                <w:b/>
                <w:bCs/>
                <w:sz w:val="18"/>
                <w:szCs w:val="18"/>
              </w:rPr>
              <w:t xml:space="preserve"> pandemia</w:t>
            </w:r>
          </w:p>
        </w:tc>
      </w:tr>
      <w:tr w:rsidR="0000540C" w:rsidRPr="00953F61" w14:paraId="02C9AE30" w14:textId="2C067A96" w:rsidTr="2DAC7C5A">
        <w:tc>
          <w:tcPr>
            <w:tcW w:w="985" w:type="pct"/>
            <w:gridSpan w:val="2"/>
          </w:tcPr>
          <w:p w14:paraId="441E0A31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1 – </w:t>
            </w:r>
            <w:r w:rsidRPr="00A6059D">
              <w:rPr>
                <w:rFonts w:asciiTheme="majorHAnsi" w:hAnsiTheme="majorHAnsi"/>
              </w:rPr>
              <w:t>Mapeamento de ações de formação EAD em execução</w:t>
            </w:r>
          </w:p>
        </w:tc>
        <w:tc>
          <w:tcPr>
            <w:tcW w:w="398" w:type="pct"/>
          </w:tcPr>
          <w:p w14:paraId="4F79DD74" w14:textId="53AE01B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100%</w:t>
            </w:r>
          </w:p>
        </w:tc>
        <w:tc>
          <w:tcPr>
            <w:tcW w:w="443" w:type="pct"/>
          </w:tcPr>
          <w:p w14:paraId="371FFC51" w14:textId="7CAB3722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30/12/2020</w:t>
            </w:r>
          </w:p>
          <w:p w14:paraId="611F885D" w14:textId="77777777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95" w:type="pct"/>
          </w:tcPr>
          <w:p w14:paraId="139B6CD9" w14:textId="1D10F956" w:rsidR="0000540C" w:rsidRPr="00A6059D" w:rsidRDefault="0016034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CONCLUÍDA</w:t>
            </w:r>
          </w:p>
        </w:tc>
        <w:tc>
          <w:tcPr>
            <w:tcW w:w="494" w:type="pct"/>
          </w:tcPr>
          <w:p w14:paraId="11BF48EE" w14:textId="5B818A17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M</w:t>
            </w:r>
            <w:r>
              <w:rPr>
                <w:rFonts w:asciiTheme="majorHAnsi" w:hAnsiTheme="majorHAnsi"/>
              </w:rPr>
              <w:t>inistério da Cidadania</w:t>
            </w:r>
            <w:r w:rsidRPr="00A6059D">
              <w:rPr>
                <w:rFonts w:asciiTheme="majorHAnsi" w:hAnsiTheme="majorHAnsi"/>
              </w:rPr>
              <w:t>*</w:t>
            </w:r>
          </w:p>
          <w:p w14:paraId="725D9093" w14:textId="4AA379A9" w:rsidR="0000540C" w:rsidRPr="00E83218" w:rsidRDefault="0000540C" w:rsidP="001C20A3">
            <w:pPr>
              <w:jc w:val="both"/>
              <w:rPr>
                <w:rFonts w:cs="Arial"/>
                <w:color w:val="000000"/>
              </w:rPr>
            </w:pPr>
            <w:r w:rsidRPr="00A6059D">
              <w:rPr>
                <w:rFonts w:asciiTheme="majorHAnsi" w:hAnsiTheme="majorHAnsi"/>
              </w:rPr>
              <w:t>CONSEAS</w:t>
            </w:r>
          </w:p>
        </w:tc>
        <w:tc>
          <w:tcPr>
            <w:tcW w:w="1138" w:type="pct"/>
          </w:tcPr>
          <w:p w14:paraId="645BE257" w14:textId="77777777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Foi realizado o</w:t>
            </w:r>
            <w:r w:rsidRPr="00011C7F">
              <w:rPr>
                <w:rFonts w:asciiTheme="majorHAnsi" w:hAnsiTheme="majorHAnsi"/>
              </w:rPr>
              <w:t xml:space="preserve"> mapeamento de ações de formação em EAD</w:t>
            </w:r>
            <w:r>
              <w:rPr>
                <w:rFonts w:asciiTheme="majorHAnsi" w:hAnsiTheme="majorHAnsi"/>
              </w:rPr>
              <w:t>.</w:t>
            </w:r>
          </w:p>
          <w:p w14:paraId="1BC8D615" w14:textId="17B55F87" w:rsidR="0000540C" w:rsidRPr="00011C7F" w:rsidRDefault="0000540C" w:rsidP="003D0B69">
            <w:pPr>
              <w:jc w:val="both"/>
              <w:rPr>
                <w:rFonts w:asciiTheme="majorHAnsi" w:hAnsiTheme="majorHAnsi"/>
              </w:rPr>
            </w:pPr>
            <w:r w:rsidRPr="005211F8">
              <w:rPr>
                <w:rFonts w:asciiTheme="majorHAnsi" w:hAnsiTheme="majorHAnsi"/>
              </w:rPr>
              <w:t xml:space="preserve">Este levantamento </w:t>
            </w:r>
            <w:r>
              <w:rPr>
                <w:rFonts w:asciiTheme="majorHAnsi" w:hAnsiTheme="majorHAnsi"/>
              </w:rPr>
              <w:t>foi</w:t>
            </w:r>
            <w:r w:rsidRPr="005211F8">
              <w:rPr>
                <w:rFonts w:asciiTheme="majorHAnsi" w:hAnsiTheme="majorHAnsi"/>
              </w:rPr>
              <w:t xml:space="preserve"> resultado de Consultoria realizado no âmbito da FAO, </w:t>
            </w:r>
            <w:r>
              <w:rPr>
                <w:rFonts w:asciiTheme="majorHAnsi" w:hAnsiTheme="majorHAnsi"/>
              </w:rPr>
              <w:t>com revisão d</w:t>
            </w:r>
            <w:r w:rsidRPr="005211F8">
              <w:rPr>
                <w:rFonts w:asciiTheme="majorHAnsi" w:hAnsiTheme="majorHAnsi"/>
              </w:rPr>
              <w:t>a equipe do Ministério da Cidadani</w:t>
            </w:r>
            <w:r>
              <w:rPr>
                <w:rFonts w:asciiTheme="majorHAnsi" w:hAnsiTheme="majorHAnsi"/>
              </w:rPr>
              <w:t>a, de</w:t>
            </w:r>
            <w:r w:rsidRPr="005211F8">
              <w:rPr>
                <w:rFonts w:asciiTheme="majorHAnsi" w:hAnsiTheme="majorHAnsi"/>
              </w:rPr>
              <w:t xml:space="preserve"> representantes estaduais do Sistema Nacional de Segurança Alimentar e Nutricional (Sisan) e</w:t>
            </w:r>
            <w:r>
              <w:rPr>
                <w:rFonts w:asciiTheme="majorHAnsi" w:hAnsiTheme="majorHAnsi"/>
              </w:rPr>
              <w:t xml:space="preserve"> de</w:t>
            </w:r>
            <w:r w:rsidRPr="005211F8">
              <w:rPr>
                <w:rFonts w:asciiTheme="majorHAnsi" w:hAnsiTheme="majorHAnsi"/>
              </w:rPr>
              <w:t xml:space="preserve"> universidades parceiras.</w:t>
            </w:r>
          </w:p>
        </w:tc>
        <w:tc>
          <w:tcPr>
            <w:tcW w:w="1046" w:type="pct"/>
          </w:tcPr>
          <w:p w14:paraId="0F99A908" w14:textId="3E6C1B7C" w:rsidR="0000540C" w:rsidRDefault="00160349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Finalizado em 09/01/2020</w:t>
            </w:r>
          </w:p>
        </w:tc>
      </w:tr>
      <w:tr w:rsidR="0000540C" w:rsidRPr="004F3D85" w14:paraId="2461B44E" w14:textId="14F657E6" w:rsidTr="2DAC7C5A">
        <w:tc>
          <w:tcPr>
            <w:tcW w:w="985" w:type="pct"/>
            <w:gridSpan w:val="2"/>
          </w:tcPr>
          <w:p w14:paraId="0E2C10A7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2 – </w:t>
            </w:r>
            <w:r w:rsidRPr="00A6059D">
              <w:rPr>
                <w:rFonts w:asciiTheme="majorHAnsi" w:hAnsiTheme="majorHAnsi"/>
              </w:rPr>
              <w:t>Construção de uma agenda de convergência para formações em Segurança Alimentar e Nutricional (SAN) e Direito Humano à Alimentação Adequada (DHAA)</w:t>
            </w:r>
          </w:p>
        </w:tc>
        <w:tc>
          <w:tcPr>
            <w:tcW w:w="398" w:type="pct"/>
          </w:tcPr>
          <w:p w14:paraId="4B878666" w14:textId="273E113A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0%</w:t>
            </w:r>
          </w:p>
        </w:tc>
        <w:tc>
          <w:tcPr>
            <w:tcW w:w="443" w:type="pct"/>
          </w:tcPr>
          <w:p w14:paraId="293BDC96" w14:textId="75B59776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Pr="00EE7E6D">
              <w:rPr>
                <w:rFonts w:asciiTheme="majorHAnsi" w:hAnsiTheme="majorHAnsi"/>
              </w:rPr>
              <w:t>/0</w:t>
            </w:r>
            <w:r>
              <w:rPr>
                <w:rFonts w:asciiTheme="majorHAnsi" w:hAnsiTheme="majorHAnsi"/>
              </w:rPr>
              <w:t>7</w:t>
            </w:r>
            <w:r w:rsidRPr="00EE7E6D">
              <w:rPr>
                <w:rFonts w:asciiTheme="majorHAnsi" w:hAnsiTheme="majorHAnsi"/>
              </w:rPr>
              <w:t>/20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495" w:type="pct"/>
          </w:tcPr>
          <w:p w14:paraId="6B938A19" w14:textId="40BED86D" w:rsidR="0000540C" w:rsidRPr="00A6059D" w:rsidRDefault="0016034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31/12/2020</w:t>
            </w:r>
          </w:p>
        </w:tc>
        <w:tc>
          <w:tcPr>
            <w:tcW w:w="494" w:type="pct"/>
          </w:tcPr>
          <w:p w14:paraId="788A1EAF" w14:textId="4CAB882A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CONSEA*</w:t>
            </w:r>
          </w:p>
          <w:p w14:paraId="65C8289E" w14:textId="51558F7D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Ministério da Cidadania.</w:t>
            </w:r>
          </w:p>
          <w:p w14:paraId="2BDAD935" w14:textId="77777777" w:rsidR="0000540C" w:rsidRDefault="0000540C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CONSEA</w:t>
            </w:r>
            <w:r>
              <w:rPr>
                <w:rFonts w:asciiTheme="majorHAnsi" w:hAnsiTheme="majorHAnsi"/>
              </w:rPr>
              <w:t>s Estaduais</w:t>
            </w:r>
          </w:p>
          <w:p w14:paraId="4ACB17C7" w14:textId="6B37DF3D" w:rsidR="00E44698" w:rsidRPr="004F3D85" w:rsidRDefault="00E44698" w:rsidP="00E4469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CAISANs Estaduais</w:t>
            </w:r>
          </w:p>
        </w:tc>
        <w:tc>
          <w:tcPr>
            <w:tcW w:w="1138" w:type="pct"/>
          </w:tcPr>
          <w:p w14:paraId="619CC68D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Houve um atraso devido a revogação do CONSEA trazida pela MP 870/2019.</w:t>
            </w:r>
          </w:p>
          <w:p w14:paraId="025F7D9A" w14:textId="77777777" w:rsidR="0000540C" w:rsidRDefault="007775CD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princípio, f</w:t>
            </w:r>
            <w:r w:rsidR="0000540C">
              <w:rPr>
                <w:rFonts w:asciiTheme="majorHAnsi" w:hAnsiTheme="majorHAnsi"/>
              </w:rPr>
              <w:t>oi a</w:t>
            </w:r>
            <w:r w:rsidR="0000540C" w:rsidRPr="00011C7F">
              <w:rPr>
                <w:rFonts w:asciiTheme="majorHAnsi" w:hAnsiTheme="majorHAnsi"/>
              </w:rPr>
              <w:t>ltera</w:t>
            </w:r>
            <w:r w:rsidR="0000540C">
              <w:rPr>
                <w:rFonts w:asciiTheme="majorHAnsi" w:hAnsiTheme="majorHAnsi"/>
              </w:rPr>
              <w:t xml:space="preserve">da a Data </w:t>
            </w:r>
            <w:r>
              <w:rPr>
                <w:rFonts w:asciiTheme="majorHAnsi" w:hAnsiTheme="majorHAnsi"/>
              </w:rPr>
              <w:t>de</w:t>
            </w:r>
            <w:r w:rsidR="0000540C">
              <w:rPr>
                <w:rFonts w:asciiTheme="majorHAnsi" w:hAnsiTheme="majorHAnsi"/>
              </w:rPr>
              <w:t xml:space="preserve"> Conclusão</w:t>
            </w:r>
            <w:r w:rsidR="0000540C" w:rsidRPr="00011C7F">
              <w:rPr>
                <w:rFonts w:asciiTheme="majorHAnsi" w:hAnsiTheme="majorHAnsi"/>
              </w:rPr>
              <w:t xml:space="preserve"> para: </w:t>
            </w:r>
            <w:r w:rsidR="0000540C">
              <w:rPr>
                <w:rFonts w:asciiTheme="majorHAnsi" w:hAnsiTheme="majorHAnsi"/>
              </w:rPr>
              <w:t>31/07/2020</w:t>
            </w:r>
            <w:r w:rsidR="0000540C" w:rsidRPr="00011C7F">
              <w:rPr>
                <w:rFonts w:asciiTheme="majorHAnsi" w:hAnsiTheme="majorHAnsi"/>
              </w:rPr>
              <w:t>, tendo em vista mudanças administrativas.</w:t>
            </w:r>
          </w:p>
          <w:p w14:paraId="6C5C1A16" w14:textId="6ED81540" w:rsidR="007775CD" w:rsidRPr="00011C7F" w:rsidRDefault="007775CD" w:rsidP="00E4469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Devido à pandemia, o contato com </w:t>
            </w:r>
            <w:r w:rsidR="00E44698">
              <w:rPr>
                <w:rFonts w:asciiTheme="majorHAnsi" w:hAnsiTheme="majorHAnsi"/>
              </w:rPr>
              <w:t xml:space="preserve">as Caisans Estaduais </w:t>
            </w:r>
            <w:r>
              <w:rPr>
                <w:rFonts w:asciiTheme="majorHAnsi" w:hAnsiTheme="majorHAnsi"/>
              </w:rPr>
              <w:t>nos estados para os devidos encaminhamentos d</w:t>
            </w:r>
            <w:r w:rsidR="0099647F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 xml:space="preserve"> </w:t>
            </w:r>
            <w:r w:rsidR="0099647F">
              <w:rPr>
                <w:rFonts w:asciiTheme="majorHAnsi" w:hAnsiTheme="majorHAnsi"/>
              </w:rPr>
              <w:t>Marco 2</w:t>
            </w:r>
            <w:r>
              <w:rPr>
                <w:rFonts w:asciiTheme="majorHAnsi" w:hAnsiTheme="majorHAnsi"/>
              </w:rPr>
              <w:t xml:space="preserve"> será </w:t>
            </w:r>
            <w:r w:rsidR="0099647F">
              <w:rPr>
                <w:rFonts w:asciiTheme="majorHAnsi" w:hAnsiTheme="majorHAnsi"/>
              </w:rPr>
              <w:t>retomado a partir do segundo semestre de 2020.</w:t>
            </w:r>
          </w:p>
        </w:tc>
        <w:tc>
          <w:tcPr>
            <w:tcW w:w="1046" w:type="pct"/>
          </w:tcPr>
          <w:p w14:paraId="6EB4E889" w14:textId="46B7F8DC" w:rsidR="0099647F" w:rsidRDefault="00E44698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 Câmaras Intersetoriais de </w:t>
            </w:r>
            <w:r w:rsidR="007775CD">
              <w:rPr>
                <w:rFonts w:asciiTheme="majorHAnsi" w:hAnsiTheme="majorHAnsi"/>
              </w:rPr>
              <w:t>SAN</w:t>
            </w:r>
            <w:r>
              <w:rPr>
                <w:rFonts w:asciiTheme="majorHAnsi" w:hAnsiTheme="majorHAnsi"/>
              </w:rPr>
              <w:t xml:space="preserve"> Estaduais (CAISANs) </w:t>
            </w:r>
            <w:r w:rsidR="007775CD">
              <w:rPr>
                <w:rFonts w:asciiTheme="majorHAnsi" w:hAnsiTheme="majorHAnsi"/>
              </w:rPr>
              <w:t>estão, em sua grande maioria, mobilizad</w:t>
            </w:r>
            <w:r>
              <w:rPr>
                <w:rFonts w:asciiTheme="majorHAnsi" w:hAnsiTheme="majorHAnsi"/>
              </w:rPr>
              <w:t>as</w:t>
            </w:r>
            <w:r w:rsidR="007775CD">
              <w:rPr>
                <w:rFonts w:asciiTheme="majorHAnsi" w:hAnsiTheme="majorHAnsi"/>
              </w:rPr>
              <w:t xml:space="preserve"> na atuação frente aos impactos do Covid 19.</w:t>
            </w:r>
            <w:r w:rsidR="0099647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As CAISANs Estaduais serão parceiras fundamentais para replicar as ações desta agenda nos territórios.</w:t>
            </w:r>
          </w:p>
          <w:p w14:paraId="0A330B1A" w14:textId="3398267C" w:rsidR="007775CD" w:rsidRDefault="0099647F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Além disso, a sociedade civil encontra-se em trabalho remoto, o que dificulta</w:t>
            </w:r>
            <w:r w:rsidR="008B71A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em parte</w:t>
            </w:r>
            <w:r w:rsidR="008B71A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a comunicação direta com os conseas estaduais.</w:t>
            </w:r>
          </w:p>
          <w:p w14:paraId="4996CAAD" w14:textId="1C0F1045" w:rsidR="007775CD" w:rsidRPr="00011C7F" w:rsidRDefault="007775CD" w:rsidP="00E4469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extensão da data deve-se, portanto, a dificuldade de articulação com </w:t>
            </w:r>
            <w:r w:rsidR="00E44698">
              <w:rPr>
                <w:rFonts w:asciiTheme="majorHAnsi" w:hAnsiTheme="majorHAnsi"/>
              </w:rPr>
              <w:t>as CAISANs e CONSEAs</w:t>
            </w:r>
            <w:r>
              <w:rPr>
                <w:rFonts w:asciiTheme="majorHAnsi" w:hAnsiTheme="majorHAnsi"/>
              </w:rPr>
              <w:t xml:space="preserve"> estaduais devido à pandemia. </w:t>
            </w:r>
          </w:p>
        </w:tc>
      </w:tr>
      <w:tr w:rsidR="0000540C" w:rsidRPr="004F3D85" w14:paraId="308E8139" w14:textId="38EA2A90" w:rsidTr="2DAC7C5A">
        <w:tc>
          <w:tcPr>
            <w:tcW w:w="985" w:type="pct"/>
            <w:gridSpan w:val="2"/>
          </w:tcPr>
          <w:p w14:paraId="534EE6FB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lastRenderedPageBreak/>
              <w:t xml:space="preserve">3 – </w:t>
            </w:r>
            <w:r w:rsidRPr="00A6059D">
              <w:rPr>
                <w:rFonts w:asciiTheme="majorHAnsi" w:hAnsiTheme="majorHAnsi"/>
              </w:rPr>
              <w:t>Realização de duas rodadas de seminários estaduais sobre controle social em Segurança Alimentar e Nutricional (SAN)</w:t>
            </w:r>
          </w:p>
        </w:tc>
        <w:tc>
          <w:tcPr>
            <w:tcW w:w="398" w:type="pct"/>
          </w:tcPr>
          <w:p w14:paraId="15001270" w14:textId="14077654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0549A5">
              <w:rPr>
                <w:rFonts w:asciiTheme="majorHAnsi" w:hAnsiTheme="majorHAnsi"/>
              </w:rPr>
              <w:t>50%</w:t>
            </w:r>
          </w:p>
        </w:tc>
        <w:tc>
          <w:tcPr>
            <w:tcW w:w="443" w:type="pct"/>
          </w:tcPr>
          <w:p w14:paraId="3ED011B4" w14:textId="77777777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EE7E6D">
              <w:rPr>
                <w:rFonts w:asciiTheme="majorHAnsi" w:hAnsiTheme="majorHAnsi"/>
              </w:rPr>
              <w:t>31/07/2020</w:t>
            </w:r>
          </w:p>
        </w:tc>
        <w:tc>
          <w:tcPr>
            <w:tcW w:w="495" w:type="pct"/>
          </w:tcPr>
          <w:p w14:paraId="43803F07" w14:textId="65E14306" w:rsidR="0000540C" w:rsidRPr="00A6059D" w:rsidRDefault="0016034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31/12/2020</w:t>
            </w:r>
          </w:p>
        </w:tc>
        <w:tc>
          <w:tcPr>
            <w:tcW w:w="494" w:type="pct"/>
          </w:tcPr>
          <w:p w14:paraId="4F43F703" w14:textId="1625CEEE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CGU*</w:t>
            </w:r>
          </w:p>
          <w:p w14:paraId="7D681902" w14:textId="65A41E6A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Ministério da Cidadania.</w:t>
            </w:r>
          </w:p>
          <w:p w14:paraId="1D9469A6" w14:textId="6FC2D675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CONSEA</w:t>
            </w:r>
          </w:p>
        </w:tc>
        <w:tc>
          <w:tcPr>
            <w:tcW w:w="1138" w:type="pct"/>
          </w:tcPr>
          <w:p w14:paraId="07790F55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Houve um atraso devido a revogação do CONSEA trazida pela MP 870/2019.</w:t>
            </w:r>
          </w:p>
          <w:p w14:paraId="45EE2D91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Foi feito reunião entre representantes do Ministério da Cidadania e da CGU, para avaliar continuidade deste Marco</w:t>
            </w:r>
          </w:p>
          <w:p w14:paraId="0DBD7C1E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 w:rsidRPr="000549A5">
              <w:rPr>
                <w:rFonts w:asciiTheme="majorHAnsi" w:hAnsiTheme="majorHAnsi"/>
              </w:rPr>
              <w:t>Foi realizada reunião com representantes da sociedade civil, no dia 03/03/2020, para definir as rodadas de seminários estaduais.  Foi decidido que as rodadas serão via WebNAR, com indicativo de data na semana de 11 a 15 de maio de 2020.</w:t>
            </w:r>
          </w:p>
          <w:p w14:paraId="61A5CBF6" w14:textId="3FCBF4F2" w:rsidR="0099647F" w:rsidRPr="00011C7F" w:rsidRDefault="0099647F" w:rsidP="00E4469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Próxima etapa: devido à pandemia, foi acordado que no segundo semestre a CGU e o MC irão reconstruir com os parceiros</w:t>
            </w:r>
            <w:r w:rsidR="00E44698">
              <w:rPr>
                <w:rFonts w:asciiTheme="majorHAnsi" w:hAnsiTheme="majorHAnsi"/>
              </w:rPr>
              <w:t xml:space="preserve"> da sociedade civil</w:t>
            </w:r>
            <w:r>
              <w:rPr>
                <w:rFonts w:asciiTheme="majorHAnsi" w:hAnsiTheme="majorHAnsi"/>
              </w:rPr>
              <w:t xml:space="preserve"> a viabilidade da reunião em outubro de 2020.</w:t>
            </w:r>
          </w:p>
        </w:tc>
        <w:tc>
          <w:tcPr>
            <w:tcW w:w="1046" w:type="pct"/>
          </w:tcPr>
          <w:p w14:paraId="10643E8D" w14:textId="71F3508F" w:rsidR="007775CD" w:rsidRDefault="007775CD" w:rsidP="007775C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Os conselhos estaduais de SAN estão, em sua grande maioria, mobilizados na atuação frente aos impactos do Covid 19 nos Estados. </w:t>
            </w:r>
          </w:p>
          <w:p w14:paraId="74CB7E2A" w14:textId="3E18EB16" w:rsidR="0099647F" w:rsidRDefault="0099647F" w:rsidP="007775C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Além disso, a sociedade civil encontra-se em trabalho remoto, o que dificulta, em parte, a comunicação direta com os conseas estaduais.</w:t>
            </w:r>
          </w:p>
          <w:p w14:paraId="0A6F9661" w14:textId="243733D0" w:rsidR="0000540C" w:rsidRPr="00011C7F" w:rsidRDefault="007775CD" w:rsidP="007775C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extensão da data deve-se, portanto, a dificuldade de articulação com os conseas estaduais devido à pandemia.</w:t>
            </w:r>
          </w:p>
        </w:tc>
      </w:tr>
      <w:tr w:rsidR="0000540C" w:rsidRPr="00516A5C" w14:paraId="18CB5F09" w14:textId="75E8C653" w:rsidTr="2DAC7C5A">
        <w:tc>
          <w:tcPr>
            <w:tcW w:w="985" w:type="pct"/>
            <w:gridSpan w:val="2"/>
          </w:tcPr>
          <w:p w14:paraId="66002DEA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4 – </w:t>
            </w:r>
            <w:r w:rsidRPr="00A6059D">
              <w:rPr>
                <w:rFonts w:asciiTheme="majorHAnsi" w:hAnsiTheme="majorHAnsi"/>
              </w:rPr>
              <w:t>Disponibilização de 3 cursos à distância em Segurança Alimentar e Nutricional (SAN) e Direito Humano à Alimentação Adequada (DHAA)</w:t>
            </w:r>
          </w:p>
        </w:tc>
        <w:tc>
          <w:tcPr>
            <w:tcW w:w="398" w:type="pct"/>
          </w:tcPr>
          <w:p w14:paraId="2FEE4B6A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40%</w:t>
            </w:r>
          </w:p>
        </w:tc>
        <w:tc>
          <w:tcPr>
            <w:tcW w:w="443" w:type="pct"/>
          </w:tcPr>
          <w:p w14:paraId="3DADCE36" w14:textId="3BFE7876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31/07/2020</w:t>
            </w:r>
          </w:p>
          <w:p w14:paraId="4FCCBB51" w14:textId="77777777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95" w:type="pct"/>
          </w:tcPr>
          <w:p w14:paraId="2C9ABC22" w14:textId="0DD52722" w:rsidR="0000540C" w:rsidRDefault="0016034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31/12/2020</w:t>
            </w:r>
          </w:p>
        </w:tc>
        <w:tc>
          <w:tcPr>
            <w:tcW w:w="494" w:type="pct"/>
          </w:tcPr>
          <w:p w14:paraId="7C3AFA20" w14:textId="29FEBCB9" w:rsidR="0000540C" w:rsidRPr="00D9302F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Ministério da Cidadania.</w:t>
            </w:r>
            <w:r w:rsidRPr="00295F1D" w:rsidDel="00295F1D">
              <w:rPr>
                <w:rFonts w:asciiTheme="majorHAnsi" w:hAnsiTheme="majorHAnsi"/>
              </w:rPr>
              <w:t xml:space="preserve"> </w:t>
            </w:r>
            <w:r w:rsidRPr="00D9302F">
              <w:rPr>
                <w:rFonts w:asciiTheme="majorHAnsi" w:hAnsiTheme="majorHAnsi"/>
              </w:rPr>
              <w:t>*</w:t>
            </w:r>
          </w:p>
          <w:p w14:paraId="7D9A8672" w14:textId="77777777" w:rsidR="0000540C" w:rsidRPr="00D9302F" w:rsidRDefault="0000540C" w:rsidP="001C20A3">
            <w:pPr>
              <w:jc w:val="both"/>
              <w:rPr>
                <w:rFonts w:asciiTheme="majorHAnsi" w:hAnsiTheme="majorHAnsi"/>
              </w:rPr>
            </w:pPr>
            <w:r w:rsidRPr="00D9302F">
              <w:rPr>
                <w:rFonts w:asciiTheme="majorHAnsi" w:hAnsiTheme="majorHAnsi"/>
              </w:rPr>
              <w:t>ENAP</w:t>
            </w:r>
          </w:p>
          <w:p w14:paraId="2C24C81D" w14:textId="2BA2D260" w:rsidR="0000540C" w:rsidRPr="00D9302F" w:rsidRDefault="0000540C" w:rsidP="001C20A3">
            <w:pPr>
              <w:jc w:val="both"/>
              <w:rPr>
                <w:rFonts w:asciiTheme="majorHAnsi" w:hAnsiTheme="majorHAnsi"/>
              </w:rPr>
            </w:pPr>
            <w:r w:rsidRPr="00D9302F">
              <w:rPr>
                <w:rFonts w:asciiTheme="majorHAnsi" w:hAnsiTheme="majorHAnsi"/>
              </w:rPr>
              <w:t>CONSEA</w:t>
            </w:r>
          </w:p>
        </w:tc>
        <w:tc>
          <w:tcPr>
            <w:tcW w:w="1138" w:type="pct"/>
          </w:tcPr>
          <w:p w14:paraId="1227271B" w14:textId="3EE6DDB4" w:rsidR="0000540C" w:rsidRPr="00011C7F" w:rsidRDefault="0000540C" w:rsidP="001C20A3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Houve um atraso devido a revogação do CONSEA trazida pela MP 870/2019.</w:t>
            </w:r>
          </w:p>
          <w:p w14:paraId="7BF3B56E" w14:textId="3DCF5B42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Foi a</w:t>
            </w:r>
            <w:r w:rsidRPr="00011C7F">
              <w:rPr>
                <w:rFonts w:asciiTheme="majorHAnsi" w:hAnsiTheme="majorHAnsi"/>
              </w:rPr>
              <w:t>ltera</w:t>
            </w:r>
            <w:r>
              <w:rPr>
                <w:rFonts w:asciiTheme="majorHAnsi" w:hAnsiTheme="majorHAnsi"/>
              </w:rPr>
              <w:t>da a Data para Conclusão</w:t>
            </w:r>
            <w:r w:rsidRPr="00011C7F">
              <w:rPr>
                <w:rFonts w:asciiTheme="majorHAnsi" w:hAnsiTheme="majorHAnsi"/>
              </w:rPr>
              <w:t xml:space="preserve"> para: </w:t>
            </w:r>
            <w:r>
              <w:rPr>
                <w:rFonts w:asciiTheme="majorHAnsi" w:hAnsiTheme="majorHAnsi"/>
              </w:rPr>
              <w:t>31/07/2020</w:t>
            </w:r>
            <w:r w:rsidRPr="00011C7F">
              <w:rPr>
                <w:rFonts w:asciiTheme="majorHAnsi" w:hAnsiTheme="majorHAnsi"/>
              </w:rPr>
              <w:t>, tendo em vista mudanças administrativas.</w:t>
            </w:r>
          </w:p>
          <w:p w14:paraId="629FA559" w14:textId="75709AE8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 w:rsidRPr="003837ED">
              <w:rPr>
                <w:rFonts w:asciiTheme="majorHAnsi" w:hAnsiTheme="majorHAnsi"/>
              </w:rPr>
              <w:t>O conteúdo dos cursos</w:t>
            </w:r>
            <w:r>
              <w:rPr>
                <w:rFonts w:asciiTheme="majorHAnsi" w:hAnsiTheme="majorHAnsi"/>
              </w:rPr>
              <w:t xml:space="preserve"> está sendo revisto, considerando a nova gestão e mudanças institucionais. </w:t>
            </w:r>
          </w:p>
          <w:p w14:paraId="47639859" w14:textId="372ADF68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 2018 o curso foi previamente apresentado para a SAGI (Secretaria de Gestão da Informação do MC) que irá transformar o conteúdo em formato de EAD. Para disponibilizar o curso na ENAP é necessário que o Ministério da Cidadania formalize com a ENAP um Termo de Execução Descentralizada (TED). </w:t>
            </w:r>
          </w:p>
          <w:p w14:paraId="431BB3BE" w14:textId="34972458" w:rsidR="0000540C" w:rsidRPr="00011C7F" w:rsidRDefault="0099647F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Devido a pandemia,</w:t>
            </w:r>
            <w:r w:rsidR="0000540C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a </w:t>
            </w:r>
            <w:r w:rsidR="0000540C">
              <w:rPr>
                <w:rFonts w:asciiTheme="majorHAnsi" w:hAnsiTheme="majorHAnsi"/>
              </w:rPr>
              <w:t xml:space="preserve">revisão do conteúdo; </w:t>
            </w:r>
            <w:r>
              <w:rPr>
                <w:rFonts w:asciiTheme="majorHAnsi" w:hAnsiTheme="majorHAnsi"/>
              </w:rPr>
              <w:t xml:space="preserve">a </w:t>
            </w:r>
            <w:r w:rsidR="0000540C">
              <w:rPr>
                <w:rFonts w:asciiTheme="majorHAnsi" w:hAnsiTheme="majorHAnsi"/>
              </w:rPr>
              <w:t xml:space="preserve">retomada da agenda junto a ENAP; </w:t>
            </w:r>
            <w:r>
              <w:rPr>
                <w:rFonts w:asciiTheme="majorHAnsi" w:hAnsiTheme="majorHAnsi"/>
              </w:rPr>
              <w:t xml:space="preserve">a </w:t>
            </w:r>
            <w:r w:rsidR="0000540C" w:rsidRPr="00D9302F">
              <w:rPr>
                <w:rFonts w:asciiTheme="majorHAnsi" w:hAnsiTheme="majorHAnsi"/>
              </w:rPr>
              <w:t xml:space="preserve">apresentação do conteúdo para </w:t>
            </w:r>
            <w:r w:rsidR="0000540C" w:rsidRPr="00BF07DB">
              <w:rPr>
                <w:rFonts w:asciiTheme="majorHAnsi" w:hAnsiTheme="majorHAnsi"/>
              </w:rPr>
              <w:t>a sociedade civil</w:t>
            </w:r>
            <w:r>
              <w:rPr>
                <w:rFonts w:asciiTheme="majorHAnsi" w:hAnsiTheme="majorHAnsi"/>
              </w:rPr>
              <w:t xml:space="preserve"> e a d</w:t>
            </w:r>
            <w:r w:rsidR="0000540C">
              <w:rPr>
                <w:rFonts w:asciiTheme="majorHAnsi" w:hAnsiTheme="majorHAnsi"/>
              </w:rPr>
              <w:t>isponibilização do conteúdo para a SAG</w:t>
            </w:r>
            <w:r>
              <w:rPr>
                <w:rFonts w:asciiTheme="majorHAnsi" w:hAnsiTheme="majorHAnsi"/>
              </w:rPr>
              <w:t>I irá acontecer no segundo semestre de 2020.</w:t>
            </w:r>
          </w:p>
        </w:tc>
        <w:tc>
          <w:tcPr>
            <w:tcW w:w="1046" w:type="pct"/>
          </w:tcPr>
          <w:p w14:paraId="6D9999C3" w14:textId="77777777" w:rsidR="007E6E99" w:rsidRDefault="007E6E99" w:rsidP="007E6E9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Devido a pandemia, os órgãos federais (Ministério da Cidadania e ENAP) estão em trabalho remoto, o que acaba por dificultar a articulação não só entre os órgãos, mas também entre a Secretaria de Inclusão Produtiva e Rural e a SAGI.</w:t>
            </w:r>
          </w:p>
          <w:p w14:paraId="38ACCD5E" w14:textId="065A299C" w:rsidR="007E6E99" w:rsidRDefault="007E6E99" w:rsidP="2DAC7C5A">
            <w:pPr>
              <w:jc w:val="both"/>
              <w:rPr>
                <w:rFonts w:asciiTheme="majorHAnsi" w:hAnsiTheme="majorHAnsi"/>
              </w:rPr>
            </w:pPr>
            <w:r w:rsidRPr="2DAC7C5A">
              <w:rPr>
                <w:rFonts w:asciiTheme="majorHAnsi" w:hAnsiTheme="majorHAnsi"/>
              </w:rPr>
              <w:t xml:space="preserve">Além disso, </w:t>
            </w:r>
            <w:r w:rsidR="00E44698" w:rsidRPr="2DAC7C5A">
              <w:rPr>
                <w:rFonts w:asciiTheme="majorHAnsi" w:hAnsiTheme="majorHAnsi"/>
              </w:rPr>
              <w:t xml:space="preserve">grande parte </w:t>
            </w:r>
            <w:r w:rsidR="00E571D5" w:rsidRPr="2DAC7C5A">
              <w:rPr>
                <w:rFonts w:asciiTheme="majorHAnsi" w:hAnsiTheme="majorHAnsi"/>
              </w:rPr>
              <w:t>dos esforços</w:t>
            </w:r>
            <w:r w:rsidR="00E44698" w:rsidRPr="2DAC7C5A">
              <w:rPr>
                <w:rFonts w:asciiTheme="majorHAnsi" w:hAnsiTheme="majorHAnsi"/>
              </w:rPr>
              <w:t xml:space="preserve"> do</w:t>
            </w:r>
            <w:r w:rsidRPr="2DAC7C5A">
              <w:rPr>
                <w:rFonts w:asciiTheme="majorHAnsi" w:hAnsiTheme="majorHAnsi"/>
              </w:rPr>
              <w:t xml:space="preserve"> Ministério da Cidadania</w:t>
            </w:r>
            <w:r w:rsidR="00E44698" w:rsidRPr="2DAC7C5A">
              <w:rPr>
                <w:rFonts w:asciiTheme="majorHAnsi" w:hAnsiTheme="majorHAnsi"/>
              </w:rPr>
              <w:t xml:space="preserve"> está voltada para diminuir o impacto da Pandemia para os setores mais vulneráveis da sociedade. Bem como, a Equipe</w:t>
            </w:r>
            <w:r w:rsidRPr="2DAC7C5A">
              <w:rPr>
                <w:rFonts w:asciiTheme="majorHAnsi" w:hAnsiTheme="majorHAnsi"/>
              </w:rPr>
              <w:t xml:space="preserve"> </w:t>
            </w:r>
            <w:r w:rsidR="00E44698" w:rsidRPr="2DAC7C5A">
              <w:rPr>
                <w:rFonts w:asciiTheme="majorHAnsi" w:hAnsiTheme="majorHAnsi"/>
              </w:rPr>
              <w:t>R</w:t>
            </w:r>
            <w:r w:rsidRPr="2DAC7C5A">
              <w:rPr>
                <w:rFonts w:asciiTheme="majorHAnsi" w:hAnsiTheme="majorHAnsi"/>
              </w:rPr>
              <w:t xml:space="preserve">esponsável pelo </w:t>
            </w:r>
            <w:r w:rsidR="00E44698" w:rsidRPr="2DAC7C5A">
              <w:rPr>
                <w:rFonts w:asciiTheme="majorHAnsi" w:hAnsiTheme="majorHAnsi"/>
              </w:rPr>
              <w:t xml:space="preserve">Compromisso está atuando no </w:t>
            </w:r>
            <w:r w:rsidR="00E571D5" w:rsidRPr="2DAC7C5A">
              <w:rPr>
                <w:rFonts w:asciiTheme="majorHAnsi" w:hAnsiTheme="majorHAnsi"/>
              </w:rPr>
              <w:t xml:space="preserve">monitoramento das atividades voltadas para Segurança Alimentar e Nutricional </w:t>
            </w:r>
            <w:r w:rsidR="00E44698" w:rsidRPr="2DAC7C5A">
              <w:rPr>
                <w:rFonts w:asciiTheme="majorHAnsi" w:hAnsiTheme="majorHAnsi"/>
              </w:rPr>
              <w:lastRenderedPageBreak/>
              <w:t>realizadas pelo Governo Federal</w:t>
            </w:r>
            <w:r w:rsidR="00E571D5" w:rsidRPr="2DAC7C5A">
              <w:rPr>
                <w:rFonts w:asciiTheme="majorHAnsi" w:hAnsiTheme="majorHAnsi"/>
              </w:rPr>
              <w:t xml:space="preserve"> e pelos</w:t>
            </w:r>
            <w:r w:rsidRPr="2DAC7C5A">
              <w:rPr>
                <w:rFonts w:asciiTheme="majorHAnsi" w:hAnsiTheme="majorHAnsi"/>
              </w:rPr>
              <w:t xml:space="preserve"> governos estaduais, por meio das CAISANs estaduais, frente aos impactos da Covid 19.</w:t>
            </w:r>
          </w:p>
          <w:p w14:paraId="7E0D5C1A" w14:textId="4512642B" w:rsidR="007E6E99" w:rsidRPr="00011C7F" w:rsidRDefault="007E6E99" w:rsidP="008B71A0">
            <w:pPr>
              <w:jc w:val="both"/>
              <w:rPr>
                <w:rFonts w:asciiTheme="majorHAnsi" w:hAnsiTheme="majorHAnsi"/>
              </w:rPr>
            </w:pPr>
          </w:p>
        </w:tc>
      </w:tr>
      <w:tr w:rsidR="0000540C" w:rsidRPr="00BF07DB" w14:paraId="37235187" w14:textId="61935EAF" w:rsidTr="2DAC7C5A">
        <w:tc>
          <w:tcPr>
            <w:tcW w:w="985" w:type="pct"/>
            <w:gridSpan w:val="2"/>
          </w:tcPr>
          <w:p w14:paraId="4D099C08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lastRenderedPageBreak/>
              <w:t xml:space="preserve">5 – </w:t>
            </w:r>
            <w:r w:rsidRPr="00A6059D">
              <w:rPr>
                <w:rFonts w:asciiTheme="majorHAnsi" w:hAnsiTheme="majorHAnsi"/>
              </w:rPr>
              <w:t>Disponibilização de cursos em plataforma virtual</w:t>
            </w:r>
          </w:p>
        </w:tc>
        <w:tc>
          <w:tcPr>
            <w:tcW w:w="398" w:type="pct"/>
          </w:tcPr>
          <w:p w14:paraId="04B3CEDA" w14:textId="7777777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  <w:tc>
          <w:tcPr>
            <w:tcW w:w="443" w:type="pct"/>
          </w:tcPr>
          <w:p w14:paraId="011342E9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  <w:r w:rsidRPr="00EE7E6D">
              <w:rPr>
                <w:rFonts w:asciiTheme="majorHAnsi" w:hAnsiTheme="majorHAnsi"/>
              </w:rPr>
              <w:t>31/07/2020</w:t>
            </w:r>
          </w:p>
          <w:p w14:paraId="5AFAA395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</w:p>
          <w:p w14:paraId="5C627B25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</w:p>
          <w:p w14:paraId="491B34F3" w14:textId="77777777" w:rsidR="0000540C" w:rsidRDefault="0000540C" w:rsidP="001C20A3">
            <w:pPr>
              <w:jc w:val="both"/>
              <w:rPr>
                <w:rFonts w:asciiTheme="majorHAnsi" w:hAnsiTheme="majorHAnsi"/>
              </w:rPr>
            </w:pPr>
          </w:p>
          <w:p w14:paraId="33CB2771" w14:textId="77777777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95" w:type="pct"/>
          </w:tcPr>
          <w:p w14:paraId="1BE0C840" w14:textId="454AF0AF" w:rsidR="0000540C" w:rsidRPr="00A6059D" w:rsidRDefault="0016034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31/12/2020</w:t>
            </w:r>
          </w:p>
        </w:tc>
        <w:tc>
          <w:tcPr>
            <w:tcW w:w="494" w:type="pct"/>
          </w:tcPr>
          <w:p w14:paraId="13B4F9BD" w14:textId="47301D4C" w:rsidR="0000540C" w:rsidRPr="00A6059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ENAP*</w:t>
            </w:r>
          </w:p>
          <w:p w14:paraId="20DD796A" w14:textId="76FAA2CA" w:rsidR="0000540C" w:rsidRPr="004F3D85" w:rsidRDefault="0000540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Ministério da Cidadania.</w:t>
            </w:r>
            <w:r w:rsidRPr="00295F1D" w:rsidDel="00295F1D">
              <w:rPr>
                <w:rFonts w:asciiTheme="majorHAnsi" w:hAnsiTheme="majorHAnsi"/>
              </w:rPr>
              <w:t xml:space="preserve"> </w:t>
            </w:r>
            <w:r w:rsidRPr="00C83674">
              <w:rPr>
                <w:rFonts w:asciiTheme="majorHAnsi" w:hAnsiTheme="majorHAnsi"/>
              </w:rPr>
              <w:t>*</w:t>
            </w:r>
          </w:p>
        </w:tc>
        <w:tc>
          <w:tcPr>
            <w:tcW w:w="1138" w:type="pct"/>
          </w:tcPr>
          <w:p w14:paraId="4C3C3AEF" w14:textId="0C948193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Foi realizada reunião com a Enap no dia 10/09/2019 onde foi esclarecido que o TED seria para a ENAP produzir a versão web do curso. Se os cursos vierem prontos, não haverá custo, e poderão ser ofertados na Escola Virtual de Governo.</w:t>
            </w:r>
          </w:p>
          <w:p w14:paraId="383BAE82" w14:textId="756623C2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curso deverá ser na versão moodle, com questões para avaliação. </w:t>
            </w:r>
          </w:p>
          <w:p w14:paraId="5127D7DB" w14:textId="58818648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Próximas Etapas: reunião com a SAGI para ver a possibilidade de disponibilizar cursos SAN e DHAA na plataforma da Escola Virtual de Governo.</w:t>
            </w:r>
          </w:p>
          <w:p w14:paraId="5D081D93" w14:textId="77777777" w:rsidR="0000540C" w:rsidRDefault="0000540C" w:rsidP="002D42D4">
            <w:pPr>
              <w:jc w:val="both"/>
              <w:rPr>
                <w:rFonts w:asciiTheme="majorHAnsi" w:hAnsiTheme="majorHAnsi"/>
              </w:rPr>
            </w:pPr>
          </w:p>
          <w:p w14:paraId="6324DE1B" w14:textId="3EE11C51" w:rsidR="0000540C" w:rsidRDefault="0000540C" w:rsidP="002D42D4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Com as mudanças de gestores no Ministério e na ENAP, precisa ser novamente pactuada as ações de cada área</w:t>
            </w:r>
          </w:p>
          <w:p w14:paraId="3D6F2B1E" w14:textId="0129C0C9" w:rsidR="0000540C" w:rsidRPr="00BF07DB" w:rsidRDefault="0000540C" w:rsidP="002D42D4">
            <w:pPr>
              <w:jc w:val="both"/>
              <w:rPr>
                <w:rFonts w:asciiTheme="majorHAnsi" w:hAnsiTheme="majorHAnsi"/>
              </w:rPr>
            </w:pPr>
            <w:r w:rsidRPr="00BF07DB">
              <w:rPr>
                <w:rFonts w:asciiTheme="majorHAnsi" w:hAnsiTheme="majorHAnsi"/>
              </w:rPr>
              <w:t>Em 2018 foi realizada reunião entre MC e ENAP, e apresentado a proposta de conteúdo do curso a distância.</w:t>
            </w:r>
          </w:p>
          <w:p w14:paraId="22CD5A9E" w14:textId="7B92C578" w:rsidR="0000540C" w:rsidRPr="00BF07DB" w:rsidRDefault="0000540C" w:rsidP="002D42D4">
            <w:pPr>
              <w:jc w:val="both"/>
              <w:rPr>
                <w:rFonts w:asciiTheme="majorHAnsi" w:hAnsiTheme="majorHAnsi"/>
              </w:rPr>
            </w:pPr>
            <w:r w:rsidRPr="00BF07DB">
              <w:rPr>
                <w:rFonts w:asciiTheme="majorHAnsi" w:hAnsiTheme="majorHAnsi"/>
              </w:rPr>
              <w:t xml:space="preserve">Para disponibilizar o curso na ENAP é necessário que o MC formalize com a ENAP um TED. </w:t>
            </w:r>
          </w:p>
          <w:p w14:paraId="58B1C6C5" w14:textId="19D181C6" w:rsidR="0000540C" w:rsidRPr="00D9302F" w:rsidRDefault="00426EF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Devido a pandemia, o contato com </w:t>
            </w:r>
            <w:r w:rsidR="0000540C">
              <w:rPr>
                <w:rFonts w:asciiTheme="majorHAnsi" w:hAnsiTheme="majorHAnsi"/>
              </w:rPr>
              <w:t xml:space="preserve">a ENAP, </w:t>
            </w:r>
            <w:r>
              <w:rPr>
                <w:rFonts w:asciiTheme="majorHAnsi" w:hAnsiTheme="majorHAnsi"/>
              </w:rPr>
              <w:t xml:space="preserve">a </w:t>
            </w:r>
            <w:r w:rsidR="0000540C" w:rsidRPr="00BF07DB">
              <w:rPr>
                <w:rFonts w:asciiTheme="majorHAnsi" w:hAnsiTheme="majorHAnsi"/>
              </w:rPr>
              <w:t xml:space="preserve">revisão do conteúdo; </w:t>
            </w:r>
            <w:r>
              <w:rPr>
                <w:rFonts w:asciiTheme="majorHAnsi" w:hAnsiTheme="majorHAnsi"/>
              </w:rPr>
              <w:t xml:space="preserve">a </w:t>
            </w:r>
            <w:r w:rsidR="0000540C" w:rsidRPr="00D9302F">
              <w:rPr>
                <w:rFonts w:asciiTheme="majorHAnsi" w:hAnsiTheme="majorHAnsi"/>
              </w:rPr>
              <w:t xml:space="preserve">apresentação do conteúdo para </w:t>
            </w:r>
            <w:r w:rsidR="0000540C" w:rsidRPr="00BF07DB">
              <w:rPr>
                <w:rFonts w:asciiTheme="majorHAnsi" w:hAnsiTheme="majorHAnsi"/>
              </w:rPr>
              <w:t xml:space="preserve">sociedade civil; </w:t>
            </w:r>
            <w:r>
              <w:rPr>
                <w:rFonts w:asciiTheme="majorHAnsi" w:hAnsiTheme="majorHAnsi"/>
              </w:rPr>
              <w:t>a d</w:t>
            </w:r>
            <w:r w:rsidR="0000540C" w:rsidRPr="00BF07DB">
              <w:rPr>
                <w:rFonts w:asciiTheme="majorHAnsi" w:hAnsiTheme="majorHAnsi"/>
              </w:rPr>
              <w:t>isponibilização do conteúdo para a ENAP</w:t>
            </w:r>
            <w:r>
              <w:rPr>
                <w:rFonts w:asciiTheme="majorHAnsi" w:hAnsiTheme="majorHAnsi"/>
              </w:rPr>
              <w:t xml:space="preserve"> e a </w:t>
            </w:r>
            <w:r w:rsidR="0000540C" w:rsidRPr="00BF07DB">
              <w:rPr>
                <w:rFonts w:asciiTheme="majorHAnsi" w:hAnsiTheme="majorHAnsi"/>
              </w:rPr>
              <w:t>formalização do TED entre MC e ENAP</w:t>
            </w:r>
            <w:r>
              <w:rPr>
                <w:rFonts w:asciiTheme="majorHAnsi" w:hAnsiTheme="majorHAnsi"/>
              </w:rPr>
              <w:t xml:space="preserve"> acontecerão no segundo semestre de 2020.</w:t>
            </w:r>
          </w:p>
        </w:tc>
        <w:tc>
          <w:tcPr>
            <w:tcW w:w="1046" w:type="pct"/>
          </w:tcPr>
          <w:p w14:paraId="5F2535D4" w14:textId="5C2A4258" w:rsidR="007E6E99" w:rsidRDefault="007E6E99" w:rsidP="007E6E9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Devido a pandemia, os órgãos federais (Ministério da Cidadania e ENAP) estão em trabalho remoto, o que acaba por dificultar a articulação não só entre os órgãos, mas também entre a Secretaria de Inclusão Produtiva e Rural e a SAGI.</w:t>
            </w:r>
          </w:p>
          <w:p w14:paraId="638FBC85" w14:textId="691EA746" w:rsidR="00E571D5" w:rsidRDefault="00E571D5" w:rsidP="2DAC7C5A">
            <w:pPr>
              <w:jc w:val="both"/>
              <w:rPr>
                <w:rFonts w:asciiTheme="majorHAnsi" w:hAnsiTheme="majorHAnsi"/>
              </w:rPr>
            </w:pPr>
            <w:r w:rsidRPr="2DAC7C5A">
              <w:rPr>
                <w:rFonts w:asciiTheme="majorHAnsi" w:hAnsiTheme="majorHAnsi"/>
              </w:rPr>
              <w:t>Além disso, grande parte dos esforços do Ministério da Cidadania está voltada para diminuir o impacto da Pandemia para os setores mais vulneráveis da sociedade. Bem como, a Equipe Responsável pelo Compromisso está atuando no monitoramento das atividades voltadas para Segurança Alimentar e Nutricional realizadas pelo Governo Federal e pelos governos estaduais, por meio das CAISANs estaduais, frente aos impactos da Covid 19.</w:t>
            </w:r>
          </w:p>
          <w:p w14:paraId="6DA4488C" w14:textId="46A37AAE" w:rsidR="007E6E99" w:rsidRDefault="007E6E99" w:rsidP="007E6E99">
            <w:pPr>
              <w:jc w:val="both"/>
              <w:rPr>
                <w:rFonts w:asciiTheme="majorHAnsi" w:hAnsiTheme="majorHAnsi"/>
              </w:rPr>
            </w:pPr>
          </w:p>
        </w:tc>
      </w:tr>
      <w:tr w:rsidR="0000540C" w:rsidRPr="00011C7F" w14:paraId="21AB91B7" w14:textId="52800F0E" w:rsidTr="2DAC7C5A">
        <w:tc>
          <w:tcPr>
            <w:tcW w:w="985" w:type="pct"/>
            <w:gridSpan w:val="2"/>
          </w:tcPr>
          <w:p w14:paraId="60FB7957" w14:textId="425B66A7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 xml:space="preserve">6 – </w:t>
            </w:r>
            <w:r w:rsidRPr="00A6059D">
              <w:rPr>
                <w:rFonts w:asciiTheme="majorHAnsi" w:hAnsiTheme="majorHAnsi"/>
              </w:rPr>
              <w:t>Inclusão dos temas de Segurança Alimentar e Nutricional (SAN) e Direito Humano à Alimentação Adequada (DHAA) em cursos ofertados pela ENAP</w:t>
            </w:r>
          </w:p>
        </w:tc>
        <w:tc>
          <w:tcPr>
            <w:tcW w:w="398" w:type="pct"/>
          </w:tcPr>
          <w:p w14:paraId="2A6ADB85" w14:textId="15DF86F4" w:rsidR="0000540C" w:rsidRPr="004F3D85" w:rsidRDefault="0000540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  <w:tc>
          <w:tcPr>
            <w:tcW w:w="443" w:type="pct"/>
          </w:tcPr>
          <w:p w14:paraId="607439C8" w14:textId="77777777" w:rsidR="0000540C" w:rsidRPr="00EE7E6D" w:rsidRDefault="0000540C" w:rsidP="001C20A3">
            <w:pPr>
              <w:jc w:val="both"/>
              <w:rPr>
                <w:rFonts w:asciiTheme="majorHAnsi" w:hAnsiTheme="majorHAnsi"/>
              </w:rPr>
            </w:pPr>
            <w:r w:rsidRPr="00EE7E6D">
              <w:rPr>
                <w:rFonts w:asciiTheme="majorHAnsi" w:hAnsiTheme="majorHAnsi"/>
              </w:rPr>
              <w:t>31/07/2020</w:t>
            </w:r>
          </w:p>
        </w:tc>
        <w:tc>
          <w:tcPr>
            <w:tcW w:w="495" w:type="pct"/>
          </w:tcPr>
          <w:p w14:paraId="513A318B" w14:textId="67003F4A" w:rsidR="0000540C" w:rsidRPr="00A6059D" w:rsidRDefault="00160349" w:rsidP="001C20A3">
            <w:pPr>
              <w:jc w:val="both"/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31/12/2020</w:t>
            </w:r>
          </w:p>
        </w:tc>
        <w:tc>
          <w:tcPr>
            <w:tcW w:w="494" w:type="pct"/>
          </w:tcPr>
          <w:p w14:paraId="65D99DE6" w14:textId="196EF859" w:rsidR="0000540C" w:rsidRPr="00A6059D" w:rsidRDefault="0000540C" w:rsidP="001C20A3">
            <w:pPr>
              <w:jc w:val="both"/>
              <w:textAlignment w:val="baseline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ENAP*</w:t>
            </w:r>
          </w:p>
          <w:p w14:paraId="688B5E23" w14:textId="67D56297" w:rsidR="0000540C" w:rsidRPr="00A6059D" w:rsidRDefault="0000540C" w:rsidP="001C20A3">
            <w:pPr>
              <w:jc w:val="both"/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Ministério da Cidadania.</w:t>
            </w:r>
            <w:r w:rsidRPr="00295F1D" w:rsidDel="00295F1D">
              <w:rPr>
                <w:rFonts w:asciiTheme="majorHAnsi" w:hAnsiTheme="majorHAnsi"/>
              </w:rPr>
              <w:t xml:space="preserve"> </w:t>
            </w:r>
            <w:r w:rsidRPr="00C83674">
              <w:rPr>
                <w:rFonts w:asciiTheme="majorHAnsi" w:hAnsiTheme="majorHAnsi"/>
              </w:rPr>
              <w:t>*</w:t>
            </w:r>
          </w:p>
          <w:p w14:paraId="45A75FE6" w14:textId="1A4926E7" w:rsidR="0000540C" w:rsidRPr="004F3D85" w:rsidRDefault="0000540C" w:rsidP="001C20A3">
            <w:pPr>
              <w:jc w:val="both"/>
              <w:textAlignment w:val="baseline"/>
              <w:rPr>
                <w:rFonts w:asciiTheme="majorHAnsi" w:hAnsiTheme="majorHAnsi"/>
              </w:rPr>
            </w:pPr>
            <w:r w:rsidRPr="00A6059D">
              <w:rPr>
                <w:rFonts w:asciiTheme="majorHAnsi" w:hAnsiTheme="majorHAnsi"/>
              </w:rPr>
              <w:t>CONSEA</w:t>
            </w:r>
          </w:p>
        </w:tc>
        <w:tc>
          <w:tcPr>
            <w:tcW w:w="1138" w:type="pct"/>
          </w:tcPr>
          <w:p w14:paraId="603C6FE4" w14:textId="77777777" w:rsidR="0000540C" w:rsidRDefault="0000540C" w:rsidP="00E543C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Foi realizada reunião com a Enap no dia 10/09/2019 onde foi acordado que a ENAP irá lançar a temática de SAN ou DHAA no catálogo de cursos na plataforma da escola virtual de governo da ENAP, onde poderão ser disponibilizados os cursos de EAN </w:t>
            </w:r>
          </w:p>
          <w:p w14:paraId="0632B1BA" w14:textId="77777777" w:rsidR="0000540C" w:rsidRDefault="0000540C" w:rsidP="00E543C9">
            <w:pPr>
              <w:jc w:val="both"/>
              <w:rPr>
                <w:rFonts w:asciiTheme="majorHAnsi" w:hAnsiTheme="majorHAnsi"/>
              </w:rPr>
            </w:pPr>
          </w:p>
          <w:p w14:paraId="04931CF9" w14:textId="1EB7E88D" w:rsidR="0000540C" w:rsidRPr="00011C7F" w:rsidRDefault="0000540C" w:rsidP="00CF4DA9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Houve um atraso devido a revogação do CONSEA trazida pela MP 870/2019.</w:t>
            </w:r>
          </w:p>
          <w:p w14:paraId="395D0DE1" w14:textId="0A89907B" w:rsidR="0000540C" w:rsidRPr="00011C7F" w:rsidRDefault="0000540C" w:rsidP="00CF4DA9">
            <w:pPr>
              <w:jc w:val="both"/>
              <w:rPr>
                <w:rFonts w:asciiTheme="majorHAnsi" w:hAnsiTheme="majorHAnsi"/>
              </w:rPr>
            </w:pPr>
            <w:r w:rsidRPr="00011C7F">
              <w:rPr>
                <w:rFonts w:asciiTheme="majorHAnsi" w:hAnsiTheme="majorHAnsi"/>
              </w:rPr>
              <w:t>Com as mudanças de gestores no Ministério e na ENAP, precisa ser novamente pactuada as ações de cada área.</w:t>
            </w:r>
          </w:p>
          <w:p w14:paraId="6255E55A" w14:textId="62C8388D" w:rsidR="0000540C" w:rsidRDefault="007E6E99" w:rsidP="001C20A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00540C">
              <w:rPr>
                <w:rFonts w:asciiTheme="majorHAnsi" w:hAnsiTheme="majorHAnsi"/>
              </w:rPr>
              <w:t xml:space="preserve"> contato com a ENAP</w:t>
            </w:r>
            <w:r>
              <w:rPr>
                <w:rFonts w:asciiTheme="majorHAnsi" w:hAnsiTheme="majorHAnsi"/>
              </w:rPr>
              <w:t xml:space="preserve"> será retomado no segundo semestre de 2020.</w:t>
            </w:r>
          </w:p>
          <w:p w14:paraId="4116C5B5" w14:textId="5E9DAF2B" w:rsidR="0000540C" w:rsidRPr="004F3D85" w:rsidRDefault="0000540C" w:rsidP="001C20A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046" w:type="pct"/>
          </w:tcPr>
          <w:p w14:paraId="7A61793C" w14:textId="2EE0EFB9" w:rsidR="007E6E99" w:rsidRDefault="007E6E99" w:rsidP="007E6E9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Devido a pandemia, os órgãos federais (Ministério da Cidadania e ENAP) estão em trabalho remoto, o que acaba por dificultar a articulação entre os órgãos.</w:t>
            </w:r>
          </w:p>
          <w:p w14:paraId="1C4021CB" w14:textId="7F5A06FA" w:rsidR="00E571D5" w:rsidRDefault="00E571D5" w:rsidP="2DAC7C5A">
            <w:pPr>
              <w:jc w:val="both"/>
              <w:rPr>
                <w:rFonts w:asciiTheme="majorHAnsi" w:hAnsiTheme="majorHAnsi"/>
              </w:rPr>
            </w:pPr>
            <w:r w:rsidRPr="2DAC7C5A">
              <w:rPr>
                <w:rFonts w:asciiTheme="majorHAnsi" w:hAnsiTheme="majorHAnsi"/>
              </w:rPr>
              <w:t>Além disso, grande parte dos esforços do Ministério da Cidadania está voltada para diminuir o impacto da Pandemia para os setores mais vulneráveis da sociedade. Bem como, a Equipe Responsável pelo Compromisso está atuando no monitoramento das atividades voltadas para Segurança Alimentar e Nutricional realizadas pelo Governo Federal e pelos governos estaduais, por meio das CAISANs estaduais, frente aos impactos da Covid 19.</w:t>
            </w:r>
          </w:p>
          <w:p w14:paraId="15CE7104" w14:textId="77777777" w:rsidR="0000540C" w:rsidRDefault="0000540C" w:rsidP="00E543C9">
            <w:pPr>
              <w:jc w:val="both"/>
              <w:rPr>
                <w:rFonts w:asciiTheme="majorHAnsi" w:hAnsiTheme="majorHAnsi"/>
              </w:rPr>
            </w:pPr>
          </w:p>
        </w:tc>
      </w:tr>
      <w:tr w:rsidR="0000540C" w:rsidRPr="004F3D85" w14:paraId="176773D6" w14:textId="2BD273A1" w:rsidTr="2DAC7C5A">
        <w:tc>
          <w:tcPr>
            <w:tcW w:w="713" w:type="pct"/>
          </w:tcPr>
          <w:p w14:paraId="41A2C871" w14:textId="77777777" w:rsidR="0000540C" w:rsidRPr="004F3D85" w:rsidRDefault="0000540C" w:rsidP="00A6059D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3241" w:type="pct"/>
            <w:gridSpan w:val="6"/>
          </w:tcPr>
          <w:p w14:paraId="4E01CE9B" w14:textId="408B78B7" w:rsidR="0000540C" w:rsidRPr="004F3D85" w:rsidRDefault="0000540C" w:rsidP="00A6059D">
            <w:pPr>
              <w:rPr>
                <w:rFonts w:asciiTheme="majorHAnsi" w:hAnsiTheme="majorHAnsi"/>
                <w:i/>
              </w:rPr>
            </w:pPr>
            <w:r w:rsidRPr="004F3D85">
              <w:rPr>
                <w:rFonts w:asciiTheme="majorHAnsi" w:hAnsiTheme="majorHAnsi"/>
                <w:i/>
              </w:rPr>
              <w:t>* Órgão/entidade responsável por coordenar a execução do marco</w:t>
            </w:r>
          </w:p>
          <w:p w14:paraId="365FE1D5" w14:textId="77777777" w:rsidR="0000540C" w:rsidRPr="004F3D85" w:rsidRDefault="0000540C" w:rsidP="00A6059D">
            <w:pPr>
              <w:rPr>
                <w:rFonts w:asciiTheme="majorHAnsi" w:hAnsiTheme="majorHAnsi"/>
              </w:rPr>
            </w:pPr>
          </w:p>
        </w:tc>
        <w:tc>
          <w:tcPr>
            <w:tcW w:w="1046" w:type="pct"/>
          </w:tcPr>
          <w:p w14:paraId="43AAC4C6" w14:textId="77777777" w:rsidR="0000540C" w:rsidRPr="004F3D85" w:rsidRDefault="0000540C" w:rsidP="00A6059D">
            <w:pPr>
              <w:rPr>
                <w:rFonts w:asciiTheme="majorHAnsi" w:hAnsiTheme="majorHAnsi"/>
                <w:i/>
              </w:rPr>
            </w:pPr>
          </w:p>
        </w:tc>
      </w:tr>
    </w:tbl>
    <w:p w14:paraId="76D388D8" w14:textId="77777777" w:rsidR="00A14568" w:rsidRPr="004F3D85" w:rsidRDefault="0009217F">
      <w:pPr>
        <w:pStyle w:val="ttulo1"/>
      </w:pPr>
      <w:r w:rsidRPr="004F3D85">
        <w:t>riscos e problemas</w:t>
      </w:r>
      <w:r w:rsidR="00084918" w:rsidRPr="004F3D85">
        <w:t xml:space="preserve"> / SOLUÇÕES A SEREM </w:t>
      </w:r>
      <w:r w:rsidR="00F83ECD" w:rsidRPr="004F3D85">
        <w:t>tomadas</w:t>
      </w: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1"/>
        <w:gridCol w:w="3585"/>
        <w:gridCol w:w="3585"/>
      </w:tblGrid>
      <w:tr w:rsidR="00A14568" w:rsidRPr="004F3D85" w14:paraId="6774DEB3" w14:textId="77777777" w:rsidTr="00F83E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C35B7D6" w14:textId="77777777" w:rsidR="00A14568" w:rsidRPr="004F3D85" w:rsidRDefault="0009217F">
            <w:r w:rsidRPr="004F3D85">
              <w:t>Problema</w:t>
            </w:r>
          </w:p>
        </w:tc>
        <w:tc>
          <w:tcPr>
            <w:tcW w:w="1250" w:type="pct"/>
          </w:tcPr>
          <w:p w14:paraId="23DA5FD7" w14:textId="77777777" w:rsidR="00A14568" w:rsidRPr="004F3D85" w:rsidRDefault="00F83ECD">
            <w:r w:rsidRPr="004F3D85">
              <w:t>causa</w:t>
            </w:r>
          </w:p>
        </w:tc>
        <w:tc>
          <w:tcPr>
            <w:tcW w:w="1250" w:type="pct"/>
          </w:tcPr>
          <w:p w14:paraId="0B9B7F72" w14:textId="77777777" w:rsidR="00A14568" w:rsidRPr="004F3D85" w:rsidRDefault="00F83ECD">
            <w:r w:rsidRPr="004F3D85">
              <w:t>solução</w:t>
            </w:r>
          </w:p>
        </w:tc>
      </w:tr>
      <w:tr w:rsidR="00A14568" w:rsidRPr="004F3D85" w14:paraId="619D8EE5" w14:textId="77777777" w:rsidTr="00F83ECD">
        <w:tc>
          <w:tcPr>
            <w:tcW w:w="2500" w:type="pct"/>
          </w:tcPr>
          <w:p w14:paraId="09907244" w14:textId="449E48C2" w:rsidR="00A14568" w:rsidRPr="004F3D85" w:rsidRDefault="005B49CD" w:rsidP="002D2B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Conselho Nacional de Segurança Alimentar e Nutricional</w:t>
            </w:r>
            <w:r w:rsidR="00521C06">
              <w:rPr>
                <w:rFonts w:asciiTheme="majorHAnsi" w:hAnsiTheme="majorHAnsi"/>
              </w:rPr>
              <w:t xml:space="preserve"> desativado</w:t>
            </w:r>
          </w:p>
        </w:tc>
        <w:tc>
          <w:tcPr>
            <w:tcW w:w="1250" w:type="pct"/>
          </w:tcPr>
          <w:p w14:paraId="057C4A23" w14:textId="0AB44281" w:rsidR="00A14568" w:rsidRPr="004F3D85" w:rsidRDefault="00521C06" w:rsidP="002D2BB1">
            <w:pPr>
              <w:rPr>
                <w:rFonts w:asciiTheme="majorHAnsi" w:hAnsiTheme="majorHAnsi"/>
              </w:rPr>
            </w:pPr>
            <w:r>
              <w:t>A</w:t>
            </w:r>
            <w:r w:rsidRPr="009B01F3">
              <w:t xml:space="preserve"> MP n. º 870 alterou a </w:t>
            </w:r>
            <w:r>
              <w:t>Lei nº 11.346/2006 (LOSAN)</w:t>
            </w:r>
            <w:r w:rsidRPr="009B01F3">
              <w:t xml:space="preserve"> suprimindo o Conselho Nacional de Segurança Alimentar e Nutricional</w:t>
            </w:r>
            <w:r>
              <w:t>. A Lei nº 13.844, de 18 de junho de 2019, que sancionou esta MP, retomou a LOSAN ao seu formato original, mas não incluiu o Conselho na organização básica de governo</w:t>
            </w:r>
          </w:p>
        </w:tc>
        <w:tc>
          <w:tcPr>
            <w:tcW w:w="1250" w:type="pct"/>
          </w:tcPr>
          <w:p w14:paraId="0C34D35F" w14:textId="5F4BCABD" w:rsidR="00A14568" w:rsidRPr="004F3D85" w:rsidRDefault="00521C06" w:rsidP="002D2B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Atuar junto as Caisans e Conseas Estaduais</w:t>
            </w:r>
          </w:p>
        </w:tc>
      </w:tr>
      <w:tr w:rsidR="00A14568" w:rsidRPr="004F3D85" w14:paraId="04046246" w14:textId="77777777" w:rsidTr="00F83ECD">
        <w:tc>
          <w:tcPr>
            <w:tcW w:w="2500" w:type="pct"/>
          </w:tcPr>
          <w:p w14:paraId="747FC78C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65173653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468C00B8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</w:tr>
      <w:tr w:rsidR="00A14568" w:rsidRPr="004F3D85" w14:paraId="6BB68247" w14:textId="77777777" w:rsidTr="00F83ECD">
        <w:tc>
          <w:tcPr>
            <w:tcW w:w="2500" w:type="pct"/>
          </w:tcPr>
          <w:p w14:paraId="373AB939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62E09679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  <w:tc>
          <w:tcPr>
            <w:tcW w:w="1250" w:type="pct"/>
          </w:tcPr>
          <w:p w14:paraId="5CF986D5" w14:textId="77777777" w:rsidR="00A14568" w:rsidRPr="004F3D85" w:rsidRDefault="00A14568">
            <w:pPr>
              <w:rPr>
                <w:rFonts w:asciiTheme="majorHAnsi" w:hAnsiTheme="majorHAnsi"/>
              </w:rPr>
            </w:pPr>
          </w:p>
        </w:tc>
      </w:tr>
    </w:tbl>
    <w:p w14:paraId="53B0C305" w14:textId="77777777" w:rsidR="00010944" w:rsidRPr="004F3D85" w:rsidRDefault="00010944" w:rsidP="00010944">
      <w:pPr>
        <w:pStyle w:val="ttulo1"/>
        <w:jc w:val="both"/>
        <w:rPr>
          <w:sz w:val="14"/>
        </w:rPr>
      </w:pPr>
      <w:r w:rsidRPr="004F3D85">
        <w:t xml:space="preserve">ConclusãO (recomendações/observações/NECESSIDADE DE REPLANEJAMENTO) – </w:t>
      </w:r>
      <w:r w:rsidRPr="004F3D85">
        <w:rPr>
          <w:sz w:val="16"/>
        </w:rPr>
        <w:t>máximo 2 parágrafos</w:t>
      </w:r>
    </w:p>
    <w:p w14:paraId="02D0E8E9" w14:textId="77777777" w:rsidR="002D42D4" w:rsidRDefault="002D42D4" w:rsidP="00CE6087">
      <w:pPr>
        <w:rPr>
          <w:rFonts w:asciiTheme="majorHAnsi" w:hAnsiTheme="majorHAnsi"/>
        </w:rPr>
      </w:pPr>
    </w:p>
    <w:p w14:paraId="0FBD5756" w14:textId="77777777" w:rsidR="00066D5B" w:rsidRDefault="00066D5B" w:rsidP="00066D5B">
      <w:pPr>
        <w:rPr>
          <w:rFonts w:asciiTheme="majorHAnsi" w:hAnsiTheme="majorHAnsi"/>
        </w:rPr>
      </w:pPr>
      <w:r>
        <w:rPr>
          <w:rFonts w:asciiTheme="majorHAnsi" w:hAnsiTheme="majorHAnsi"/>
        </w:rPr>
        <w:t>O compromisso 4, que visa i</w:t>
      </w:r>
      <w:r w:rsidRPr="00A6059D">
        <w:rPr>
          <w:rFonts w:asciiTheme="majorHAnsi" w:hAnsiTheme="majorHAnsi"/>
        </w:rPr>
        <w:t>mplementar ações de formação voltadas aos gestores públicos e à sociedade civil com o objetivo de ampliar o reconhecimento do Direito Humano à Alimentação Adequada (DHAA) e fortalecer o controle social da política de Segurança Alimentar e Nutricional (SAN)</w:t>
      </w:r>
      <w:r>
        <w:rPr>
          <w:rFonts w:asciiTheme="majorHAnsi" w:hAnsiTheme="majorHAnsi"/>
        </w:rPr>
        <w:t xml:space="preserve">, foi pactuado na vigência da Lei </w:t>
      </w:r>
      <w:r w:rsidRPr="001E6F3E">
        <w:rPr>
          <w:rFonts w:asciiTheme="majorHAnsi" w:hAnsiTheme="majorHAnsi"/>
        </w:rPr>
        <w:t>Nº 11</w:t>
      </w:r>
      <w:r>
        <w:rPr>
          <w:rFonts w:asciiTheme="majorHAnsi" w:hAnsiTheme="majorHAnsi"/>
        </w:rPr>
        <w:t>.346, DE 15 DE SETEMBRO DE 2006, LOSAN, que c</w:t>
      </w:r>
      <w:r w:rsidRPr="001E6F3E">
        <w:rPr>
          <w:rFonts w:asciiTheme="majorHAnsi" w:hAnsiTheme="majorHAnsi"/>
        </w:rPr>
        <w:t>ria o Sistema Nacional de Segurança Alimentar e Nutricional – SISAN com vistas em assegurar o direito humano à alimentação adequada e dá outras providências.</w:t>
      </w:r>
    </w:p>
    <w:p w14:paraId="6DCC4965" w14:textId="77777777" w:rsidR="00066D5B" w:rsidRDefault="00066D5B" w:rsidP="00066D5B">
      <w:pPr>
        <w:rPr>
          <w:rFonts w:asciiTheme="majorHAnsi" w:hAnsiTheme="majorHAnsi"/>
        </w:rPr>
      </w:pPr>
    </w:p>
    <w:p w14:paraId="50EF7964" w14:textId="060A83F3" w:rsidR="00CE6087" w:rsidRDefault="00952049" w:rsidP="00CE6087">
      <w:r>
        <w:t>A</w:t>
      </w:r>
      <w:r w:rsidRPr="009B01F3">
        <w:t xml:space="preserve"> Medida Provisória n. º 870 </w:t>
      </w:r>
      <w:r>
        <w:t>que e</w:t>
      </w:r>
      <w:r w:rsidRPr="003D0B69">
        <w:t>stabelece</w:t>
      </w:r>
      <w:r>
        <w:t>u</w:t>
      </w:r>
      <w:r w:rsidRPr="003D0B69">
        <w:t xml:space="preserve"> a organização básica dos órgãos da Presidência da República e dos Ministérios</w:t>
      </w:r>
      <w:r>
        <w:t xml:space="preserve">. Esta MP também </w:t>
      </w:r>
      <w:r w:rsidRPr="009B01F3">
        <w:t xml:space="preserve">alterou a </w:t>
      </w:r>
      <w:r>
        <w:t>Lei nº 11.346/2006 (LOSAN)</w:t>
      </w:r>
      <w:r w:rsidRPr="009B01F3">
        <w:t xml:space="preserve"> suprimindo o Conselho Nacional de Segurança Alimentar e Nutricional</w:t>
      </w:r>
      <w:r>
        <w:t>. A Lei nº 13.844, de 18 de junho de 2019, que sancionou esta MP, retomou a LOSAN ao seu formato original, mas não incluiu o Conselho na organização básica de governo.</w:t>
      </w:r>
    </w:p>
    <w:p w14:paraId="635D3CAA" w14:textId="77777777" w:rsidR="00E571D5" w:rsidRDefault="00E571D5" w:rsidP="00CE6087"/>
    <w:p w14:paraId="1597C509" w14:textId="6FC24162" w:rsidR="002820B1" w:rsidRDefault="00E571D5" w:rsidP="00CE6087">
      <w:r>
        <w:t xml:space="preserve">Além da área da Saúde, a Pandemia do Covid-19 tem impactado outras políticas públicas voltadas para o desenvolvimento social, </w:t>
      </w:r>
      <w:r w:rsidR="002820B1">
        <w:t xml:space="preserve">a assistência social, </w:t>
      </w:r>
      <w:r>
        <w:t xml:space="preserve">a agricultura e o </w:t>
      </w:r>
      <w:r w:rsidR="002820B1">
        <w:t>combate a insegurança alimentar, pela necessidade de elaborar e executar novas estratégias e serviços para serem oferecidos para a parte da sociedade mais impactada.</w:t>
      </w:r>
    </w:p>
    <w:p w14:paraId="0A5340D2" w14:textId="77777777" w:rsidR="002820B1" w:rsidRDefault="002820B1" w:rsidP="00CE6087"/>
    <w:p w14:paraId="0AED3062" w14:textId="32604196" w:rsidR="00E571D5" w:rsidRPr="004F3D85" w:rsidRDefault="00E571D5" w:rsidP="00CE6087">
      <w:pPr>
        <w:rPr>
          <w:rFonts w:asciiTheme="majorHAnsi" w:hAnsiTheme="majorHAnsi"/>
        </w:rPr>
      </w:pPr>
      <w:r>
        <w:t xml:space="preserve">Esta </w:t>
      </w:r>
      <w:r w:rsidR="002820B1">
        <w:t>situação</w:t>
      </w:r>
      <w:r>
        <w:t xml:space="preserve">, </w:t>
      </w:r>
      <w:r w:rsidR="002820B1">
        <w:t xml:space="preserve">também </w:t>
      </w:r>
      <w:r>
        <w:t xml:space="preserve">levou a maioria dos servidores </w:t>
      </w:r>
      <w:r w:rsidR="002820B1">
        <w:t>a realizarem</w:t>
      </w:r>
      <w:r>
        <w:t xml:space="preserve"> as suas atividades de Home Office, que </w:t>
      </w:r>
      <w:r w:rsidR="002820B1">
        <w:t>no princípio foi necessária adaptação a esta nova</w:t>
      </w:r>
      <w:r>
        <w:t xml:space="preserve"> </w:t>
      </w:r>
      <w:r w:rsidR="002820B1">
        <w:t>condição. Algumas ações, ainda estão se adaptando como a articulação com os diversos setores, principalmente, porque estes estão envolvidas em diversas pautas próprias, geradas pela Pandemia .</w:t>
      </w:r>
    </w:p>
    <w:sectPr w:rsidR="00E571D5" w:rsidRPr="004F3D85" w:rsidSect="0000540C">
      <w:footerReference w:type="default" r:id="rId11"/>
      <w:headerReference w:type="first" r:id="rId12"/>
      <w:pgSz w:w="16839" w:h="11907" w:orient="landscape" w:code="9"/>
      <w:pgMar w:top="1080" w:right="1080" w:bottom="1080" w:left="1418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35A8B" w14:textId="77777777" w:rsidR="00224AF1" w:rsidRDefault="00224AF1">
      <w:pPr>
        <w:spacing w:before="0" w:after="0"/>
      </w:pPr>
      <w:r>
        <w:separator/>
      </w:r>
    </w:p>
  </w:endnote>
  <w:endnote w:type="continuationSeparator" w:id="0">
    <w:p w14:paraId="6C908996" w14:textId="77777777" w:rsidR="00224AF1" w:rsidRDefault="00224A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1A755" w14:textId="290A686D" w:rsidR="00A14568" w:rsidRDefault="0009217F">
    <w:pPr>
      <w:pStyle w:val="rodap"/>
    </w:pPr>
    <w:r>
      <w:t>Página</w:t>
    </w:r>
    <w:r>
      <w:fldChar w:fldCharType="begin"/>
    </w:r>
    <w:r>
      <w:instrText>page</w:instrText>
    </w:r>
    <w:r>
      <w:fldChar w:fldCharType="separate"/>
    </w:r>
    <w:r w:rsidR="002820B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FACE" w14:textId="77777777" w:rsidR="00224AF1" w:rsidRDefault="00224AF1">
      <w:pPr>
        <w:spacing w:before="0" w:after="0"/>
      </w:pPr>
      <w:r>
        <w:separator/>
      </w:r>
    </w:p>
  </w:footnote>
  <w:footnote w:type="continuationSeparator" w:id="0">
    <w:p w14:paraId="10339E23" w14:textId="77777777" w:rsidR="00224AF1" w:rsidRDefault="00224A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4341"/>
    </w:tblGrid>
    <w:tr w:rsidR="00043C5A" w:rsidRPr="00043C5A" w14:paraId="1BA798EA" w14:textId="77777777" w:rsidTr="00043C5A">
      <w:tc>
        <w:tcPr>
          <w:tcW w:w="5000" w:type="pct"/>
          <w:vAlign w:val="bottom"/>
        </w:tcPr>
        <w:p w14:paraId="37391644" w14:textId="4A2AAC48" w:rsidR="00043C5A" w:rsidRPr="00043C5A" w:rsidRDefault="00043C5A" w:rsidP="00EC1BF0">
          <w:pPr>
            <w:jc w:val="center"/>
            <w:rPr>
              <w:b/>
              <w:sz w:val="24"/>
              <w:szCs w:val="24"/>
            </w:rPr>
          </w:pPr>
          <w:r w:rsidRPr="00043C5A">
            <w:rPr>
              <w:b/>
              <w:sz w:val="24"/>
              <w:szCs w:val="24"/>
            </w:rPr>
            <w:t>Controladoria-Geral da União</w:t>
          </w:r>
        </w:p>
        <w:p w14:paraId="2417FAE8" w14:textId="77777777" w:rsidR="00043C5A" w:rsidRPr="00043C5A" w:rsidRDefault="008B60D5" w:rsidP="00EC1B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Parceria p</w:t>
          </w:r>
          <w:r w:rsidR="00043C5A" w:rsidRPr="00043C5A">
            <w:rPr>
              <w:b/>
              <w:sz w:val="24"/>
              <w:szCs w:val="24"/>
            </w:rPr>
            <w:t>ara Governo Aberto – Open Government Partnership - OGP</w:t>
          </w:r>
        </w:p>
        <w:p w14:paraId="470165B5" w14:textId="77777777" w:rsidR="00043C5A" w:rsidRPr="00043C5A" w:rsidRDefault="00043C5A" w:rsidP="00043C5A">
          <w:pPr>
            <w:spacing w:after="0"/>
            <w:rPr>
              <w:b/>
              <w:sz w:val="24"/>
              <w:szCs w:val="24"/>
            </w:rPr>
          </w:pPr>
        </w:p>
      </w:tc>
    </w:tr>
  </w:tbl>
  <w:p w14:paraId="07A1F96A" w14:textId="77777777" w:rsidR="00A14568" w:rsidRDefault="00A145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92"/>
    <w:rsid w:val="0000540C"/>
    <w:rsid w:val="00010944"/>
    <w:rsid w:val="00011C7F"/>
    <w:rsid w:val="00015E65"/>
    <w:rsid w:val="00023051"/>
    <w:rsid w:val="000253D7"/>
    <w:rsid w:val="000362D0"/>
    <w:rsid w:val="00043C5A"/>
    <w:rsid w:val="000549A5"/>
    <w:rsid w:val="00057EE7"/>
    <w:rsid w:val="00066D5B"/>
    <w:rsid w:val="00084918"/>
    <w:rsid w:val="00084E30"/>
    <w:rsid w:val="0009217F"/>
    <w:rsid w:val="000A3124"/>
    <w:rsid w:val="000D66AD"/>
    <w:rsid w:val="000E5C76"/>
    <w:rsid w:val="00125D04"/>
    <w:rsid w:val="001377B2"/>
    <w:rsid w:val="00160349"/>
    <w:rsid w:val="0016158B"/>
    <w:rsid w:val="001A03B1"/>
    <w:rsid w:val="001C20A3"/>
    <w:rsid w:val="001E6F3E"/>
    <w:rsid w:val="001F481A"/>
    <w:rsid w:val="00201D21"/>
    <w:rsid w:val="002178C5"/>
    <w:rsid w:val="00224AF1"/>
    <w:rsid w:val="00252CF1"/>
    <w:rsid w:val="002820B1"/>
    <w:rsid w:val="00295F1D"/>
    <w:rsid w:val="002D2BB1"/>
    <w:rsid w:val="002D42D4"/>
    <w:rsid w:val="00324D28"/>
    <w:rsid w:val="00372F1F"/>
    <w:rsid w:val="003837ED"/>
    <w:rsid w:val="003A2292"/>
    <w:rsid w:val="003B7F13"/>
    <w:rsid w:val="003C20BB"/>
    <w:rsid w:val="003D0B69"/>
    <w:rsid w:val="00422A17"/>
    <w:rsid w:val="00426EF3"/>
    <w:rsid w:val="00465F92"/>
    <w:rsid w:val="00493B3D"/>
    <w:rsid w:val="004D1B83"/>
    <w:rsid w:val="004F3D85"/>
    <w:rsid w:val="005031A4"/>
    <w:rsid w:val="005036B4"/>
    <w:rsid w:val="00516A5C"/>
    <w:rsid w:val="005211F8"/>
    <w:rsid w:val="00521C06"/>
    <w:rsid w:val="005568D9"/>
    <w:rsid w:val="00573D4A"/>
    <w:rsid w:val="00573FE3"/>
    <w:rsid w:val="0057484C"/>
    <w:rsid w:val="0059730D"/>
    <w:rsid w:val="005B49CD"/>
    <w:rsid w:val="005C006A"/>
    <w:rsid w:val="005E7E9B"/>
    <w:rsid w:val="00682818"/>
    <w:rsid w:val="00684053"/>
    <w:rsid w:val="006B0E17"/>
    <w:rsid w:val="006C0848"/>
    <w:rsid w:val="006E4F5F"/>
    <w:rsid w:val="006F4CAD"/>
    <w:rsid w:val="007454D1"/>
    <w:rsid w:val="00773AB4"/>
    <w:rsid w:val="007775CD"/>
    <w:rsid w:val="007E59F4"/>
    <w:rsid w:val="007E6E99"/>
    <w:rsid w:val="007F4E6B"/>
    <w:rsid w:val="007F68BB"/>
    <w:rsid w:val="00837A01"/>
    <w:rsid w:val="0085489E"/>
    <w:rsid w:val="008660E5"/>
    <w:rsid w:val="00866575"/>
    <w:rsid w:val="00884CC1"/>
    <w:rsid w:val="00892465"/>
    <w:rsid w:val="008A2758"/>
    <w:rsid w:val="008B266A"/>
    <w:rsid w:val="008B60D5"/>
    <w:rsid w:val="008B71A0"/>
    <w:rsid w:val="008C1168"/>
    <w:rsid w:val="008D4DB4"/>
    <w:rsid w:val="009470A9"/>
    <w:rsid w:val="00952049"/>
    <w:rsid w:val="00953F61"/>
    <w:rsid w:val="00986E96"/>
    <w:rsid w:val="00987E73"/>
    <w:rsid w:val="00992B32"/>
    <w:rsid w:val="0099647F"/>
    <w:rsid w:val="009F273C"/>
    <w:rsid w:val="00A14568"/>
    <w:rsid w:val="00A1718A"/>
    <w:rsid w:val="00A6059D"/>
    <w:rsid w:val="00A61713"/>
    <w:rsid w:val="00A90487"/>
    <w:rsid w:val="00AB10DF"/>
    <w:rsid w:val="00AE069C"/>
    <w:rsid w:val="00AE07C5"/>
    <w:rsid w:val="00AF5DD1"/>
    <w:rsid w:val="00B017BF"/>
    <w:rsid w:val="00B0695C"/>
    <w:rsid w:val="00B903CB"/>
    <w:rsid w:val="00BF07DB"/>
    <w:rsid w:val="00C07056"/>
    <w:rsid w:val="00C1741F"/>
    <w:rsid w:val="00C27D91"/>
    <w:rsid w:val="00C92CD5"/>
    <w:rsid w:val="00CB7056"/>
    <w:rsid w:val="00CE6087"/>
    <w:rsid w:val="00CF4DA9"/>
    <w:rsid w:val="00CF76F2"/>
    <w:rsid w:val="00D138B8"/>
    <w:rsid w:val="00D61F69"/>
    <w:rsid w:val="00D63DD1"/>
    <w:rsid w:val="00D67254"/>
    <w:rsid w:val="00D70535"/>
    <w:rsid w:val="00D86B0C"/>
    <w:rsid w:val="00D9302F"/>
    <w:rsid w:val="00DA4588"/>
    <w:rsid w:val="00DC18E4"/>
    <w:rsid w:val="00DD4108"/>
    <w:rsid w:val="00DF2489"/>
    <w:rsid w:val="00E44698"/>
    <w:rsid w:val="00E543C9"/>
    <w:rsid w:val="00E571D5"/>
    <w:rsid w:val="00E60AAB"/>
    <w:rsid w:val="00E62CED"/>
    <w:rsid w:val="00EB3762"/>
    <w:rsid w:val="00EC1BF0"/>
    <w:rsid w:val="00ED7606"/>
    <w:rsid w:val="00EE7E6D"/>
    <w:rsid w:val="00F078D6"/>
    <w:rsid w:val="00F16A25"/>
    <w:rsid w:val="00F83ECD"/>
    <w:rsid w:val="00F8535A"/>
    <w:rsid w:val="00FA7FC9"/>
    <w:rsid w:val="00FF0C85"/>
    <w:rsid w:val="00FF2605"/>
    <w:rsid w:val="00FF4E5D"/>
    <w:rsid w:val="2DAC7C5A"/>
    <w:rsid w:val="3F1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50CC9"/>
  <w15:chartTrackingRefBased/>
  <w15:docId w15:val="{BA9C2CDF-E46C-4A31-9742-3E3B7BBA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dottulo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aracdocabealho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aracdocabealho">
    <w:name w:val="Carac do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acdorodap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aracdorodap">
    <w:name w:val="Carac do rodapé"/>
    <w:basedOn w:val="Fontepargpadro"/>
    <w:link w:val="rodap"/>
    <w:uiPriority w:val="99"/>
    <w:rPr>
      <w:kern w:val="20"/>
    </w:rPr>
  </w:style>
  <w:style w:type="paragraph" w:customStyle="1" w:styleId="Semespaamento">
    <w:name w:val="Sem espaçamento"/>
    <w:link w:val="Semcaracdeespaamento"/>
    <w:uiPriority w:val="1"/>
    <w:qFormat/>
    <w:pPr>
      <w:spacing w:before="0" w:after="0"/>
    </w:pPr>
  </w:style>
  <w:style w:type="character" w:styleId="Forte">
    <w:name w:val="Strong"/>
    <w:basedOn w:val="Fontepargpadro"/>
    <w:uiPriority w:val="1"/>
    <w:unhideWhenUsed/>
    <w:qFormat/>
    <w:rPr>
      <w:b/>
      <w:bCs/>
    </w:rPr>
  </w:style>
  <w:style w:type="character" w:customStyle="1" w:styleId="Semcaracdeespaamento">
    <w:name w:val="Sem carac de espaçamento"/>
    <w:basedOn w:val="Fontepargpadro"/>
    <w:link w:val="Semespaamento"/>
    <w:uiPriority w:val="1"/>
  </w:style>
  <w:style w:type="table" w:customStyle="1" w:styleId="Gradedatabela">
    <w:name w:val="Grade da tabela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styleId="Encerramento">
    <w:name w:val="Closing"/>
    <w:basedOn w:val="Normal"/>
    <w:link w:val="EncerramentoChar"/>
    <w:uiPriority w:val="99"/>
    <w:unhideWhenUsed/>
    <w:pPr>
      <w:spacing w:before="600" w:after="80"/>
    </w:pPr>
  </w:style>
  <w:style w:type="character" w:customStyle="1" w:styleId="EncerramentoChar">
    <w:name w:val="Encerramento Char"/>
    <w:basedOn w:val="Fontepargpadro"/>
    <w:link w:val="Encerramento"/>
    <w:uiPriority w:val="99"/>
    <w:rPr>
      <w:kern w:val="20"/>
    </w:rPr>
  </w:style>
  <w:style w:type="table" w:customStyle="1" w:styleId="Tabeladorelatriodestatus">
    <w:name w:val="Tabela do relatório de status"/>
    <w:basedOn w:val="Tabe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Caracdottulo1">
    <w:name w:val="Carac do título 1"/>
    <w:basedOn w:val="Fontepargpadro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Cabealho0">
    <w:name w:val="header"/>
    <w:basedOn w:val="Normal"/>
    <w:link w:val="Cabealho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0"/>
    <w:uiPriority w:val="99"/>
    <w:rsid w:val="00493B3D"/>
    <w:rPr>
      <w:kern w:val="20"/>
    </w:rPr>
  </w:style>
  <w:style w:type="paragraph" w:styleId="Rodap0">
    <w:name w:val="footer"/>
    <w:basedOn w:val="Normal"/>
    <w:link w:val="Rodap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0"/>
    <w:uiPriority w:val="99"/>
    <w:rsid w:val="00493B3D"/>
    <w:rPr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9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918"/>
    <w:rPr>
      <w:rFonts w:ascii="Segoe UI" w:hAnsi="Segoe UI" w:cs="Segoe UI"/>
      <w:kern w:val="20"/>
      <w:sz w:val="18"/>
      <w:szCs w:val="18"/>
    </w:rPr>
  </w:style>
  <w:style w:type="table" w:styleId="Tabelacomgrade">
    <w:name w:val="Table Grid"/>
    <w:basedOn w:val="Tabelanormal"/>
    <w:uiPriority w:val="59"/>
    <w:rsid w:val="007E59F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7EE7"/>
    <w:pPr>
      <w:spacing w:before="0" w:after="160" w:line="259" w:lineRule="auto"/>
    </w:pPr>
    <w:rPr>
      <w:rFonts w:ascii="Times New Roman" w:hAnsi="Times New Roman" w:cs="Times New Roman"/>
      <w:color w:val="auto"/>
      <w:kern w:val="0"/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01D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1D2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D21"/>
    <w:rPr>
      <w:kern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1D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D21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elianovrj\AppData\Roaming\Microsoft\Templates\Relat&#243;rio%20de%20progresso%20do%20proje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34AF7BB2D4427DBD72B8B80AF48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FBD50-D93D-46CD-B2A9-3A55F39EFBDB}"/>
      </w:docPartPr>
      <w:docPartBody>
        <w:p w:rsidR="00DE41B4" w:rsidRDefault="008D4DB4">
          <w:pPr>
            <w:pStyle w:val="8D34AF7BB2D4427DBD72B8B80AF4868B"/>
          </w:pPr>
          <w:r>
            <w:t>[Selecionar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E"/>
    <w:rsid w:val="00055331"/>
    <w:rsid w:val="000975A3"/>
    <w:rsid w:val="00183306"/>
    <w:rsid w:val="00207C3E"/>
    <w:rsid w:val="002A0648"/>
    <w:rsid w:val="003975B7"/>
    <w:rsid w:val="004D3F2E"/>
    <w:rsid w:val="00654C88"/>
    <w:rsid w:val="00667162"/>
    <w:rsid w:val="00701C7D"/>
    <w:rsid w:val="0074340D"/>
    <w:rsid w:val="00812EFB"/>
    <w:rsid w:val="008D4DB4"/>
    <w:rsid w:val="009642DF"/>
    <w:rsid w:val="00975925"/>
    <w:rsid w:val="009C5931"/>
    <w:rsid w:val="00A65981"/>
    <w:rsid w:val="00AB3E43"/>
    <w:rsid w:val="00B27A91"/>
    <w:rsid w:val="00B35133"/>
    <w:rsid w:val="00C1610E"/>
    <w:rsid w:val="00C53EBE"/>
    <w:rsid w:val="00C64C27"/>
    <w:rsid w:val="00D45A88"/>
    <w:rsid w:val="00DE41B4"/>
    <w:rsid w:val="00E66145"/>
    <w:rsid w:val="00EA2094"/>
    <w:rsid w:val="00EB6803"/>
    <w:rsid w:val="00F378EF"/>
    <w:rsid w:val="00F74AA2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34AF7BB2D4427DBD72B8B80AF4868B">
    <w:name w:val="8D34AF7BB2D4427DBD72B8B80AF4868B"/>
  </w:style>
  <w:style w:type="paragraph" w:customStyle="1" w:styleId="773964DD73DE4255B71973857F3A7BAA">
    <w:name w:val="773964DD73DE4255B71973857F3A7BAA"/>
  </w:style>
  <w:style w:type="paragraph" w:customStyle="1" w:styleId="54C4A6D749864B1893B9F14DA975B4C0">
    <w:name w:val="54C4A6D749864B1893B9F14DA975B4C0"/>
  </w:style>
  <w:style w:type="paragraph" w:customStyle="1" w:styleId="3E91A696507F4DE4BEF105879942D588">
    <w:name w:val="3E91A696507F4DE4BEF105879942D588"/>
  </w:style>
  <w:style w:type="paragraph" w:customStyle="1" w:styleId="3120B23B7E6745FDABC348E253B237B1">
    <w:name w:val="3120B23B7E6745FDABC348E253B237B1"/>
  </w:style>
  <w:style w:type="paragraph" w:customStyle="1" w:styleId="78198DDE50814C08AA63094767564989">
    <w:name w:val="78198DDE50814C08AA63094767564989"/>
    <w:rsid w:val="00C1610E"/>
  </w:style>
  <w:style w:type="paragraph" w:customStyle="1" w:styleId="E275AAAA9E78480294860A1095961D27">
    <w:name w:val="E275AAAA9E78480294860A1095961D27"/>
    <w:rsid w:val="00C1610E"/>
  </w:style>
  <w:style w:type="paragraph" w:customStyle="1" w:styleId="BC7299B9660648D58886D35A6C7B669B">
    <w:name w:val="BC7299B9660648D58886D35A6C7B669B"/>
    <w:rsid w:val="00C1610E"/>
  </w:style>
  <w:style w:type="paragraph" w:customStyle="1" w:styleId="5D85134EAB244811942E344089E0DFE0">
    <w:name w:val="5D85134EAB244811942E344089E0DFE0"/>
    <w:rsid w:val="00C1610E"/>
  </w:style>
  <w:style w:type="paragraph" w:customStyle="1" w:styleId="4936259ACC164E95B22737EC05C492A3">
    <w:name w:val="4936259ACC164E95B22737EC05C492A3"/>
    <w:rsid w:val="00C1610E"/>
  </w:style>
  <w:style w:type="paragraph" w:customStyle="1" w:styleId="15054C193B964A6EBBB66437C6B0C72E">
    <w:name w:val="15054C193B964A6EBBB66437C6B0C72E"/>
    <w:rsid w:val="00C1610E"/>
  </w:style>
  <w:style w:type="paragraph" w:customStyle="1" w:styleId="118827D5522B489495B35B0DA8A883E6">
    <w:name w:val="118827D5522B489495B35B0DA8A883E6"/>
    <w:rsid w:val="00701C7D"/>
  </w:style>
  <w:style w:type="paragraph" w:customStyle="1" w:styleId="E73DABD42F5C4B1F9EFEA04F9A3F0146">
    <w:name w:val="E73DABD42F5C4B1F9EFEA04F9A3F0146"/>
    <w:rsid w:val="00AB3E43"/>
  </w:style>
  <w:style w:type="paragraph" w:customStyle="1" w:styleId="205553CCE5734BF09569CA69B22E7B4B">
    <w:name w:val="205553CCE5734BF09569CA69B22E7B4B"/>
    <w:rsid w:val="00AB3E43"/>
  </w:style>
  <w:style w:type="paragraph" w:customStyle="1" w:styleId="C8B42368615A42E18F610230A9CBDB6C">
    <w:name w:val="C8B42368615A42E18F610230A9CBDB6C"/>
    <w:rsid w:val="00AB3E43"/>
  </w:style>
  <w:style w:type="paragraph" w:customStyle="1" w:styleId="E0AA85D4AF444961B2D5318876325BC0">
    <w:name w:val="E0AA85D4AF444961B2D5318876325BC0"/>
    <w:rsid w:val="00AB3E43"/>
  </w:style>
  <w:style w:type="paragraph" w:customStyle="1" w:styleId="4D9A63A5E32643F9BF3E51D721D79FE9">
    <w:name w:val="4D9A63A5E32643F9BF3E51D721D79FE9"/>
    <w:rsid w:val="00AB3E43"/>
  </w:style>
  <w:style w:type="paragraph" w:customStyle="1" w:styleId="A15F59EDF61444D1B502F0B0EEC00F38">
    <w:name w:val="A15F59EDF61444D1B502F0B0EEC00F38"/>
    <w:rsid w:val="00AB3E43"/>
  </w:style>
  <w:style w:type="paragraph" w:customStyle="1" w:styleId="CE9F4F8A75644CEBA477AD852BF48232">
    <w:name w:val="CE9F4F8A75644CEBA477AD852BF48232"/>
    <w:rsid w:val="00AB3E43"/>
  </w:style>
  <w:style w:type="paragraph" w:customStyle="1" w:styleId="BB6B11D06F274B4AA9F33E01326901E9">
    <w:name w:val="BB6B11D06F274B4AA9F33E01326901E9"/>
    <w:rsid w:val="00A65981"/>
  </w:style>
  <w:style w:type="paragraph" w:customStyle="1" w:styleId="01979400FD8740468097E07A5A973092">
    <w:name w:val="01979400FD8740468097E07A5A973092"/>
    <w:rsid w:val="00EB6803"/>
  </w:style>
  <w:style w:type="paragraph" w:customStyle="1" w:styleId="F35E1417EE934A6288B41D2947750520">
    <w:name w:val="F35E1417EE934A6288B41D2947750520"/>
    <w:rsid w:val="00EB6803"/>
  </w:style>
  <w:style w:type="paragraph" w:customStyle="1" w:styleId="A590EBDB117E4ED9A10CB68A3BE31483">
    <w:name w:val="A590EBDB117E4ED9A10CB68A3BE31483"/>
    <w:rsid w:val="00EB6803"/>
  </w:style>
  <w:style w:type="paragraph" w:customStyle="1" w:styleId="2C3570D50B43441D9ED2AB9DFF16B324">
    <w:name w:val="2C3570D50B43441D9ED2AB9DFF16B324"/>
    <w:rsid w:val="00EB6803"/>
  </w:style>
  <w:style w:type="paragraph" w:customStyle="1" w:styleId="61BE9530FFB74F80A54948DDA9CBD0EC">
    <w:name w:val="61BE9530FFB74F80A54948DDA9CBD0EC"/>
    <w:rsid w:val="00EB6803"/>
  </w:style>
  <w:style w:type="paragraph" w:customStyle="1" w:styleId="29D222A6D2A8448DBD1AB2A0FBBB0973">
    <w:name w:val="29D222A6D2A8448DBD1AB2A0FBBB0973"/>
    <w:rsid w:val="00EB6803"/>
  </w:style>
  <w:style w:type="paragraph" w:customStyle="1" w:styleId="08313398AB8C4D1AA76D80E30F41A22A">
    <w:name w:val="08313398AB8C4D1AA76D80E30F41A22A"/>
    <w:rsid w:val="00EB6803"/>
  </w:style>
  <w:style w:type="paragraph" w:customStyle="1" w:styleId="CF72E4493ED04B4783914D02449C0A21">
    <w:name w:val="CF72E4493ED04B4783914D02449C0A21"/>
    <w:rsid w:val="00EB6803"/>
  </w:style>
  <w:style w:type="paragraph" w:customStyle="1" w:styleId="61379F10D1B64576A007CB22C3BC119B">
    <w:name w:val="61379F10D1B64576A007CB22C3BC119B"/>
    <w:rsid w:val="00EB6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0ff93-9992-4754-ba7a-dbbf76807a0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1" ma:contentTypeDescription="Crie um novo documento." ma:contentTypeScope="" ma:versionID="a80802e46d41228206ec74fb47577b03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75a349c4b2f324bfb51573dfc3f21e2a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A29EBCAD-BA1C-4B7A-BF42-49B0F888F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87330-FC97-4155-9A66-DEE5856D66C6}">
  <ds:schemaRefs>
    <ds:schemaRef ds:uri="http://schemas.microsoft.com/office/2006/metadata/properties"/>
    <ds:schemaRef ds:uri="http://schemas.microsoft.com/office/infopath/2007/PartnerControls"/>
    <ds:schemaRef ds:uri="67d0ff93-9992-4754-ba7a-dbbf76807a01"/>
  </ds:schemaRefs>
</ds:datastoreItem>
</file>

<file path=customXml/itemProps4.xml><?xml version="1.0" encoding="utf-8"?>
<ds:datastoreItem xmlns:ds="http://schemas.openxmlformats.org/officeDocument/2006/customXml" ds:itemID="{75E3C78B-99F5-479E-A567-FE1131A7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800188-3002-4AED-98D4-762A1A2F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</Template>
  <TotalTime>0</TotalTime>
  <Pages>4</Pages>
  <Words>1691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Aureliano Vogado Rodrigues Junior</dc:creator>
  <cp:keywords/>
  <cp:lastModifiedBy>Tamara Figueiroa Bakuzis</cp:lastModifiedBy>
  <cp:revision>2</cp:revision>
  <cp:lastPrinted>2019-11-11T18:06:00Z</cp:lastPrinted>
  <dcterms:created xsi:type="dcterms:W3CDTF">2020-05-19T11:53:00Z</dcterms:created>
  <dcterms:modified xsi:type="dcterms:W3CDTF">2020-05-19T11:53:00Z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0x0101001E465DB345C3DD4EAF4B67B8D324887D</vt:lpwstr>
  </property>
  <property fmtid="{D5CDD505-2E9C-101B-9397-08002B2CF9AE}" pid="4" name="Order">
    <vt:r8>505900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