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CC" w:rsidRPr="002E2D24" w:rsidRDefault="00B513CC" w:rsidP="00B513CC">
      <w:pPr>
        <w:pStyle w:val="Corpodetexto22"/>
        <w:pageBreakBefore/>
        <w:jc w:val="center"/>
        <w:rPr>
          <w:rFonts w:ascii="Arial" w:hAnsi="Arial" w:cs="Arial"/>
          <w:position w:val="-16"/>
          <w:sz w:val="20"/>
        </w:rPr>
      </w:pPr>
      <w:r>
        <w:rPr>
          <w:rFonts w:ascii="Arial" w:hAnsi="Arial" w:cs="Arial"/>
          <w:noProof/>
          <w:sz w:val="20"/>
          <w:lang w:eastAsia="pt-BR"/>
        </w:rPr>
        <w:drawing>
          <wp:inline distT="0" distB="0" distL="0" distR="0">
            <wp:extent cx="897255" cy="87122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255" cy="871220"/>
                    </a:xfrm>
                    <a:prstGeom prst="rect">
                      <a:avLst/>
                    </a:prstGeom>
                    <a:solidFill>
                      <a:srgbClr val="FFFFFF"/>
                    </a:solidFill>
                    <a:ln>
                      <a:noFill/>
                    </a:ln>
                  </pic:spPr>
                </pic:pic>
              </a:graphicData>
            </a:graphic>
          </wp:inline>
        </w:drawing>
      </w:r>
    </w:p>
    <w:p w:rsidR="00B513CC" w:rsidRPr="002E2D24" w:rsidRDefault="00E2413F" w:rsidP="009F1C48">
      <w:pPr>
        <w:jc w:val="center"/>
        <w:rPr>
          <w:rFonts w:ascii="Arial" w:hAnsi="Arial" w:cs="Arial"/>
          <w:position w:val="-16"/>
        </w:rPr>
      </w:pPr>
      <w:r>
        <w:rPr>
          <w:rFonts w:ascii="Arial" w:hAnsi="Arial" w:cs="Arial"/>
          <w:position w:val="-16"/>
        </w:rPr>
        <w:t xml:space="preserve">MINISTÉRIO DA TRANSPARÊNCIA E </w:t>
      </w:r>
      <w:r w:rsidR="00B513CC" w:rsidRPr="002E2D24">
        <w:rPr>
          <w:rFonts w:ascii="Arial" w:hAnsi="Arial" w:cs="Arial"/>
          <w:position w:val="-16"/>
        </w:rPr>
        <w:t>CONTROLADORIA-GERAL DA UNIÃO</w:t>
      </w:r>
    </w:p>
    <w:p w:rsidR="00B513CC" w:rsidRPr="002E2D24" w:rsidRDefault="00B513CC" w:rsidP="009F1C48">
      <w:pPr>
        <w:jc w:val="center"/>
        <w:rPr>
          <w:rFonts w:ascii="Arial" w:hAnsi="Arial" w:cs="Arial"/>
          <w:position w:val="-16"/>
        </w:rPr>
      </w:pPr>
      <w:r w:rsidRPr="002E2D24">
        <w:rPr>
          <w:rFonts w:ascii="Arial" w:hAnsi="Arial" w:cs="Arial"/>
          <w:position w:val="-16"/>
        </w:rPr>
        <w:t>DIRETORIA DE GESTÃO INTERNA</w:t>
      </w:r>
    </w:p>
    <w:p w:rsidR="00B513CC" w:rsidRPr="002E2D24" w:rsidRDefault="00B513CC" w:rsidP="009F1C48">
      <w:pPr>
        <w:jc w:val="both"/>
        <w:rPr>
          <w:rFonts w:ascii="Arial" w:hAnsi="Arial" w:cs="Arial"/>
          <w:b/>
          <w:u w:val="single"/>
        </w:rPr>
      </w:pPr>
    </w:p>
    <w:p w:rsidR="00C2775E" w:rsidRDefault="00C2775E" w:rsidP="009F1C48">
      <w:pPr>
        <w:jc w:val="both"/>
        <w:rPr>
          <w:rFonts w:ascii="Arial" w:hAnsi="Arial" w:cs="Arial"/>
          <w:b/>
          <w:u w:val="single"/>
        </w:rPr>
      </w:pPr>
    </w:p>
    <w:p w:rsidR="00FF22C9" w:rsidRDefault="00FF22C9" w:rsidP="009F1C48">
      <w:pPr>
        <w:jc w:val="both"/>
        <w:rPr>
          <w:rFonts w:ascii="Arial" w:hAnsi="Arial" w:cs="Arial"/>
          <w:b/>
          <w:u w:val="single"/>
        </w:rPr>
      </w:pPr>
    </w:p>
    <w:p w:rsidR="00B513CC" w:rsidRDefault="00B513CC" w:rsidP="009F1C48">
      <w:pPr>
        <w:jc w:val="both"/>
        <w:rPr>
          <w:rFonts w:ascii="Arial" w:hAnsi="Arial" w:cs="Arial"/>
          <w:b/>
          <w:u w:val="single"/>
        </w:rPr>
      </w:pPr>
      <w:r w:rsidRPr="002E2D24">
        <w:rPr>
          <w:rFonts w:ascii="Arial" w:hAnsi="Arial" w:cs="Arial"/>
          <w:b/>
          <w:u w:val="single"/>
        </w:rPr>
        <w:t>PEDIDO D</w:t>
      </w:r>
      <w:r w:rsidR="007143E3">
        <w:rPr>
          <w:rFonts w:ascii="Arial" w:hAnsi="Arial" w:cs="Arial"/>
          <w:b/>
          <w:u w:val="single"/>
        </w:rPr>
        <w:t>E</w:t>
      </w:r>
      <w:r w:rsidR="009F1C48">
        <w:rPr>
          <w:rFonts w:ascii="Arial" w:hAnsi="Arial" w:cs="Arial"/>
          <w:b/>
          <w:u w:val="single"/>
        </w:rPr>
        <w:t xml:space="preserve"> ESCLARECIMENTO Nº 0</w:t>
      </w:r>
      <w:r w:rsidR="00E334DC">
        <w:rPr>
          <w:rFonts w:ascii="Arial" w:hAnsi="Arial" w:cs="Arial"/>
          <w:b/>
          <w:u w:val="single"/>
        </w:rPr>
        <w:t>8</w:t>
      </w:r>
      <w:r w:rsidR="009F1C48">
        <w:rPr>
          <w:rFonts w:ascii="Arial" w:hAnsi="Arial" w:cs="Arial"/>
          <w:b/>
          <w:u w:val="single"/>
        </w:rPr>
        <w:t xml:space="preserve"> – PE Nº 12</w:t>
      </w:r>
      <w:r w:rsidRPr="002E2D24">
        <w:rPr>
          <w:rFonts w:ascii="Arial" w:hAnsi="Arial" w:cs="Arial"/>
          <w:b/>
          <w:u w:val="single"/>
        </w:rPr>
        <w:t>/201</w:t>
      </w:r>
      <w:r w:rsidR="00E2413F">
        <w:rPr>
          <w:rFonts w:ascii="Arial" w:hAnsi="Arial" w:cs="Arial"/>
          <w:b/>
          <w:u w:val="single"/>
        </w:rPr>
        <w:t>7</w:t>
      </w:r>
    </w:p>
    <w:p w:rsidR="005D31C4" w:rsidRDefault="005D31C4" w:rsidP="009F1C48">
      <w:pPr>
        <w:jc w:val="both"/>
        <w:rPr>
          <w:rFonts w:ascii="Arial" w:hAnsi="Arial" w:cs="Arial"/>
          <w:b/>
          <w:u w:val="single"/>
        </w:rPr>
      </w:pPr>
    </w:p>
    <w:p w:rsidR="005D31C4" w:rsidRPr="00B513CC" w:rsidRDefault="005D31C4" w:rsidP="005D31C4">
      <w:pPr>
        <w:jc w:val="both"/>
        <w:rPr>
          <w:rFonts w:ascii="Arial" w:eastAsia="Calibri" w:hAnsi="Arial" w:cs="Arial"/>
          <w:b/>
          <w:bCs/>
          <w:u w:val="single"/>
          <w:lang w:eastAsia="en-US"/>
        </w:rPr>
      </w:pPr>
      <w:r w:rsidRPr="002E2D24">
        <w:rPr>
          <w:rFonts w:ascii="Arial" w:eastAsia="Calibri" w:hAnsi="Arial" w:cs="Arial"/>
          <w:b/>
          <w:bCs/>
          <w:u w:val="single"/>
          <w:lang w:eastAsia="en-US"/>
        </w:rPr>
        <w:t xml:space="preserve">Pedido de Esclarecimento </w:t>
      </w:r>
      <w:r w:rsidR="00E334DC">
        <w:rPr>
          <w:rFonts w:ascii="Arial" w:eastAsia="Calibri" w:hAnsi="Arial" w:cs="Arial"/>
          <w:b/>
          <w:bCs/>
          <w:u w:val="single"/>
          <w:lang w:eastAsia="en-US"/>
        </w:rPr>
        <w:t>8</w:t>
      </w:r>
      <w:r w:rsidRPr="002E2D24">
        <w:rPr>
          <w:rFonts w:ascii="Arial" w:eastAsia="Calibri" w:hAnsi="Arial" w:cs="Arial"/>
          <w:b/>
          <w:bCs/>
          <w:u w:val="single"/>
          <w:lang w:eastAsia="en-US"/>
        </w:rPr>
        <w:t xml:space="preserve">: </w:t>
      </w:r>
      <w:r>
        <w:rPr>
          <w:rFonts w:ascii="Arial" w:eastAsia="Calibri" w:hAnsi="Arial" w:cs="Arial"/>
          <w:b/>
          <w:bCs/>
          <w:u w:val="single"/>
          <w:lang w:eastAsia="en-US"/>
        </w:rPr>
        <w:t>QUESTIONAMENTO 1:</w:t>
      </w:r>
      <w:r w:rsidRPr="00B513CC">
        <w:rPr>
          <w:rFonts w:ascii="Arial" w:eastAsia="Calibri" w:hAnsi="Arial" w:cs="Arial"/>
          <w:b/>
          <w:bCs/>
          <w:u w:val="single"/>
          <w:lang w:eastAsia="en-US"/>
        </w:rPr>
        <w:t xml:space="preserve"> </w:t>
      </w:r>
    </w:p>
    <w:p w:rsidR="005D31C4" w:rsidRDefault="005D31C4" w:rsidP="005D31C4">
      <w:pPr>
        <w:spacing w:before="100" w:beforeAutospacing="1" w:after="100" w:afterAutospacing="1"/>
        <w:jc w:val="both"/>
        <w:rPr>
          <w:rFonts w:ascii="Arial" w:hAnsi="Arial" w:cs="Arial"/>
        </w:rPr>
      </w:pPr>
      <w:r>
        <w:rPr>
          <w:rFonts w:ascii="Arial" w:hAnsi="Arial" w:cs="Arial"/>
        </w:rPr>
        <w:t>“</w:t>
      </w:r>
      <w:r w:rsidRPr="005D31C4">
        <w:rPr>
          <w:rFonts w:ascii="Arial" w:hAnsi="Arial" w:cs="Arial"/>
        </w:rPr>
        <w:t>Existe alguma empresa prestando esses serviços atualmente no órgão? Caso SIM, qual empresa?</w:t>
      </w:r>
      <w:r>
        <w:rPr>
          <w:rFonts w:ascii="Arial" w:hAnsi="Arial" w:cs="Arial"/>
        </w:rPr>
        <w:t xml:space="preserve"> ”</w:t>
      </w:r>
    </w:p>
    <w:p w:rsidR="005D31C4" w:rsidRPr="00B513CC" w:rsidRDefault="005D31C4" w:rsidP="005D31C4">
      <w:pPr>
        <w:jc w:val="both"/>
        <w:rPr>
          <w:rFonts w:ascii="Arial" w:eastAsia="Calibri" w:hAnsi="Arial" w:cs="Arial"/>
          <w:b/>
          <w:u w:val="single"/>
          <w:lang w:eastAsia="en-US"/>
        </w:rPr>
      </w:pPr>
      <w:r w:rsidRPr="00B513CC">
        <w:rPr>
          <w:rFonts w:ascii="Arial" w:eastAsia="Calibri" w:hAnsi="Arial" w:cs="Arial"/>
          <w:b/>
          <w:u w:val="single"/>
          <w:lang w:eastAsia="en-US"/>
        </w:rPr>
        <w:t>RESPOSTA</w:t>
      </w:r>
      <w:r>
        <w:rPr>
          <w:rFonts w:ascii="Arial" w:eastAsia="Calibri" w:hAnsi="Arial" w:cs="Arial"/>
          <w:b/>
          <w:u w:val="single"/>
          <w:lang w:eastAsia="en-US"/>
        </w:rPr>
        <w:t xml:space="preserve"> 1</w:t>
      </w:r>
      <w:r w:rsidRPr="00B513CC">
        <w:rPr>
          <w:rFonts w:ascii="Arial" w:eastAsia="Calibri" w:hAnsi="Arial" w:cs="Arial"/>
          <w:b/>
          <w:u w:val="single"/>
          <w:lang w:eastAsia="en-US"/>
        </w:rPr>
        <w:t>:</w:t>
      </w:r>
    </w:p>
    <w:p w:rsidR="005D31C4" w:rsidRDefault="005D31C4" w:rsidP="005D31C4">
      <w:pPr>
        <w:jc w:val="both"/>
      </w:pPr>
    </w:p>
    <w:p w:rsidR="005D31C4" w:rsidRDefault="005D31C4" w:rsidP="005D31C4">
      <w:pPr>
        <w:jc w:val="both"/>
        <w:rPr>
          <w:rFonts w:ascii="Arial" w:hAnsi="Arial" w:cs="Arial"/>
        </w:rPr>
      </w:pPr>
      <w:r>
        <w:rPr>
          <w:rFonts w:ascii="Arial" w:hAnsi="Arial" w:cs="Arial"/>
        </w:rPr>
        <w:t>Não existe empresa prestando esses serviços atualmente.</w:t>
      </w:r>
    </w:p>
    <w:p w:rsidR="005D31C4" w:rsidRPr="005D31C4" w:rsidRDefault="005D31C4" w:rsidP="005D31C4">
      <w:pPr>
        <w:jc w:val="both"/>
        <w:rPr>
          <w:rFonts w:ascii="Arial" w:hAnsi="Arial" w:cs="Arial"/>
        </w:rPr>
      </w:pPr>
    </w:p>
    <w:p w:rsidR="005D31C4" w:rsidRPr="005E6566" w:rsidRDefault="00E334DC" w:rsidP="005D31C4">
      <w:pPr>
        <w:jc w:val="both"/>
        <w:rPr>
          <w:rFonts w:ascii="Arial" w:eastAsia="Calibri" w:hAnsi="Arial" w:cs="Arial"/>
          <w:b/>
          <w:bCs/>
          <w:u w:val="single"/>
          <w:lang w:eastAsia="en-US"/>
        </w:rPr>
      </w:pPr>
      <w:r w:rsidRPr="005E6566">
        <w:rPr>
          <w:rFonts w:ascii="Arial" w:eastAsia="Calibri" w:hAnsi="Arial" w:cs="Arial"/>
          <w:b/>
          <w:bCs/>
          <w:u w:val="single"/>
          <w:lang w:eastAsia="en-US"/>
        </w:rPr>
        <w:t>Pedido de Esclarecimento 8</w:t>
      </w:r>
      <w:r w:rsidR="005D31C4" w:rsidRPr="005E6566">
        <w:rPr>
          <w:rFonts w:ascii="Arial" w:eastAsia="Calibri" w:hAnsi="Arial" w:cs="Arial"/>
          <w:b/>
          <w:bCs/>
          <w:u w:val="single"/>
          <w:lang w:eastAsia="en-US"/>
        </w:rPr>
        <w:t xml:space="preserve">: QUESTIONAMENTO 2: </w:t>
      </w:r>
    </w:p>
    <w:p w:rsidR="005D31C4" w:rsidRPr="005E6566" w:rsidRDefault="005D31C4" w:rsidP="005D31C4">
      <w:pPr>
        <w:pStyle w:val="gmail-msolistparagraph"/>
        <w:jc w:val="both"/>
        <w:rPr>
          <w:rFonts w:ascii="Arial" w:hAnsi="Arial" w:cs="Arial"/>
          <w:sz w:val="20"/>
          <w:szCs w:val="20"/>
        </w:rPr>
      </w:pPr>
      <w:r w:rsidRPr="005E6566">
        <w:rPr>
          <w:rFonts w:ascii="Arial" w:hAnsi="Arial" w:cs="Arial"/>
          <w:sz w:val="20"/>
          <w:szCs w:val="20"/>
        </w:rPr>
        <w:t>“A empresa deverá utilizar-se exatamente os encargos propostos na CCT”</w:t>
      </w:r>
    </w:p>
    <w:p w:rsidR="005D31C4" w:rsidRPr="005E6566" w:rsidRDefault="005D31C4" w:rsidP="005D31C4">
      <w:pPr>
        <w:jc w:val="both"/>
        <w:rPr>
          <w:rFonts w:ascii="Arial" w:eastAsia="Calibri" w:hAnsi="Arial" w:cs="Arial"/>
          <w:b/>
          <w:u w:val="single"/>
          <w:lang w:eastAsia="en-US"/>
        </w:rPr>
      </w:pPr>
      <w:r w:rsidRPr="005E6566">
        <w:rPr>
          <w:rFonts w:ascii="Arial" w:eastAsia="Calibri" w:hAnsi="Arial" w:cs="Arial"/>
          <w:b/>
          <w:u w:val="single"/>
          <w:lang w:eastAsia="en-US"/>
        </w:rPr>
        <w:t>RESPOSTA 2:</w:t>
      </w:r>
    </w:p>
    <w:p w:rsidR="00D168C3" w:rsidRPr="005E6566" w:rsidRDefault="00D168C3" w:rsidP="005D31C4">
      <w:pPr>
        <w:jc w:val="both"/>
        <w:rPr>
          <w:rFonts w:ascii="Arial" w:eastAsia="Calibri" w:hAnsi="Arial" w:cs="Arial"/>
          <w:b/>
          <w:u w:val="single"/>
          <w:lang w:eastAsia="en-US"/>
        </w:rPr>
      </w:pPr>
    </w:p>
    <w:p w:rsidR="005E6566" w:rsidRPr="005E6566" w:rsidRDefault="005E6566" w:rsidP="005E6566">
      <w:pPr>
        <w:jc w:val="both"/>
        <w:rPr>
          <w:rFonts w:ascii="Arial" w:hAnsi="Arial" w:cs="Arial"/>
          <w:u w:val="single"/>
        </w:rPr>
      </w:pPr>
      <w:r w:rsidRPr="005E6566">
        <w:rPr>
          <w:rFonts w:ascii="Arial" w:hAnsi="Arial" w:cs="Arial"/>
        </w:rPr>
        <w:t xml:space="preserve">Conforme art. 13 da IN </w:t>
      </w:r>
      <w:proofErr w:type="gramStart"/>
      <w:r w:rsidRPr="005E6566">
        <w:rPr>
          <w:rFonts w:ascii="Arial" w:hAnsi="Arial" w:cs="Arial"/>
        </w:rPr>
        <w:t>n.º</w:t>
      </w:r>
      <w:proofErr w:type="gramEnd"/>
      <w:r w:rsidRPr="005E6566">
        <w:rPr>
          <w:rFonts w:ascii="Arial" w:hAnsi="Arial" w:cs="Arial"/>
        </w:rPr>
        <w:t xml:space="preserve"> 02/2008, 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 (Redação dada pela Instrução Normativa nº 3, de 16 de outubro de 2009)</w:t>
      </w:r>
    </w:p>
    <w:p w:rsidR="005E6566" w:rsidRPr="005E6566" w:rsidRDefault="005E6566" w:rsidP="005D31C4">
      <w:pPr>
        <w:jc w:val="both"/>
        <w:rPr>
          <w:rFonts w:ascii="Arial" w:eastAsia="Calibri" w:hAnsi="Arial" w:cs="Arial"/>
          <w:b/>
          <w:u w:val="single"/>
          <w:lang w:eastAsia="en-US"/>
        </w:rPr>
      </w:pPr>
    </w:p>
    <w:p w:rsidR="005D31C4" w:rsidRPr="005E6566" w:rsidRDefault="005D31C4" w:rsidP="005D31C4">
      <w:pPr>
        <w:jc w:val="both"/>
        <w:rPr>
          <w:rFonts w:ascii="Arial" w:hAnsi="Arial" w:cs="Arial"/>
        </w:rPr>
      </w:pPr>
      <w:r w:rsidRPr="005E6566">
        <w:rPr>
          <w:rFonts w:ascii="Arial" w:hAnsi="Arial" w:cs="Arial"/>
        </w:rPr>
        <w:t>Conforme dispõe o Acórdão 5151/2014 - Segunda Câmara, do TCU: “</w:t>
      </w:r>
      <w:r w:rsidRPr="005E6566">
        <w:rPr>
          <w:rFonts w:ascii="Arial" w:hAnsi="Arial" w:cs="Arial"/>
          <w:i/>
        </w:rPr>
        <w:t>é indevida a fixação, nos editais de licitação, de percentuais, ainda que mínimos, para encargos sociais e trabalhistas. (...) No caso concreto, assinalou que a proposta da empresa vencedora contemplara 77,06% de encargos sociais e trabalhistas, enquanto a Convenção Coletiva vigente previra 85,41%, o que, no entendimento desta Corte, não representa irregularidade, tendo em vista que a administração pública não está vinculada ao cumprimento de cláusulas de Convenções Coletivas de Trabalho, excetuadas as alusivas às obrigações trabalhistas</w:t>
      </w:r>
      <w:r w:rsidRPr="005E6566">
        <w:rPr>
          <w:rFonts w:ascii="Arial" w:hAnsi="Arial" w:cs="Arial"/>
        </w:rPr>
        <w:t>”.</w:t>
      </w:r>
    </w:p>
    <w:p w:rsidR="005D31C4" w:rsidRPr="005E6566" w:rsidRDefault="005D31C4" w:rsidP="005D31C4">
      <w:pPr>
        <w:rPr>
          <w:rFonts w:ascii="Arial" w:hAnsi="Arial" w:cs="Arial"/>
        </w:rPr>
      </w:pPr>
    </w:p>
    <w:p w:rsidR="005D31C4" w:rsidRPr="005E6566" w:rsidRDefault="005D31C4" w:rsidP="005D31C4">
      <w:pPr>
        <w:jc w:val="both"/>
        <w:rPr>
          <w:rFonts w:ascii="Arial" w:hAnsi="Arial" w:cs="Arial"/>
        </w:rPr>
      </w:pPr>
      <w:r w:rsidRPr="005E6566">
        <w:rPr>
          <w:rFonts w:ascii="Arial" w:hAnsi="Arial" w:cs="Arial"/>
        </w:rPr>
        <w:t>Assim, os licitantes deverão observar, ao confeccionar suas propostas de preços, os percentuais mínimos fixados por Lei para os encargos sociais e trabalhistas, sob pena de desclassificação, não havendo obrigatoriedade de se utilizar todos os percentuais definidos na CCT, salvo se forem provenientes de Lei específica.</w:t>
      </w:r>
    </w:p>
    <w:p w:rsidR="005D31C4" w:rsidRPr="005E6566" w:rsidRDefault="005D31C4" w:rsidP="005D31C4">
      <w:pPr>
        <w:jc w:val="both"/>
        <w:rPr>
          <w:rFonts w:ascii="Arial" w:eastAsia="Calibri" w:hAnsi="Arial" w:cs="Arial"/>
          <w:b/>
          <w:u w:val="single"/>
          <w:lang w:eastAsia="en-US"/>
        </w:rPr>
      </w:pPr>
    </w:p>
    <w:p w:rsidR="005D31C4" w:rsidRPr="005E6566" w:rsidRDefault="005D31C4" w:rsidP="005D31C4">
      <w:pPr>
        <w:jc w:val="both"/>
        <w:rPr>
          <w:rFonts w:ascii="Arial" w:eastAsia="Calibri" w:hAnsi="Arial" w:cs="Arial"/>
          <w:b/>
          <w:bCs/>
          <w:u w:val="single"/>
          <w:lang w:eastAsia="en-US"/>
        </w:rPr>
      </w:pPr>
    </w:p>
    <w:p w:rsidR="005D31C4" w:rsidRPr="005E6566" w:rsidRDefault="00E334DC" w:rsidP="005D31C4">
      <w:pPr>
        <w:jc w:val="both"/>
        <w:rPr>
          <w:rFonts w:ascii="Arial" w:eastAsia="Calibri" w:hAnsi="Arial" w:cs="Arial"/>
          <w:b/>
          <w:bCs/>
          <w:u w:val="single"/>
          <w:lang w:eastAsia="en-US"/>
        </w:rPr>
      </w:pPr>
      <w:r w:rsidRPr="005E6566">
        <w:rPr>
          <w:rFonts w:ascii="Arial" w:eastAsia="Calibri" w:hAnsi="Arial" w:cs="Arial"/>
          <w:b/>
          <w:bCs/>
          <w:u w:val="single"/>
          <w:lang w:eastAsia="en-US"/>
        </w:rPr>
        <w:t>Pedido de Esclarecimento 8</w:t>
      </w:r>
      <w:r w:rsidR="005D31C4" w:rsidRPr="005E6566">
        <w:rPr>
          <w:rFonts w:ascii="Arial" w:eastAsia="Calibri" w:hAnsi="Arial" w:cs="Arial"/>
          <w:b/>
          <w:bCs/>
          <w:u w:val="single"/>
          <w:lang w:eastAsia="en-US"/>
        </w:rPr>
        <w:t xml:space="preserve">: QUESTIONAMENTO 3: </w:t>
      </w:r>
    </w:p>
    <w:p w:rsidR="005D31C4" w:rsidRDefault="005D31C4" w:rsidP="005D31C4">
      <w:pPr>
        <w:pStyle w:val="gmail-msolistparagraph"/>
        <w:jc w:val="both"/>
        <w:rPr>
          <w:rFonts w:ascii="Arial" w:hAnsi="Arial" w:cs="Arial"/>
          <w:sz w:val="20"/>
          <w:szCs w:val="20"/>
        </w:rPr>
      </w:pPr>
      <w:r w:rsidRPr="005E6566">
        <w:rPr>
          <w:rFonts w:ascii="Arial" w:hAnsi="Arial" w:cs="Arial"/>
          <w:sz w:val="20"/>
          <w:szCs w:val="20"/>
        </w:rPr>
        <w:t>“Deverá ser cotado relógio de ponto e/ou armários? ”</w:t>
      </w:r>
    </w:p>
    <w:p w:rsidR="008853D5" w:rsidRDefault="008853D5" w:rsidP="005D31C4">
      <w:pPr>
        <w:jc w:val="both"/>
        <w:rPr>
          <w:rFonts w:ascii="Arial" w:eastAsia="Calibri" w:hAnsi="Arial" w:cs="Arial"/>
          <w:b/>
          <w:u w:val="single"/>
          <w:lang w:eastAsia="en-US"/>
        </w:rPr>
      </w:pPr>
    </w:p>
    <w:p w:rsidR="005D31C4" w:rsidRDefault="005D31C4" w:rsidP="005D31C4">
      <w:pPr>
        <w:jc w:val="both"/>
        <w:rPr>
          <w:rFonts w:ascii="Arial" w:eastAsia="Calibri" w:hAnsi="Arial" w:cs="Arial"/>
          <w:b/>
          <w:u w:val="single"/>
          <w:lang w:eastAsia="en-US"/>
        </w:rPr>
      </w:pPr>
      <w:r w:rsidRPr="00B513CC">
        <w:rPr>
          <w:rFonts w:ascii="Arial" w:eastAsia="Calibri" w:hAnsi="Arial" w:cs="Arial"/>
          <w:b/>
          <w:u w:val="single"/>
          <w:lang w:eastAsia="en-US"/>
        </w:rPr>
        <w:t>RESPOSTA</w:t>
      </w:r>
      <w:r>
        <w:rPr>
          <w:rFonts w:ascii="Arial" w:eastAsia="Calibri" w:hAnsi="Arial" w:cs="Arial"/>
          <w:b/>
          <w:u w:val="single"/>
          <w:lang w:eastAsia="en-US"/>
        </w:rPr>
        <w:t xml:space="preserve"> 3</w:t>
      </w:r>
      <w:r w:rsidRPr="00B513CC">
        <w:rPr>
          <w:rFonts w:ascii="Arial" w:eastAsia="Calibri" w:hAnsi="Arial" w:cs="Arial"/>
          <w:b/>
          <w:u w:val="single"/>
          <w:lang w:eastAsia="en-US"/>
        </w:rPr>
        <w:t>:</w:t>
      </w:r>
    </w:p>
    <w:p w:rsidR="00D55056" w:rsidRDefault="00D55056" w:rsidP="005D31C4">
      <w:pPr>
        <w:jc w:val="both"/>
        <w:rPr>
          <w:rFonts w:ascii="Arial" w:eastAsia="Calibri" w:hAnsi="Arial" w:cs="Arial"/>
          <w:b/>
          <w:u w:val="single"/>
          <w:lang w:eastAsia="en-US"/>
        </w:rPr>
      </w:pPr>
    </w:p>
    <w:p w:rsidR="00D55056" w:rsidRDefault="00D55056" w:rsidP="005D31C4">
      <w:pPr>
        <w:jc w:val="both"/>
        <w:rPr>
          <w:rFonts w:ascii="Arial" w:eastAsia="Calibri" w:hAnsi="Arial" w:cs="Arial"/>
          <w:b/>
          <w:u w:val="single"/>
          <w:lang w:eastAsia="en-US"/>
        </w:rPr>
      </w:pPr>
    </w:p>
    <w:p w:rsidR="00D55056" w:rsidRDefault="00D55056" w:rsidP="00D55056">
      <w:pPr>
        <w:jc w:val="both"/>
        <w:rPr>
          <w:rFonts w:ascii="Arial" w:hAnsi="Arial" w:cs="Arial"/>
        </w:rPr>
      </w:pPr>
      <w:r>
        <w:rPr>
          <w:rFonts w:ascii="Arial" w:hAnsi="Arial" w:cs="Arial"/>
        </w:rPr>
        <w:t xml:space="preserve">Primeira pergunta: Não, a empresa deverá adotar meio de sistema alternativo de controle de </w:t>
      </w:r>
      <w:r w:rsidRPr="00D321D5">
        <w:rPr>
          <w:rFonts w:ascii="Arial" w:hAnsi="Arial" w:cs="Arial"/>
        </w:rPr>
        <w:t>assiduidade</w:t>
      </w:r>
      <w:r>
        <w:rPr>
          <w:rFonts w:ascii="Arial" w:hAnsi="Arial" w:cs="Arial"/>
        </w:rPr>
        <w:t xml:space="preserve"> não necessariamente o relógio de ponto, mas preferencialmente o controle por biometria, conforme previsto no </w:t>
      </w:r>
      <w:r w:rsidRPr="003F2311">
        <w:rPr>
          <w:rFonts w:ascii="Arial" w:hAnsi="Arial" w:cs="Arial"/>
        </w:rPr>
        <w:t>Item 6 do Termo de Referência:</w:t>
      </w:r>
    </w:p>
    <w:p w:rsidR="00D55056" w:rsidRDefault="00D55056" w:rsidP="00D55056">
      <w:pPr>
        <w:jc w:val="both"/>
        <w:rPr>
          <w:rFonts w:ascii="Arial" w:hAnsi="Arial" w:cs="Arial"/>
        </w:rPr>
      </w:pPr>
    </w:p>
    <w:p w:rsidR="00D55056" w:rsidRPr="00D321D5" w:rsidRDefault="00D55056" w:rsidP="00D55056">
      <w:pPr>
        <w:jc w:val="both"/>
        <w:rPr>
          <w:rFonts w:ascii="Arial" w:hAnsi="Arial" w:cs="Arial"/>
        </w:rPr>
      </w:pPr>
      <w:r w:rsidRPr="00D321D5">
        <w:rPr>
          <w:rFonts w:ascii="Arial" w:hAnsi="Arial" w:cs="Arial"/>
        </w:rPr>
        <w:t xml:space="preserve">6.3 Tendo em vista o disposto nas Convenções Coletivas enumeradas no Item 4 deste Termo de Referência, no Artigo 74, §2º, da Consolidação das Leis do Trabalho, e no Artigo 2º da Portaria </w:t>
      </w:r>
      <w:proofErr w:type="gramStart"/>
      <w:r w:rsidRPr="00D321D5">
        <w:rPr>
          <w:rFonts w:ascii="Arial" w:hAnsi="Arial" w:cs="Arial"/>
        </w:rPr>
        <w:t>n.º</w:t>
      </w:r>
      <w:proofErr w:type="gramEnd"/>
      <w:r w:rsidRPr="00D321D5">
        <w:rPr>
          <w:rFonts w:ascii="Arial" w:hAnsi="Arial" w:cs="Arial"/>
        </w:rPr>
        <w:t xml:space="preserve"> 373 de 25/02/2011, do Ministério do Trabalho e Emprego, a CONTRATADA deverá realizar o controle de jornada de trabalho para controle de assiduidade e pontualidade de seus empregados.</w:t>
      </w:r>
    </w:p>
    <w:p w:rsidR="00D55056" w:rsidRDefault="00D55056" w:rsidP="00D55056">
      <w:pPr>
        <w:jc w:val="both"/>
        <w:rPr>
          <w:rFonts w:ascii="Arial" w:hAnsi="Arial" w:cs="Arial"/>
        </w:rPr>
      </w:pPr>
    </w:p>
    <w:p w:rsidR="00D55056" w:rsidRPr="003F2311" w:rsidRDefault="00D55056" w:rsidP="00D55056">
      <w:pPr>
        <w:jc w:val="both"/>
        <w:rPr>
          <w:rFonts w:ascii="Arial" w:hAnsi="Arial" w:cs="Arial"/>
        </w:rPr>
      </w:pPr>
      <w:r w:rsidRPr="005D57AD">
        <w:rPr>
          <w:rFonts w:ascii="Arial" w:hAnsi="Arial" w:cs="Arial"/>
        </w:rPr>
        <w:t>6.3.1.</w:t>
      </w:r>
      <w:r w:rsidRPr="003F2311">
        <w:rPr>
          <w:rFonts w:ascii="Arial" w:hAnsi="Arial" w:cs="Arial"/>
        </w:rPr>
        <w:t xml:space="preserve"> O controle da jornada de trabalho nas dependências da CONTRATANTE deverá ser efetuado por meio de sistema alternativo de controle de jornada de trabalho, a saber: a) cartão de ponto manual; b) biometria; c) controle de ponto por cartão magnético; d) sistema de ponto eletrônico alternativo; e outros permitidos por lei, </w:t>
      </w:r>
      <w:r w:rsidRPr="005D57AD">
        <w:rPr>
          <w:rFonts w:ascii="Arial" w:hAnsi="Arial" w:cs="Arial"/>
        </w:rPr>
        <w:t>com exceção da folha de ponto manual e preferencialmente o item "b"</w:t>
      </w:r>
      <w:r w:rsidRPr="003F2311">
        <w:rPr>
          <w:rFonts w:ascii="Arial" w:hAnsi="Arial" w:cs="Arial"/>
        </w:rPr>
        <w:t>.</w:t>
      </w:r>
    </w:p>
    <w:p w:rsidR="00D55056" w:rsidRDefault="00D55056" w:rsidP="00D55056">
      <w:pPr>
        <w:jc w:val="both"/>
        <w:rPr>
          <w:rFonts w:ascii="Arial" w:hAnsi="Arial" w:cs="Arial"/>
        </w:rPr>
      </w:pPr>
    </w:p>
    <w:p w:rsidR="00D55056" w:rsidRDefault="00D55056" w:rsidP="00D55056">
      <w:pPr>
        <w:jc w:val="both"/>
        <w:rPr>
          <w:rFonts w:ascii="Arial" w:hAnsi="Arial" w:cs="Arial"/>
        </w:rPr>
      </w:pPr>
    </w:p>
    <w:p w:rsidR="00D55056" w:rsidRDefault="00D55056" w:rsidP="00D55056">
      <w:pPr>
        <w:jc w:val="both"/>
        <w:rPr>
          <w:rFonts w:ascii="Arial" w:hAnsi="Arial" w:cs="Arial"/>
        </w:rPr>
      </w:pPr>
      <w:r>
        <w:rPr>
          <w:rFonts w:ascii="Arial" w:hAnsi="Arial" w:cs="Arial"/>
        </w:rPr>
        <w:t>Segunda pergunta: Não há necessidade de fornecimento de armário.</w:t>
      </w:r>
    </w:p>
    <w:p w:rsidR="00D55056" w:rsidRDefault="00D55056" w:rsidP="00D55056">
      <w:pPr>
        <w:jc w:val="both"/>
        <w:rPr>
          <w:rFonts w:ascii="Arial" w:hAnsi="Arial" w:cs="Arial"/>
        </w:rPr>
      </w:pPr>
    </w:p>
    <w:p w:rsidR="00D55056" w:rsidRPr="00B513CC" w:rsidRDefault="00D55056" w:rsidP="005D31C4">
      <w:pPr>
        <w:jc w:val="both"/>
        <w:rPr>
          <w:rFonts w:ascii="Arial" w:eastAsia="Calibri" w:hAnsi="Arial" w:cs="Arial"/>
          <w:b/>
          <w:u w:val="single"/>
          <w:lang w:eastAsia="en-US"/>
        </w:rPr>
      </w:pPr>
    </w:p>
    <w:p w:rsidR="005D31C4" w:rsidRDefault="005D31C4" w:rsidP="005D31C4">
      <w:pPr>
        <w:jc w:val="both"/>
        <w:rPr>
          <w:rFonts w:ascii="Arial" w:eastAsia="Calibri" w:hAnsi="Arial" w:cs="Arial"/>
          <w:b/>
          <w:bCs/>
          <w:u w:val="single"/>
          <w:lang w:eastAsia="en-US"/>
        </w:rPr>
      </w:pPr>
    </w:p>
    <w:p w:rsidR="005D31C4" w:rsidRPr="00B513CC" w:rsidRDefault="005D31C4" w:rsidP="005D31C4">
      <w:pPr>
        <w:jc w:val="both"/>
        <w:rPr>
          <w:rFonts w:ascii="Arial" w:eastAsia="Calibri" w:hAnsi="Arial" w:cs="Arial"/>
          <w:b/>
          <w:bCs/>
          <w:u w:val="single"/>
          <w:lang w:eastAsia="en-US"/>
        </w:rPr>
      </w:pPr>
      <w:r w:rsidRPr="002E2D24">
        <w:rPr>
          <w:rFonts w:ascii="Arial" w:eastAsia="Calibri" w:hAnsi="Arial" w:cs="Arial"/>
          <w:b/>
          <w:bCs/>
          <w:u w:val="single"/>
          <w:lang w:eastAsia="en-US"/>
        </w:rPr>
        <w:t xml:space="preserve">Pedido de Esclarecimento </w:t>
      </w:r>
      <w:r w:rsidR="00E334DC">
        <w:rPr>
          <w:rFonts w:ascii="Arial" w:eastAsia="Calibri" w:hAnsi="Arial" w:cs="Arial"/>
          <w:b/>
          <w:bCs/>
          <w:u w:val="single"/>
          <w:lang w:eastAsia="en-US"/>
        </w:rPr>
        <w:t>8</w:t>
      </w:r>
      <w:r w:rsidRPr="002E2D24">
        <w:rPr>
          <w:rFonts w:ascii="Arial" w:eastAsia="Calibri" w:hAnsi="Arial" w:cs="Arial"/>
          <w:b/>
          <w:bCs/>
          <w:u w:val="single"/>
          <w:lang w:eastAsia="en-US"/>
        </w:rPr>
        <w:t xml:space="preserve">: </w:t>
      </w:r>
      <w:r>
        <w:rPr>
          <w:rFonts w:ascii="Arial" w:eastAsia="Calibri" w:hAnsi="Arial" w:cs="Arial"/>
          <w:b/>
          <w:bCs/>
          <w:u w:val="single"/>
          <w:lang w:eastAsia="en-US"/>
        </w:rPr>
        <w:t>QUESTIONAMENTO 4:</w:t>
      </w:r>
      <w:r w:rsidRPr="00B513CC">
        <w:rPr>
          <w:rFonts w:ascii="Arial" w:eastAsia="Calibri" w:hAnsi="Arial" w:cs="Arial"/>
          <w:b/>
          <w:bCs/>
          <w:u w:val="single"/>
          <w:lang w:eastAsia="en-US"/>
        </w:rPr>
        <w:t xml:space="preserve"> </w:t>
      </w:r>
    </w:p>
    <w:p w:rsidR="005D31C4" w:rsidRDefault="005D31C4" w:rsidP="005D31C4">
      <w:pPr>
        <w:pStyle w:val="gmail-msolistparagraph"/>
        <w:jc w:val="both"/>
        <w:rPr>
          <w:rFonts w:ascii="Arial" w:hAnsi="Arial" w:cs="Arial"/>
          <w:sz w:val="20"/>
          <w:szCs w:val="20"/>
        </w:rPr>
      </w:pPr>
      <w:r>
        <w:rPr>
          <w:rFonts w:ascii="Arial" w:hAnsi="Arial" w:cs="Arial"/>
          <w:sz w:val="20"/>
          <w:szCs w:val="20"/>
        </w:rPr>
        <w:t>“</w:t>
      </w:r>
      <w:r w:rsidRPr="005D31C4">
        <w:rPr>
          <w:rFonts w:ascii="Arial" w:hAnsi="Arial" w:cs="Arial"/>
          <w:sz w:val="20"/>
          <w:szCs w:val="20"/>
        </w:rPr>
        <w:t>Deverá ser cotado Plano de Saúde?</w:t>
      </w:r>
      <w:r>
        <w:rPr>
          <w:rFonts w:ascii="Arial" w:hAnsi="Arial" w:cs="Arial"/>
          <w:sz w:val="20"/>
          <w:szCs w:val="20"/>
        </w:rPr>
        <w:t xml:space="preserve"> ”</w:t>
      </w:r>
    </w:p>
    <w:p w:rsidR="005D31C4" w:rsidRDefault="005D31C4" w:rsidP="005D31C4">
      <w:pPr>
        <w:jc w:val="both"/>
        <w:rPr>
          <w:rFonts w:ascii="Arial" w:eastAsia="Calibri" w:hAnsi="Arial" w:cs="Arial"/>
          <w:b/>
          <w:u w:val="single"/>
          <w:lang w:eastAsia="en-US"/>
        </w:rPr>
      </w:pPr>
      <w:r w:rsidRPr="00B513CC">
        <w:rPr>
          <w:rFonts w:ascii="Arial" w:eastAsia="Calibri" w:hAnsi="Arial" w:cs="Arial"/>
          <w:b/>
          <w:u w:val="single"/>
          <w:lang w:eastAsia="en-US"/>
        </w:rPr>
        <w:t>RESPOSTA</w:t>
      </w:r>
      <w:r>
        <w:rPr>
          <w:rFonts w:ascii="Arial" w:eastAsia="Calibri" w:hAnsi="Arial" w:cs="Arial"/>
          <w:b/>
          <w:u w:val="single"/>
          <w:lang w:eastAsia="en-US"/>
        </w:rPr>
        <w:t xml:space="preserve"> 4</w:t>
      </w:r>
      <w:r w:rsidRPr="00B513CC">
        <w:rPr>
          <w:rFonts w:ascii="Arial" w:eastAsia="Calibri" w:hAnsi="Arial" w:cs="Arial"/>
          <w:b/>
          <w:u w:val="single"/>
          <w:lang w:eastAsia="en-US"/>
        </w:rPr>
        <w:t>:</w:t>
      </w:r>
    </w:p>
    <w:p w:rsidR="005D31C4" w:rsidRDefault="005D31C4" w:rsidP="005D31C4">
      <w:pPr>
        <w:jc w:val="both"/>
        <w:rPr>
          <w:rFonts w:ascii="Arial" w:eastAsia="Calibri" w:hAnsi="Arial" w:cs="Arial"/>
          <w:b/>
          <w:u w:val="single"/>
          <w:lang w:eastAsia="en-US"/>
        </w:rPr>
      </w:pPr>
    </w:p>
    <w:p w:rsidR="008853D5" w:rsidRDefault="008853D5" w:rsidP="008853D5">
      <w:pPr>
        <w:jc w:val="both"/>
        <w:rPr>
          <w:rFonts w:ascii="Arial" w:hAnsi="Arial" w:cs="Arial"/>
        </w:rPr>
      </w:pPr>
      <w:r w:rsidRPr="00DA3144">
        <w:rPr>
          <w:rFonts w:ascii="Arial" w:hAnsi="Arial" w:cs="Arial"/>
        </w:rPr>
        <w:t>Conforme descrito no Item 22.1.1 do Termo de Referência, as licitantes que deixarem de cotar</w:t>
      </w:r>
      <w:r>
        <w:rPr>
          <w:rFonts w:ascii="Arial" w:hAnsi="Arial" w:cs="Arial"/>
        </w:rPr>
        <w:t xml:space="preserve"> o plano de saúde ou</w:t>
      </w:r>
      <w:r w:rsidRPr="00DA3144">
        <w:rPr>
          <w:rFonts w:ascii="Arial" w:hAnsi="Arial" w:cs="Arial"/>
        </w:rPr>
        <w:t xml:space="preserve"> qualquer </w:t>
      </w:r>
      <w:r>
        <w:rPr>
          <w:rFonts w:ascii="Arial" w:hAnsi="Arial" w:cs="Arial"/>
        </w:rPr>
        <w:t xml:space="preserve">outro </w:t>
      </w:r>
      <w:r w:rsidRPr="00DA3144">
        <w:rPr>
          <w:rFonts w:ascii="Arial" w:hAnsi="Arial" w:cs="Arial"/>
        </w:rPr>
        <w:t>benefício previsto para a categoria, nos moldes e/ou valores previstos na Convenção Coletiva de Trabalho atual serão desclassificadas do certame.</w:t>
      </w:r>
    </w:p>
    <w:p w:rsidR="008853D5" w:rsidRPr="00B513CC" w:rsidRDefault="008853D5" w:rsidP="008853D5">
      <w:pPr>
        <w:jc w:val="both"/>
        <w:rPr>
          <w:rFonts w:ascii="Arial" w:eastAsia="Calibri" w:hAnsi="Arial" w:cs="Arial"/>
          <w:b/>
          <w:u w:val="single"/>
          <w:lang w:eastAsia="en-US"/>
        </w:rPr>
      </w:pPr>
    </w:p>
    <w:p w:rsidR="008853D5" w:rsidRPr="005E6566" w:rsidRDefault="008853D5" w:rsidP="008853D5">
      <w:pPr>
        <w:jc w:val="both"/>
        <w:rPr>
          <w:rFonts w:ascii="Arial" w:hAnsi="Arial" w:cs="Arial"/>
        </w:rPr>
      </w:pPr>
      <w:r>
        <w:rPr>
          <w:rFonts w:ascii="Arial" w:hAnsi="Arial" w:cs="Arial"/>
        </w:rPr>
        <w:t xml:space="preserve">Ressaltamos que </w:t>
      </w:r>
      <w:r w:rsidRPr="00994981">
        <w:rPr>
          <w:rFonts w:ascii="Arial" w:hAnsi="Arial" w:cs="Arial"/>
        </w:rPr>
        <w:t xml:space="preserve">as </w:t>
      </w:r>
      <w:proofErr w:type="spellStart"/>
      <w:r w:rsidRPr="00994981">
        <w:rPr>
          <w:rFonts w:ascii="Arial" w:hAnsi="Arial" w:cs="Arial"/>
        </w:rPr>
        <w:t>CCT’s</w:t>
      </w:r>
      <w:proofErr w:type="spellEnd"/>
      <w:r w:rsidRPr="00994981">
        <w:rPr>
          <w:rFonts w:ascii="Arial" w:hAnsi="Arial" w:cs="Arial"/>
        </w:rPr>
        <w:t xml:space="preserve"> apresentadas são referenciais, podendo a empresa ad</w:t>
      </w:r>
      <w:r>
        <w:rPr>
          <w:rFonts w:ascii="Arial" w:hAnsi="Arial" w:cs="Arial"/>
        </w:rPr>
        <w:t xml:space="preserve">otar outro </w:t>
      </w:r>
      <w:bookmarkStart w:id="0" w:name="_GoBack"/>
      <w:bookmarkEnd w:id="0"/>
      <w:r w:rsidRPr="005E6566">
        <w:rPr>
          <w:rFonts w:ascii="Arial" w:hAnsi="Arial" w:cs="Arial"/>
        </w:rPr>
        <w:t xml:space="preserve">sindicato pertencente à categoria profissional, desde que comprovada a compatibilidade com as atribuições constante no CBO. </w:t>
      </w:r>
    </w:p>
    <w:p w:rsidR="005D31C4" w:rsidRPr="005E6566" w:rsidRDefault="005D31C4" w:rsidP="005D31C4">
      <w:pPr>
        <w:jc w:val="both"/>
        <w:rPr>
          <w:rFonts w:ascii="Arial" w:eastAsia="Calibri" w:hAnsi="Arial" w:cs="Arial"/>
          <w:b/>
          <w:u w:val="single"/>
          <w:lang w:eastAsia="en-US"/>
        </w:rPr>
      </w:pPr>
    </w:p>
    <w:p w:rsidR="005D31C4" w:rsidRPr="005E6566" w:rsidRDefault="005D31C4" w:rsidP="005D31C4">
      <w:pPr>
        <w:jc w:val="both"/>
        <w:rPr>
          <w:rFonts w:ascii="Arial" w:eastAsia="Calibri" w:hAnsi="Arial" w:cs="Arial"/>
          <w:b/>
          <w:bCs/>
          <w:u w:val="single"/>
          <w:lang w:eastAsia="en-US"/>
        </w:rPr>
      </w:pPr>
    </w:p>
    <w:p w:rsidR="005D31C4" w:rsidRPr="005E6566" w:rsidRDefault="00E334DC" w:rsidP="005D31C4">
      <w:pPr>
        <w:jc w:val="both"/>
        <w:rPr>
          <w:rFonts w:ascii="Arial" w:eastAsia="Calibri" w:hAnsi="Arial" w:cs="Arial"/>
          <w:b/>
          <w:bCs/>
          <w:u w:val="single"/>
          <w:lang w:eastAsia="en-US"/>
        </w:rPr>
      </w:pPr>
      <w:r w:rsidRPr="005E6566">
        <w:rPr>
          <w:rFonts w:ascii="Arial" w:eastAsia="Calibri" w:hAnsi="Arial" w:cs="Arial"/>
          <w:b/>
          <w:bCs/>
          <w:u w:val="single"/>
          <w:lang w:eastAsia="en-US"/>
        </w:rPr>
        <w:t>Pedido de Esclarecimento 8</w:t>
      </w:r>
      <w:r w:rsidR="005D31C4" w:rsidRPr="005E6566">
        <w:rPr>
          <w:rFonts w:ascii="Arial" w:eastAsia="Calibri" w:hAnsi="Arial" w:cs="Arial"/>
          <w:b/>
          <w:bCs/>
          <w:u w:val="single"/>
          <w:lang w:eastAsia="en-US"/>
        </w:rPr>
        <w:t xml:space="preserve">: QUESTIONAMENTO 5: </w:t>
      </w:r>
    </w:p>
    <w:p w:rsidR="005D31C4" w:rsidRPr="005E6566" w:rsidRDefault="005D31C4" w:rsidP="005D31C4">
      <w:pPr>
        <w:pStyle w:val="gmail-msolistparagraph"/>
        <w:jc w:val="both"/>
        <w:rPr>
          <w:rFonts w:ascii="Arial" w:hAnsi="Arial" w:cs="Arial"/>
          <w:sz w:val="20"/>
          <w:szCs w:val="20"/>
        </w:rPr>
      </w:pPr>
      <w:r w:rsidRPr="005E6566">
        <w:rPr>
          <w:rFonts w:ascii="Arial" w:hAnsi="Arial" w:cs="Arial"/>
          <w:sz w:val="20"/>
          <w:szCs w:val="20"/>
        </w:rPr>
        <w:t>“Tendo em vista que a estimativa exposta em diversos editais tem sido elaborada com base no lucro presumido (8,65%), onde acaba por prejudicar  isonomia na composição dos custos das empresas optantes pelo lucro real (14,25%), indagamos se as empresas optantes pelo lucro real (incidência não acumulativa) poderão compor seus tributos com base na média das alíquotas efetivamente recolhidas nos 12 meses anteriores à apresentação da proposta, apurada com base nos dados do SPED, tendo em vista que as Leis nº 10.637/02 e nº 10.833/03 permitem o desconto de créditos apurados com base em custos, despesas e encargos da pessoa jurídica pagos em etapas anteriores, fazendo com o que o valor do tributo efetivamente recolhido, em relação ao faturamento, seja inferior à alíquota dessas contribuições? Caso SIM, será necessário encaminhar os documentos comprobatórios dos índices apurados sob pena de desclassificação? Caso NÂO, favor justificar os motivos devidamente embasados na legislação vigente? ”</w:t>
      </w:r>
    </w:p>
    <w:p w:rsidR="005D31C4" w:rsidRPr="005E6566" w:rsidRDefault="005D31C4" w:rsidP="005D31C4">
      <w:pPr>
        <w:jc w:val="both"/>
        <w:rPr>
          <w:rFonts w:ascii="Arial" w:eastAsia="Calibri" w:hAnsi="Arial" w:cs="Arial"/>
          <w:b/>
          <w:u w:val="single"/>
          <w:lang w:eastAsia="en-US"/>
        </w:rPr>
      </w:pPr>
      <w:r w:rsidRPr="005E6566">
        <w:rPr>
          <w:rFonts w:ascii="Arial" w:eastAsia="Calibri" w:hAnsi="Arial" w:cs="Arial"/>
          <w:b/>
          <w:u w:val="single"/>
          <w:lang w:eastAsia="en-US"/>
        </w:rPr>
        <w:t>RESPOSTA 5:</w:t>
      </w:r>
    </w:p>
    <w:p w:rsidR="00F94711" w:rsidRPr="005E6566" w:rsidRDefault="00F94711" w:rsidP="005D31C4">
      <w:pPr>
        <w:jc w:val="both"/>
        <w:rPr>
          <w:rFonts w:ascii="Arial" w:eastAsia="Calibri" w:hAnsi="Arial" w:cs="Arial"/>
          <w:b/>
          <w:u w:val="single"/>
          <w:lang w:eastAsia="en-US"/>
        </w:rPr>
      </w:pPr>
    </w:p>
    <w:p w:rsidR="008853D5" w:rsidRPr="005E6566" w:rsidRDefault="008853D5" w:rsidP="008853D5">
      <w:pPr>
        <w:jc w:val="both"/>
        <w:rPr>
          <w:rFonts w:ascii="Arial" w:hAnsi="Arial" w:cs="Arial"/>
        </w:rPr>
      </w:pPr>
      <w:r w:rsidRPr="005E6566">
        <w:rPr>
          <w:rFonts w:ascii="Arial" w:hAnsi="Arial" w:cs="Arial"/>
        </w:rPr>
        <w:t xml:space="preserve">A empresa deverá </w:t>
      </w:r>
      <w:r w:rsidRPr="005E6566">
        <w:rPr>
          <w:rFonts w:ascii="Arial" w:hAnsi="Arial" w:cs="Arial"/>
          <w:b/>
          <w:bCs/>
        </w:rPr>
        <w:t xml:space="preserve">comprovar por meio de documentação hábil </w:t>
      </w:r>
      <w:r w:rsidRPr="005E6566">
        <w:rPr>
          <w:rFonts w:ascii="Arial" w:hAnsi="Arial" w:cs="Arial"/>
        </w:rPr>
        <w:t xml:space="preserve">o seu </w:t>
      </w:r>
      <w:r w:rsidRPr="005E6566">
        <w:rPr>
          <w:rFonts w:ascii="Arial" w:hAnsi="Arial" w:cs="Arial"/>
          <w:b/>
          <w:bCs/>
        </w:rPr>
        <w:t>regime de tributação</w:t>
      </w:r>
      <w:r w:rsidRPr="005E6566">
        <w:rPr>
          <w:rFonts w:ascii="Arial" w:hAnsi="Arial" w:cs="Arial"/>
        </w:rPr>
        <w:t>, a fim de que se possa certificar que as alíquotas consignadas na planilha conferem com sua opção tributária, conforme descrito nos Itens 21.18 e 21.19 do Termo de Referência, sob pena de desclassificação.</w:t>
      </w:r>
    </w:p>
    <w:p w:rsidR="00F94711" w:rsidRPr="005E6566" w:rsidRDefault="00F94711" w:rsidP="00F94711">
      <w:pPr>
        <w:jc w:val="both"/>
        <w:rPr>
          <w:rFonts w:ascii="Arial" w:hAnsi="Arial" w:cs="Arial"/>
        </w:rPr>
      </w:pPr>
    </w:p>
    <w:p w:rsidR="00F94711" w:rsidRPr="005E6566" w:rsidRDefault="00F94711" w:rsidP="00F94711">
      <w:pPr>
        <w:jc w:val="both"/>
        <w:rPr>
          <w:rFonts w:ascii="Arial" w:hAnsi="Arial" w:cs="Arial"/>
        </w:rPr>
      </w:pPr>
    </w:p>
    <w:p w:rsidR="005D31C4" w:rsidRPr="005E6566" w:rsidRDefault="00E334DC" w:rsidP="005D31C4">
      <w:pPr>
        <w:jc w:val="both"/>
        <w:rPr>
          <w:rFonts w:ascii="Arial" w:eastAsia="Calibri" w:hAnsi="Arial" w:cs="Arial"/>
          <w:b/>
          <w:bCs/>
          <w:u w:val="single"/>
          <w:lang w:eastAsia="en-US"/>
        </w:rPr>
      </w:pPr>
      <w:r w:rsidRPr="005E6566">
        <w:rPr>
          <w:rFonts w:ascii="Arial" w:eastAsia="Calibri" w:hAnsi="Arial" w:cs="Arial"/>
          <w:b/>
          <w:bCs/>
          <w:u w:val="single"/>
          <w:lang w:eastAsia="en-US"/>
        </w:rPr>
        <w:t>Pedido de Esclarecimento 8</w:t>
      </w:r>
      <w:r w:rsidR="005D31C4" w:rsidRPr="005E6566">
        <w:rPr>
          <w:rFonts w:ascii="Arial" w:eastAsia="Calibri" w:hAnsi="Arial" w:cs="Arial"/>
          <w:b/>
          <w:bCs/>
          <w:u w:val="single"/>
          <w:lang w:eastAsia="en-US"/>
        </w:rPr>
        <w:t xml:space="preserve">: QUESTIONAMENTO 2 </w:t>
      </w:r>
    </w:p>
    <w:p w:rsidR="005D31C4" w:rsidRPr="005E6566" w:rsidRDefault="005D31C4" w:rsidP="005D31C4">
      <w:pPr>
        <w:rPr>
          <w:rFonts w:ascii="Arial" w:hAnsi="Arial" w:cs="Arial"/>
        </w:rPr>
      </w:pPr>
    </w:p>
    <w:p w:rsidR="005D31C4" w:rsidRDefault="005D31C4" w:rsidP="005D31C4">
      <w:pPr>
        <w:rPr>
          <w:rFonts w:ascii="Arial" w:hAnsi="Arial" w:cs="Arial"/>
        </w:rPr>
      </w:pPr>
      <w:r w:rsidRPr="005E6566">
        <w:rPr>
          <w:rFonts w:ascii="Arial" w:hAnsi="Arial" w:cs="Arial"/>
        </w:rPr>
        <w:t>“Será necessário de um preposto fixo? ”</w:t>
      </w:r>
    </w:p>
    <w:p w:rsidR="005D31C4" w:rsidRDefault="005D31C4" w:rsidP="005D31C4">
      <w:pPr>
        <w:jc w:val="both"/>
        <w:rPr>
          <w:rFonts w:ascii="Arial" w:eastAsia="Calibri" w:hAnsi="Arial" w:cs="Arial"/>
          <w:b/>
          <w:u w:val="single"/>
          <w:lang w:eastAsia="en-US"/>
        </w:rPr>
      </w:pPr>
    </w:p>
    <w:p w:rsidR="005D31C4" w:rsidRDefault="005D31C4" w:rsidP="005D31C4">
      <w:pPr>
        <w:jc w:val="both"/>
        <w:rPr>
          <w:rFonts w:ascii="Arial" w:eastAsia="Calibri" w:hAnsi="Arial" w:cs="Arial"/>
          <w:b/>
          <w:u w:val="single"/>
          <w:lang w:eastAsia="en-US"/>
        </w:rPr>
      </w:pPr>
      <w:r w:rsidRPr="00B513CC">
        <w:rPr>
          <w:rFonts w:ascii="Arial" w:eastAsia="Calibri" w:hAnsi="Arial" w:cs="Arial"/>
          <w:b/>
          <w:u w:val="single"/>
          <w:lang w:eastAsia="en-US"/>
        </w:rPr>
        <w:t>RESPOSTA</w:t>
      </w:r>
      <w:r>
        <w:rPr>
          <w:rFonts w:ascii="Arial" w:eastAsia="Calibri" w:hAnsi="Arial" w:cs="Arial"/>
          <w:b/>
          <w:u w:val="single"/>
          <w:lang w:eastAsia="en-US"/>
        </w:rPr>
        <w:t xml:space="preserve"> 6</w:t>
      </w:r>
      <w:r w:rsidRPr="00B513CC">
        <w:rPr>
          <w:rFonts w:ascii="Arial" w:eastAsia="Calibri" w:hAnsi="Arial" w:cs="Arial"/>
          <w:b/>
          <w:u w:val="single"/>
          <w:lang w:eastAsia="en-US"/>
        </w:rPr>
        <w:t>:</w:t>
      </w:r>
    </w:p>
    <w:p w:rsidR="00D75EFC" w:rsidRDefault="00D75EFC" w:rsidP="005D31C4">
      <w:pPr>
        <w:jc w:val="both"/>
        <w:rPr>
          <w:rFonts w:ascii="Arial" w:eastAsia="Calibri" w:hAnsi="Arial" w:cs="Arial"/>
          <w:b/>
          <w:u w:val="single"/>
          <w:lang w:eastAsia="en-US"/>
        </w:rPr>
      </w:pPr>
    </w:p>
    <w:p w:rsidR="008853D5" w:rsidRDefault="008853D5" w:rsidP="008853D5">
      <w:pPr>
        <w:jc w:val="both"/>
        <w:rPr>
          <w:rFonts w:ascii="Arial" w:hAnsi="Arial" w:cs="Arial"/>
        </w:rPr>
      </w:pPr>
      <w:r>
        <w:rPr>
          <w:rFonts w:ascii="Arial" w:hAnsi="Arial" w:cs="Arial"/>
        </w:rPr>
        <w:t xml:space="preserve">Conforme descrito no Item 9 do Termo de Referência, o preposto fará o acompanhamento contratual, não será necessário permanecer integralmente no local da prestação do serviço, porém ao ser acionado deverá fazer o atendimento imediato por telefone, mensagens eletrônicas ou presencialmente. </w:t>
      </w:r>
    </w:p>
    <w:p w:rsidR="009F1C48" w:rsidRPr="00D55056" w:rsidRDefault="005D31C4" w:rsidP="00D55056">
      <w:pPr>
        <w:rPr>
          <w:rFonts w:ascii="Arial" w:hAnsi="Arial" w:cs="Arial"/>
          <w:b/>
          <w:u w:val="single"/>
        </w:rPr>
      </w:pPr>
      <w:r w:rsidRPr="005D31C4">
        <w:rPr>
          <w:rFonts w:ascii="Arial" w:hAnsi="Arial" w:cs="Arial"/>
        </w:rPr>
        <w:lastRenderedPageBreak/>
        <w:br w:type="textWrapping" w:clear="all"/>
      </w:r>
    </w:p>
    <w:p w:rsidR="00303413" w:rsidRDefault="00303413" w:rsidP="009F1C48">
      <w:pPr>
        <w:jc w:val="both"/>
        <w:rPr>
          <w:rFonts w:ascii="Arial" w:eastAsia="Calibri" w:hAnsi="Arial" w:cs="Arial"/>
          <w:b/>
          <w:u w:val="single"/>
          <w:lang w:eastAsia="en-US"/>
        </w:rPr>
      </w:pPr>
    </w:p>
    <w:sectPr w:rsidR="003034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C"/>
    <w:rsid w:val="00011907"/>
    <w:rsid w:val="00027EC5"/>
    <w:rsid w:val="001A5C39"/>
    <w:rsid w:val="001E53BA"/>
    <w:rsid w:val="00303413"/>
    <w:rsid w:val="00324BB2"/>
    <w:rsid w:val="00327891"/>
    <w:rsid w:val="005177BC"/>
    <w:rsid w:val="005A117F"/>
    <w:rsid w:val="005C004A"/>
    <w:rsid w:val="005D31C4"/>
    <w:rsid w:val="005E6566"/>
    <w:rsid w:val="00654CA7"/>
    <w:rsid w:val="007143E3"/>
    <w:rsid w:val="00800462"/>
    <w:rsid w:val="00802085"/>
    <w:rsid w:val="0086187C"/>
    <w:rsid w:val="008853D5"/>
    <w:rsid w:val="00955DE6"/>
    <w:rsid w:val="009F1C48"/>
    <w:rsid w:val="00A876B0"/>
    <w:rsid w:val="00B02818"/>
    <w:rsid w:val="00B217D7"/>
    <w:rsid w:val="00B513CC"/>
    <w:rsid w:val="00B60C7C"/>
    <w:rsid w:val="00BF57CB"/>
    <w:rsid w:val="00C13D78"/>
    <w:rsid w:val="00C2775E"/>
    <w:rsid w:val="00C44780"/>
    <w:rsid w:val="00C961A4"/>
    <w:rsid w:val="00CB5A6E"/>
    <w:rsid w:val="00CE7199"/>
    <w:rsid w:val="00D168C3"/>
    <w:rsid w:val="00D55056"/>
    <w:rsid w:val="00D75EFC"/>
    <w:rsid w:val="00D85687"/>
    <w:rsid w:val="00DC6185"/>
    <w:rsid w:val="00DE55FD"/>
    <w:rsid w:val="00E2413F"/>
    <w:rsid w:val="00E334DC"/>
    <w:rsid w:val="00E55C2A"/>
    <w:rsid w:val="00EE733E"/>
    <w:rsid w:val="00EF029F"/>
    <w:rsid w:val="00F44280"/>
    <w:rsid w:val="00F94711"/>
    <w:rsid w:val="00FF2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439"/>
  <w15:docId w15:val="{7270F9A2-D089-4AFD-8696-7FF6E2FD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3C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2">
    <w:name w:val="Corpo de texto 22"/>
    <w:basedOn w:val="Normal"/>
    <w:rsid w:val="00B513CC"/>
    <w:pPr>
      <w:suppressAutoHyphens/>
      <w:jc w:val="both"/>
    </w:pPr>
    <w:rPr>
      <w:sz w:val="24"/>
      <w:lang w:eastAsia="ar-SA"/>
    </w:rPr>
  </w:style>
  <w:style w:type="paragraph" w:styleId="Textodebalo">
    <w:name w:val="Balloon Text"/>
    <w:basedOn w:val="Normal"/>
    <w:link w:val="TextodebaloChar"/>
    <w:uiPriority w:val="99"/>
    <w:semiHidden/>
    <w:unhideWhenUsed/>
    <w:rsid w:val="00B513CC"/>
    <w:rPr>
      <w:rFonts w:ascii="Tahoma" w:hAnsi="Tahoma" w:cs="Tahoma"/>
      <w:sz w:val="16"/>
      <w:szCs w:val="16"/>
    </w:rPr>
  </w:style>
  <w:style w:type="character" w:customStyle="1" w:styleId="TextodebaloChar">
    <w:name w:val="Texto de balão Char"/>
    <w:basedOn w:val="Fontepargpadro"/>
    <w:link w:val="Textodebalo"/>
    <w:uiPriority w:val="99"/>
    <w:semiHidden/>
    <w:rsid w:val="00B513CC"/>
    <w:rPr>
      <w:rFonts w:ascii="Tahoma" w:eastAsia="Times New Roman" w:hAnsi="Tahoma" w:cs="Tahoma"/>
      <w:sz w:val="16"/>
      <w:szCs w:val="16"/>
      <w:lang w:eastAsia="pt-BR"/>
    </w:rPr>
  </w:style>
  <w:style w:type="character" w:customStyle="1" w:styleId="PargrafodaListaChar">
    <w:name w:val="Parágrafo da Lista Char"/>
    <w:basedOn w:val="Fontepargpadro"/>
    <w:link w:val="PargrafodaLista"/>
    <w:uiPriority w:val="34"/>
    <w:locked/>
    <w:rsid w:val="00BF57CB"/>
    <w:rPr>
      <w:rFonts w:ascii="Arial" w:hAnsi="Arial" w:cs="Arial"/>
      <w:lang w:eastAsia="zh-CN"/>
    </w:rPr>
  </w:style>
  <w:style w:type="paragraph" w:styleId="PargrafodaLista">
    <w:name w:val="List Paragraph"/>
    <w:basedOn w:val="Normal"/>
    <w:link w:val="PargrafodaListaChar"/>
    <w:uiPriority w:val="34"/>
    <w:qFormat/>
    <w:rsid w:val="00BF57CB"/>
    <w:pPr>
      <w:spacing w:before="120" w:after="120" w:line="260" w:lineRule="exact"/>
      <w:ind w:left="720"/>
      <w:contextualSpacing/>
      <w:jc w:val="both"/>
    </w:pPr>
    <w:rPr>
      <w:rFonts w:ascii="Arial" w:eastAsiaTheme="minorHAnsi" w:hAnsi="Arial" w:cs="Arial"/>
      <w:sz w:val="22"/>
      <w:szCs w:val="22"/>
      <w:lang w:eastAsia="zh-CN"/>
    </w:rPr>
  </w:style>
  <w:style w:type="paragraph" w:customStyle="1" w:styleId="gmail-msolistparagraph">
    <w:name w:val="gmail-msolistparagraph"/>
    <w:basedOn w:val="Normal"/>
    <w:rsid w:val="005D31C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3577">
      <w:bodyDiv w:val="1"/>
      <w:marLeft w:val="0"/>
      <w:marRight w:val="0"/>
      <w:marTop w:val="0"/>
      <w:marBottom w:val="0"/>
      <w:divBdr>
        <w:top w:val="none" w:sz="0" w:space="0" w:color="auto"/>
        <w:left w:val="none" w:sz="0" w:space="0" w:color="auto"/>
        <w:bottom w:val="none" w:sz="0" w:space="0" w:color="auto"/>
        <w:right w:val="none" w:sz="0" w:space="0" w:color="auto"/>
      </w:divBdr>
    </w:div>
    <w:div w:id="1013651827">
      <w:bodyDiv w:val="1"/>
      <w:marLeft w:val="0"/>
      <w:marRight w:val="0"/>
      <w:marTop w:val="0"/>
      <w:marBottom w:val="0"/>
      <w:divBdr>
        <w:top w:val="none" w:sz="0" w:space="0" w:color="auto"/>
        <w:left w:val="none" w:sz="0" w:space="0" w:color="auto"/>
        <w:bottom w:val="none" w:sz="0" w:space="0" w:color="auto"/>
        <w:right w:val="none" w:sz="0" w:space="0" w:color="auto"/>
      </w:divBdr>
    </w:div>
    <w:div w:id="1767384321">
      <w:bodyDiv w:val="1"/>
      <w:marLeft w:val="0"/>
      <w:marRight w:val="0"/>
      <w:marTop w:val="0"/>
      <w:marBottom w:val="0"/>
      <w:divBdr>
        <w:top w:val="none" w:sz="0" w:space="0" w:color="auto"/>
        <w:left w:val="none" w:sz="0" w:space="0" w:color="auto"/>
        <w:bottom w:val="none" w:sz="0" w:space="0" w:color="auto"/>
        <w:right w:val="none" w:sz="0" w:space="0" w:color="auto"/>
      </w:divBdr>
    </w:div>
    <w:div w:id="21102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Araujo</dc:creator>
  <cp:lastModifiedBy>Joao Paulo Machado Goncalves</cp:lastModifiedBy>
  <cp:revision>5</cp:revision>
  <cp:lastPrinted>2017-10-27T12:21:00Z</cp:lastPrinted>
  <dcterms:created xsi:type="dcterms:W3CDTF">2017-10-27T12:15:00Z</dcterms:created>
  <dcterms:modified xsi:type="dcterms:W3CDTF">2017-10-30T11:25:00Z</dcterms:modified>
</cp:coreProperties>
</file>