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8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310" w:lineRule="exact" w:before="738" w:after="0"/>
        <w:ind w:left="0" w:right="0" w:firstLine="0"/>
        <w:jc w:val="center"/>
      </w:pPr>
      <w:r>
        <w:rPr>
          <w:rFonts w:ascii="TimesNewRomanPS" w:hAnsi="TimesNewRomanPS" w:eastAsia="TimesNewRomanPS"/>
          <w:b/>
          <w:i w:val="0"/>
          <w:color w:val="000000"/>
          <w:sz w:val="28"/>
        </w:rPr>
        <w:t xml:space="preserve">EDITAL PIBIC/PIBITI/CNPq/CETEM 2024/2025 </w:t>
      </w:r>
    </w:p>
    <w:p>
      <w:pPr>
        <w:autoSpaceDN w:val="0"/>
        <w:autoSpaceDE w:val="0"/>
        <w:widowControl/>
        <w:spacing w:line="276" w:lineRule="exact" w:before="238" w:after="0"/>
        <w:ind w:left="0" w:right="0" w:firstLine="0"/>
        <w:jc w:val="center"/>
      </w:pPr>
      <w:r>
        <w:rPr>
          <w:rFonts w:ascii="TimesNewRomanPS" w:hAnsi="TimesNewRomanPS" w:eastAsia="TimesNewRomanPS"/>
          <w:b/>
          <w:i w:val="0"/>
          <w:color w:val="000000"/>
          <w:sz w:val="24"/>
        </w:rPr>
        <w:t xml:space="preserve">PROGRAMA INSTITUCIONAL DE BOLSAS DE INICIAÇÃO CIENTÍFICA E INICIAÇÃO </w:t>
      </w:r>
      <w:r>
        <w:rPr>
          <w:rFonts w:ascii="TimesNewRomanPS" w:hAnsi="TimesNewRomanPS" w:eastAsia="TimesNewRomanPS"/>
          <w:b/>
          <w:i w:val="0"/>
          <w:color w:val="000000"/>
          <w:sz w:val="24"/>
        </w:rPr>
        <w:t xml:space="preserve">EM DESENVOLVIMENTO TECNOLÓGICO E INOVAÇÃO </w:t>
      </w:r>
    </w:p>
    <w:p>
      <w:pPr>
        <w:autoSpaceDN w:val="0"/>
        <w:autoSpaceDE w:val="0"/>
        <w:widowControl/>
        <w:spacing w:line="346" w:lineRule="exact" w:before="642" w:after="0"/>
        <w:ind w:left="44" w:right="22" w:firstLine="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Direção, a Comissão do Programa Institucional de Bolsas de Iniciação Científica e a Comissão do Programa Institucional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Bolsas de Iniciação em Desenvolvimento Tecnológico e Inovação do Centro de Tecnologia Mineral (CETEM/MCTI)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tornam públicas as normas para apresentação de propostas para a concessão de bolsas de Iniciação Científica (IC) 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Iniciação em Desenvolvimento Tecnológico e Inovação (IDTI) dentro do Programa Institucional do CNPq (PIBIC/PIBITI),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destinadas a estudantes do ensino técnico e superior, de acordo com os termos do presente Edital e da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Resolução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Normativa 017/2006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CNPq. </w:t>
      </w:r>
    </w:p>
    <w:p>
      <w:pPr>
        <w:autoSpaceDN w:val="0"/>
        <w:autoSpaceDE w:val="0"/>
        <w:widowControl/>
        <w:spacing w:line="220" w:lineRule="exact" w:before="366" w:after="0"/>
        <w:ind w:left="44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Este Edital diz respeito à participação do Centro de Tecnologia Mineral no Programa Institucional de Bolsas de: </w:t>
      </w:r>
    </w:p>
    <w:p>
      <w:pPr>
        <w:autoSpaceDN w:val="0"/>
        <w:autoSpaceDE w:val="0"/>
        <w:widowControl/>
        <w:spacing w:line="344" w:lineRule="exact" w:before="242" w:after="0"/>
        <w:ind w:left="44" w:right="28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a)</w:t>
      </w:r>
      <w:r>
        <w:rPr>
          <w:rFonts w:ascii="TimesNewRomanPS" w:hAnsi="TimesNewRomanPS" w:eastAsia="TimesNewRomanPS"/>
          <w:b w:val="0"/>
          <w:i/>
          <w:color w:val="000000"/>
          <w:sz w:val="20"/>
        </w:rPr>
        <w:t>Iniciação Científica (PIBIC/CNPq)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, regulando, assim, a concessão de bolsas, visando o despertar da vocação científica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 tecnológica entre estudantes de graduação, contribuindo para a formação de recursos humanos, para a pesquisa aplicada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 estimulando que pesquisadores e tecnologiastas envolvam alunos de graduação nas atividades científica e tecnológica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que desenvolvem; </w:t>
      </w:r>
    </w:p>
    <w:p>
      <w:pPr>
        <w:autoSpaceDN w:val="0"/>
        <w:autoSpaceDE w:val="0"/>
        <w:widowControl/>
        <w:spacing w:line="344" w:lineRule="exact" w:before="242" w:after="164"/>
        <w:ind w:left="44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b)</w:t>
      </w:r>
      <w:r>
        <w:rPr>
          <w:rFonts w:ascii="TimesNewRomanPS" w:hAnsi="TimesNewRomanPS" w:eastAsia="TimesNewRomanPS"/>
          <w:b w:val="0"/>
          <w:i/>
          <w:color w:val="000000"/>
          <w:sz w:val="20"/>
        </w:rPr>
        <w:t>Iniciação em Desenvolvimento Tecnológico e Inovação (PIBITI/CNPq)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, regulando, assim, a concessão das bolsas cujo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objetivo é despertar a vocação científica e tecnológica entre estudantes do ensino superior, contribuindo, assim, com 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formação de recursos humanos, com a pesquisa aplicada, visando, para tanto, estimular pesquisadores e tecnologistas 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envolverem os estudantes nas atividades científica e tecnológica que desenvolvem.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5.999999999999943" w:type="dxa"/>
      </w:tblPr>
      <w:tblGrid>
        <w:gridCol w:w="9879"/>
      </w:tblGrid>
      <w:tr>
        <w:trPr>
          <w:trHeight w:hRule="exact" w:val="3458"/>
        </w:trPr>
        <w:tc>
          <w:tcPr>
            <w:tcW w:type="dxa" w:w="9756"/>
            <w:tcBorders>
              <w:start w:sz="12.0" w:val="single" w:color="#000000"/>
              <w:top w:sz="12.0" w:val="single" w:color="#000000"/>
              <w:end w:sz="12.0" w:val="single" w:color="#000000"/>
              <w:bottom w:sz="12.0" w:val="single" w:color="#000000"/>
            </w:tcBorders>
            <w:shd w:fill="f0f0f0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18" w:after="0"/>
              <w:ind w:left="136" w:right="0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Cronograma </w:t>
            </w:r>
          </w:p>
          <w:p>
            <w:pPr>
              <w:autoSpaceDN w:val="0"/>
              <w:autoSpaceDE w:val="0"/>
              <w:widowControl/>
              <w:spacing w:line="468" w:lineRule="exact" w:before="118" w:after="0"/>
              <w:ind w:left="136" w:right="2448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Inscrições para seleção de projetos PIBIC/PIBITI 2024-2025: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08 a 19 de julho de 2024.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Divulgação das avaliações: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31 de julho de 2024. </w:t>
            </w:r>
          </w:p>
          <w:p>
            <w:pPr>
              <w:autoSpaceDN w:val="0"/>
              <w:autoSpaceDE w:val="0"/>
              <w:widowControl/>
              <w:spacing w:line="222" w:lineRule="exact" w:before="252" w:after="0"/>
              <w:ind w:left="136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Envio de recursos: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31 de julho a 05 de agosto de 2024. </w:t>
            </w:r>
          </w:p>
          <w:p>
            <w:pPr>
              <w:autoSpaceDN w:val="0"/>
              <w:autoSpaceDE w:val="0"/>
              <w:widowControl/>
              <w:spacing w:line="222" w:lineRule="exact" w:before="248" w:after="0"/>
              <w:ind w:left="136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Divulgação do resultado final: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09 de agosto de 2024. </w:t>
            </w:r>
          </w:p>
        </w:tc>
      </w:tr>
    </w:tbl>
    <w:p>
      <w:pPr>
        <w:autoSpaceDN w:val="0"/>
        <w:autoSpaceDE w:val="0"/>
        <w:widowControl/>
        <w:spacing w:line="246" w:lineRule="exact" w:before="2202" w:after="0"/>
        <w:ind w:left="0" w:right="26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1 </w:t>
      </w:r>
    </w:p>
    <w:p>
      <w:pPr>
        <w:sectPr>
          <w:pgSz w:w="11911" w:h="16841"/>
          <w:pgMar w:top="328" w:right="998" w:bottom="502" w:left="103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4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20" w:lineRule="exact" w:before="496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Objetivos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a)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Contribuir para a formação e inserção de estudantes em atividades de pesquisa, desenvolvimento tecnológico e inovação; </w:t>
      </w:r>
    </w:p>
    <w:p>
      <w:pPr>
        <w:autoSpaceDN w:val="0"/>
        <w:autoSpaceDE w:val="0"/>
        <w:widowControl/>
        <w:spacing w:line="222" w:lineRule="exact" w:before="362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b)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Contribuir para reduzir o tempo médio de permanência dos alunos na pós-graduação; </w:t>
      </w:r>
    </w:p>
    <w:p>
      <w:pPr>
        <w:autoSpaceDN w:val="0"/>
        <w:autoSpaceDE w:val="0"/>
        <w:widowControl/>
        <w:spacing w:line="346" w:lineRule="exact" w:before="238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c)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Contribuir para a formação de recursos humanos que se dedicarão ao fortalecimento da capacidade inovadora das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empresas, em busca das possibilidades de transferência de tecnologia; </w:t>
      </w:r>
    </w:p>
    <w:p>
      <w:pPr>
        <w:autoSpaceDN w:val="0"/>
        <w:autoSpaceDE w:val="0"/>
        <w:widowControl/>
        <w:spacing w:line="344" w:lineRule="exact" w:before="242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d)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Possibilitar o desenvolvimento de projetos tecnológicos e de inovação direcionados ao depósito de patentes no INPI, ou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órgãos equivalentes;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e)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Possibilitar o desenvolvimento de projetos tecnológicos direcionados às soluções de problemas de interesse social.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1.1.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Aos Orientadores: </w:t>
      </w:r>
    </w:p>
    <w:p>
      <w:pPr>
        <w:autoSpaceDN w:val="0"/>
        <w:tabs>
          <w:tab w:pos="352" w:val="left"/>
        </w:tabs>
        <w:autoSpaceDE w:val="0"/>
        <w:widowControl/>
        <w:spacing w:line="344" w:lineRule="exact" w:before="242" w:after="0"/>
        <w:ind w:left="0" w:right="0" w:firstLine="0"/>
        <w:jc w:val="left"/>
      </w:pPr>
      <w:r>
        <w:tab/>
      </w: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1.1.1.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Programa Institucional de Bolsas de Iniciação Científica busca estimular pesquisadores e tecnologistas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produtivos a atrair e envolverem estudantes de graduação nas atividades científica, tecnológica e profissional; </w:t>
      </w:r>
    </w:p>
    <w:p>
      <w:pPr>
        <w:autoSpaceDN w:val="0"/>
        <w:autoSpaceDE w:val="0"/>
        <w:widowControl/>
        <w:spacing w:line="344" w:lineRule="exact" w:before="242" w:after="0"/>
        <w:ind w:left="0" w:right="20" w:firstLine="352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1.1.2.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Programa Institucional de Bolsas de Iniciação em Desenvolvimento Tecnológico e Inovação busca estimular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pesquisadores e tecnologistas produtivos a atrair e envolver estudantes do ensino técnico e superior em atividades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desenvolvimento tecnológico e inovação.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1.2.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Aos Bolsistas: </w:t>
      </w:r>
    </w:p>
    <w:p>
      <w:pPr>
        <w:autoSpaceDN w:val="0"/>
        <w:tabs>
          <w:tab w:pos="352" w:val="left"/>
        </w:tabs>
        <w:autoSpaceDE w:val="0"/>
        <w:widowControl/>
        <w:spacing w:line="358" w:lineRule="exact" w:before="228" w:after="0"/>
        <w:ind w:left="0" w:right="0" w:firstLine="0"/>
        <w:jc w:val="left"/>
      </w:pPr>
      <w:r>
        <w:tab/>
      </w: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1.2.1.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Despertar a vocação científica e tecnológica, incentivando e identificando talentos potenciais entre estudantes 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do ensino técnico e superior,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por meio da participação em projetos de pesquisa. </w:t>
      </w:r>
    </w:p>
    <w:p>
      <w:pPr>
        <w:autoSpaceDN w:val="0"/>
        <w:autoSpaceDE w:val="0"/>
        <w:widowControl/>
        <w:spacing w:line="344" w:lineRule="exact" w:before="244" w:after="0"/>
        <w:ind w:left="0" w:right="20" w:firstLine="352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1.2.2.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Proporcionar ao bolsista, orientado por pesquisador/tecnologista, a aprendizagem de técnicas e métodos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pesquisa, bem como estimular o desenvolvimento do pensar tecnológico e da criatividade, decorrentes das condições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criadas pelo confronto direto com os problemas de pesquisa. </w:t>
      </w:r>
    </w:p>
    <w:p>
      <w:pPr>
        <w:autoSpaceDN w:val="0"/>
        <w:autoSpaceDE w:val="0"/>
        <w:widowControl/>
        <w:spacing w:line="220" w:lineRule="exact" w:before="364" w:after="0"/>
        <w:ind w:left="302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1.2.3.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Estimular a capacidade intelectual e criativa dos bolsistas. </w:t>
      </w:r>
    </w:p>
    <w:p>
      <w:pPr>
        <w:autoSpaceDN w:val="0"/>
        <w:autoSpaceDE w:val="0"/>
        <w:widowControl/>
        <w:spacing w:line="220" w:lineRule="exact" w:before="366" w:after="0"/>
        <w:ind w:left="302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1.2.4.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Propiciar a experiência de convivência e atuação em grupos de pesquisa. </w:t>
      </w:r>
    </w:p>
    <w:p>
      <w:pPr>
        <w:autoSpaceDN w:val="0"/>
        <w:autoSpaceDE w:val="0"/>
        <w:widowControl/>
        <w:spacing w:line="222" w:lineRule="exact" w:before="362" w:after="0"/>
        <w:ind w:left="302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1.2.5.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Preparar alunos para a pós-graduação, contribuindo com a redução do tempo de titulação de mestres e doutores. </w:t>
      </w:r>
    </w:p>
    <w:p>
      <w:pPr>
        <w:autoSpaceDN w:val="0"/>
        <w:tabs>
          <w:tab w:pos="302" w:val="left"/>
        </w:tabs>
        <w:autoSpaceDE w:val="0"/>
        <w:widowControl/>
        <w:spacing w:line="350" w:lineRule="exact" w:before="248" w:after="0"/>
        <w:ind w:left="0" w:right="0" w:firstLine="0"/>
        <w:jc w:val="left"/>
      </w:pPr>
      <w:r>
        <w:tab/>
      </w: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1.2.6.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Preparar 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estudantes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para que se tornem aptos a atuarem em institutos de pesquisa, bem como em empresas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base tecnológica, visando a futura inserção dos mesmos no mercado profissional. </w:t>
      </w:r>
    </w:p>
    <w:p>
      <w:pPr>
        <w:autoSpaceDN w:val="0"/>
        <w:autoSpaceDE w:val="0"/>
        <w:widowControl/>
        <w:spacing w:line="220" w:lineRule="exact" w:before="950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2.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Requisitos de Elegibilidade para o Orientador </w:t>
      </w:r>
    </w:p>
    <w:p>
      <w:pPr>
        <w:autoSpaceDN w:val="0"/>
        <w:autoSpaceDE w:val="0"/>
        <w:widowControl/>
        <w:spacing w:line="246" w:lineRule="exact" w:before="430" w:after="0"/>
        <w:ind w:left="0" w:right="22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2 </w:t>
      </w:r>
    </w:p>
    <w:p>
      <w:pPr>
        <w:sectPr>
          <w:pgSz w:w="11911" w:h="16841"/>
          <w:pgMar w:top="328" w:right="1002" w:bottom="502" w:left="107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6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346" w:lineRule="exact" w:before="372" w:after="0"/>
        <w:ind w:left="0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2.1.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Ser pesquisador ou tecnologista, do quadro permanente de servidores do CETEM ou aposentado que mantenha vínculo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institucional ativo com o CETEM. Também serão considerados como orientadores bolsistas do Programa de Capacitação </w:t>
      </w:r>
      <w:r>
        <w:rPr>
          <w:w w:val="101.61520305432772"/>
          <w:rFonts w:ascii="TimesNewRomanPSMT" w:hAnsi="TimesNewRomanPSMT" w:eastAsia="TimesNewRomanPSMT"/>
          <w:b w:val="0"/>
          <w:i w:val="0"/>
          <w:color w:val="000000"/>
          <w:sz w:val="19"/>
        </w:rPr>
        <w:t xml:space="preserve">Institucional do CETEM (PCI), de preferência com nível de doutorado. Os profissionais aqui descritos não poderão usufruir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afastamento superior a três meses consecutivos durante a vigência da bolsa. </w:t>
      </w:r>
    </w:p>
    <w:p>
      <w:pPr>
        <w:autoSpaceDN w:val="0"/>
        <w:autoSpaceDE w:val="0"/>
        <w:widowControl/>
        <w:spacing w:line="344" w:lineRule="exact" w:before="24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2.2.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Possuir título de doutor ou mestre e experiência compatível com a função de orientador e formador de recursos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humanos qualificados, dotado de expressiva produção científica e tecnológica recentes. </w:t>
      </w:r>
    </w:p>
    <w:p>
      <w:pPr>
        <w:autoSpaceDN w:val="0"/>
        <w:autoSpaceDE w:val="0"/>
        <w:widowControl/>
        <w:spacing w:line="342" w:lineRule="exact" w:before="24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2.3.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Possuir produção científica e tecnológica nos últimos três anos, cadastradas no currículo Lattes e/ou SIGTEC, para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fins de comprovação junto à CIBIC/CIBITI. </w:t>
      </w:r>
    </w:p>
    <w:p>
      <w:pPr>
        <w:autoSpaceDN w:val="0"/>
        <w:autoSpaceDE w:val="0"/>
        <w:widowControl/>
        <w:spacing w:line="344" w:lineRule="exact" w:before="246" w:after="0"/>
        <w:ind w:left="0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2.4.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Não apresentar pendências com a CIBIC/CIBITI, tais como: não avaliação de relatórios, não envio de resumos e/ou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relatórios dentro do prazo estipulado no cronograma do PIBIC/PIBITI/CNPq/CETEM, não acompanhamento de seus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orientandos durante a Jornada de Iniciação Científica (JIC) e da Jornada de Iniciação em Desenvolvimento Tecnológico 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Inovação (JIDTI). </w:t>
      </w:r>
    </w:p>
    <w:p>
      <w:pPr>
        <w:autoSpaceDN w:val="0"/>
        <w:autoSpaceDE w:val="0"/>
        <w:widowControl/>
        <w:spacing w:line="220" w:lineRule="exact" w:before="362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3.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Requisitos para Submissão do Projeto de Pesquisa pelo Pesquisador </w:t>
      </w:r>
    </w:p>
    <w:p>
      <w:pPr>
        <w:autoSpaceDN w:val="0"/>
        <w:autoSpaceDE w:val="0"/>
        <w:widowControl/>
        <w:spacing w:line="344" w:lineRule="exact" w:before="24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3.1.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Estar no formato e conter todos os itens descritos nos ANEXOS I e II, que contemplam os programas PIBIC e PIBITI,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respectivamente. </w:t>
      </w:r>
    </w:p>
    <w:p>
      <w:pPr>
        <w:autoSpaceDN w:val="0"/>
        <w:tabs>
          <w:tab w:pos="400" w:val="left"/>
        </w:tabs>
        <w:autoSpaceDE w:val="0"/>
        <w:widowControl/>
        <w:spacing w:line="230" w:lineRule="exact" w:before="354" w:after="0"/>
        <w:ind w:left="0" w:right="0" w:firstLine="0"/>
        <w:jc w:val="left"/>
      </w:pPr>
      <w:r>
        <w:tab/>
      </w: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3.1.1.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campo “área de conhecimento”, contido nos ANEXOS I e II, deverá ser preenchido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impreterivelmente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acordo com a Árvore do Conhecimento do CNPq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0" w:history="1">
          <w:r>
            <w:rPr>
              <w:rStyle w:val="Hyperlink"/>
            </w:rPr>
            <w:t xml:space="preserve">(http://lattes.cnpq.br/web/dgp/arvore-do-conhecimento). </w:t>
          </w:r>
        </w:hyperlink>
      </w:r>
    </w:p>
    <w:p>
      <w:pPr>
        <w:autoSpaceDN w:val="0"/>
        <w:autoSpaceDE w:val="0"/>
        <w:widowControl/>
        <w:spacing w:line="344" w:lineRule="exact" w:before="12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3.2.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Apresentar mérito científico e tecnológico, cujo reconhecimento deve ser avaliado pela Comissão Interna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PIBIC/PIBITI/CETEM de acordo com o item 10.1 do presente edital.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4.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Análise e Julgamento das Propostas dos Orientadores </w:t>
      </w:r>
    </w:p>
    <w:p>
      <w:pPr>
        <w:autoSpaceDN w:val="0"/>
        <w:autoSpaceDE w:val="0"/>
        <w:widowControl/>
        <w:spacing w:line="346" w:lineRule="exact" w:before="238" w:after="0"/>
        <w:ind w:left="0" w:right="20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4.1.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produção científica, as atividades de geração e transferência de tecnologia de cada orientador e os respectivos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projetos serão julgados pelos membros da Comissão PIBIC/PIBITI/CETEM, de acordo com as informações prestadas pelo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orientador no ANEXO III, bem como o conteúdo disposto em seu Currículo Lattes apresentado à CIBIC/CIBITI, quando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da solicitação do pleito. </w:t>
      </w:r>
    </w:p>
    <w:p>
      <w:pPr>
        <w:autoSpaceDN w:val="0"/>
        <w:autoSpaceDE w:val="0"/>
        <w:widowControl/>
        <w:spacing w:line="346" w:lineRule="exact" w:before="24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4.2.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Comissão de PIBIC/PIBITI/CETEM poderá solicitar colaboração externa para auxiliar na avaliação, através de um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consultor convidado. </w:t>
      </w:r>
    </w:p>
    <w:p>
      <w:pPr>
        <w:autoSpaceDN w:val="0"/>
        <w:autoSpaceDE w:val="0"/>
        <w:widowControl/>
        <w:spacing w:line="344" w:lineRule="exact" w:before="236" w:after="0"/>
        <w:ind w:left="0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4.3.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As bolsas serão distribuídas de acordo com a disponibilidade, pela ordem de classificação, decorrente da avaliação do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mérito da produtividade científico-tecnológica do orientador. Para tanto, o orientador deverá preencher o formulário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presente no ANEXO III deste Edital, assegurando-se, assim, que os bolsistas serão orientados pelos profissionais de maior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competência científica/tecnológica do CETEM que estejam em plena atividade de pesquisa e que detenham experiência no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desenvolvimento de processos, produtos e protótipos. </w:t>
      </w:r>
    </w:p>
    <w:p>
      <w:pPr>
        <w:autoSpaceDN w:val="0"/>
        <w:autoSpaceDE w:val="0"/>
        <w:widowControl/>
        <w:spacing w:line="246" w:lineRule="exact" w:before="756" w:after="0"/>
        <w:ind w:left="0" w:right="24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3 </w:t>
      </w:r>
    </w:p>
    <w:p>
      <w:pPr>
        <w:sectPr>
          <w:pgSz w:w="11911" w:h="16841"/>
          <w:pgMar w:top="328" w:right="1000" w:bottom="502" w:left="107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6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tabs>
          <w:tab w:pos="358" w:val="left"/>
        </w:tabs>
        <w:autoSpaceDE w:val="0"/>
        <w:widowControl/>
        <w:spacing w:line="298" w:lineRule="exact" w:before="42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4.4.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Poderão ser concedidas até 02 (duas) bolsas por orientador, no total das cotas PIBIC e PIBITI, de acordo com 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pontuação obtida pelos critérios de avaliação do orientador para fins de classificação dispostos nos ANEXOS IV e V, da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seguinte maneira: </w:t>
      </w:r>
      <w:r>
        <w:br/>
      </w:r>
      <w:r>
        <w:tab/>
      </w: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4.4.1.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Os pesquisadores e tecnologistas servidores do CETEM, que apresentem bolsa de produtividade em pesquisa ou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desenvolvimento tecnológico vigente, terão prioridade na distribuição de bolsas de acordo com a Resolução Normativa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017/2006 do CNPq. </w:t>
      </w:r>
    </w:p>
    <w:p>
      <w:pPr>
        <w:autoSpaceDN w:val="0"/>
        <w:autoSpaceDE w:val="0"/>
        <w:widowControl/>
        <w:spacing w:line="232" w:lineRule="exact" w:before="158" w:after="0"/>
        <w:ind w:left="35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>4.4.2.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A primeira bolsa será concedida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acordo com a disponibilidade, pela ordem de classificação, aos orientadores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que somarem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no mínimo dez (10,0) pontos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.</w:t>
      </w:r>
    </w:p>
    <w:p>
      <w:pPr>
        <w:autoSpaceDN w:val="0"/>
        <w:autoSpaceDE w:val="0"/>
        <w:widowControl/>
        <w:spacing w:line="230" w:lineRule="exact" w:before="160" w:after="0"/>
        <w:ind w:left="35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>4.4.3.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A segunda bolsa será concedida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acordo com a disponibilidade, pela ordem de classificação, aos orientadores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que somarem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no mínimo vinte (20,0) pontos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.</w:t>
      </w:r>
    </w:p>
    <w:p>
      <w:pPr>
        <w:autoSpaceDN w:val="0"/>
        <w:autoSpaceDE w:val="0"/>
        <w:widowControl/>
        <w:spacing w:line="228" w:lineRule="exact" w:before="164" w:after="0"/>
        <w:ind w:left="358" w:right="22" w:firstLine="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>4.4.4.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Em caso de empate nas propostas PIBIC, será concedida a bolsa para o orientador com maior número de artigos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publicados, seguidas de livros publicados e por último o número de séries publicadas, contados nos últimos 3 (três)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anos.</w:t>
      </w:r>
    </w:p>
    <w:p>
      <w:pPr>
        <w:autoSpaceDN w:val="0"/>
        <w:autoSpaceDE w:val="0"/>
        <w:widowControl/>
        <w:spacing w:line="228" w:lineRule="exact" w:before="164" w:after="0"/>
        <w:ind w:left="358" w:right="22" w:firstLine="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>4.4.5.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Em caso de empate nas propostas PIBITI, será concedida a bolsa para o orientador com maior número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patentes concedidas, seguidas de privilégios de patentes e por último o número de PTs registradas e aprovadas no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SIGTEC, contados nos últimos 3 (três) anos.</w:t>
      </w:r>
    </w:p>
    <w:p>
      <w:pPr>
        <w:autoSpaceDN w:val="0"/>
        <w:autoSpaceDE w:val="0"/>
        <w:widowControl/>
        <w:spacing w:line="222" w:lineRule="exact" w:before="25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4.5.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resultado do processo de seleção será divulgado na forma de um parecer da Comissão de PIBIC/PIBITI/CETEM. </w:t>
      </w:r>
    </w:p>
    <w:p>
      <w:pPr>
        <w:autoSpaceDN w:val="0"/>
        <w:autoSpaceDE w:val="0"/>
        <w:widowControl/>
        <w:spacing w:line="220" w:lineRule="exact" w:before="362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5.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Compromissos do Orientador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5.1.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Manter seus dados cadastrais atualizados na Plataforma Lattes. </w:t>
      </w:r>
    </w:p>
    <w:p>
      <w:pPr>
        <w:autoSpaceDN w:val="0"/>
        <w:autoSpaceDE w:val="0"/>
        <w:widowControl/>
        <w:spacing w:line="344" w:lineRule="exact" w:before="238" w:after="0"/>
        <w:ind w:left="0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5.2.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Orientar o bolsista nas distintas fases do trabalho como, por exemplo, na elaboração do trabalho final gerado pelo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bolsista, na apresentação para o evento de avaliação do programa PIBIC/PIBITI/CNPq/CETEM e em congressos,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seminários e similares, quando pertinente. </w:t>
      </w:r>
    </w:p>
    <w:p>
      <w:pPr>
        <w:autoSpaceDN w:val="0"/>
        <w:autoSpaceDE w:val="0"/>
        <w:widowControl/>
        <w:spacing w:line="344" w:lineRule="exact" w:before="242" w:after="0"/>
        <w:ind w:left="0" w:right="20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5.3.</w:t>
      </w:r>
      <w:r>
        <w:rPr>
          <w:w w:val="101.61520305432772"/>
          <w:rFonts w:ascii="TimesNewRomanPSMT" w:hAnsi="TimesNewRomanPSMT" w:eastAsia="TimesNewRomanPSMT"/>
          <w:b w:val="0"/>
          <w:i w:val="0"/>
          <w:color w:val="000000"/>
          <w:sz w:val="19"/>
        </w:rPr>
        <w:t xml:space="preserve">Acompanhar as exposições feitas por seus bolsistas no evento de avaliação do programa PIBIC/PIBITI/CNPq/CETEM;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no caso de impossibilidade de comparecimento deverá enviar justificativa formal à CIBIC/CIBITI e em caso de ausência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injustificada, o orientador perderá o direito de concorrer/pleitear nova cota de bolsas no edital do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PIBIC/PIBITI/CNPq/CETEM seguinte. </w:t>
      </w:r>
    </w:p>
    <w:p>
      <w:pPr>
        <w:autoSpaceDN w:val="0"/>
        <w:autoSpaceDE w:val="0"/>
        <w:widowControl/>
        <w:spacing w:line="346" w:lineRule="exact" w:before="238" w:after="0"/>
        <w:ind w:left="0" w:right="432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5.4.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Incluir os nomes dos bolsistas nas publicações e nos trabalhos apresentados em congressos e seminários, cujos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resultados tiverem sua participação efetiva.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5.5.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Emitir parecer sobre projetos quando solicitado pela Comissão PIBIC/PIBITI/CETEM.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5.6.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Observar o disposto na Resolução Normativa do CNPq nº 17/2006. </w:t>
      </w:r>
    </w:p>
    <w:p>
      <w:pPr>
        <w:autoSpaceDN w:val="0"/>
        <w:autoSpaceDE w:val="0"/>
        <w:widowControl/>
        <w:spacing w:line="346" w:lineRule="exact" w:before="23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5.7.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Apresentar à Comissão de PIBITI/CETEM, dentro do prazo determinado, o trabalho final elaborado pelo bolsista por meio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dos e-mails: 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1" w:history="1">
          <w:r>
            <w:rPr>
              <w:rStyle w:val="Hyperlink"/>
            </w:rPr>
            <w:t>cibic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&amp;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  <w:u w:val="single"/>
        </w:rPr>
        <w:hyperlink r:id="rId12" w:history="1">
          <w:r>
            <w:rPr>
              <w:rStyle w:val="Hyperlink"/>
            </w:rPr>
            <w:t>cibiti@cetem.gov.br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2" w:history="1">
          <w:r>
            <w:rPr>
              <w:rStyle w:val="Hyperlink"/>
            </w:rPr>
            <w:t xml:space="preserve">. </w:t>
          </w:r>
        </w:hyperlink>
      </w:r>
    </w:p>
    <w:p>
      <w:pPr>
        <w:autoSpaceDN w:val="0"/>
        <w:autoSpaceDE w:val="0"/>
        <w:widowControl/>
        <w:spacing w:line="344" w:lineRule="exact" w:before="24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6.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Informações e Contatos para os Estudantes de Ensino Superior (Público-Alvo) do Programa Institucional de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Bolsas de Iniciação Científica (PIBIC) </w:t>
      </w:r>
    </w:p>
    <w:p>
      <w:pPr>
        <w:autoSpaceDN w:val="0"/>
        <w:autoSpaceDE w:val="0"/>
        <w:widowControl/>
        <w:spacing w:line="246" w:lineRule="exact" w:before="580" w:after="0"/>
        <w:ind w:left="0" w:right="24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4 </w:t>
      </w:r>
    </w:p>
    <w:p>
      <w:pPr>
        <w:sectPr>
          <w:pgSz w:w="11911" w:h="16841"/>
          <w:pgMar w:top="328" w:right="1000" w:bottom="502" w:left="107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6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352" w:lineRule="exact" w:before="378" w:after="302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6.1.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Podem se candidatar os estudantes regularmente matriculados em cursos de 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ensino superior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que tenham coeficiente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rendimento acumulado (CRA) maior ou igual a 7,0.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</w:tblGrid>
      <w:tr>
        <w:trPr>
          <w:trHeight w:hRule="exact" w:val="262"/>
        </w:trPr>
        <w:tc>
          <w:tcPr>
            <w:tcW w:type="dxa" w:w="702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left"/>
            </w:pPr>
            <w:r>
              <w:rPr>
                <w:w w:val="98.07945251464844"/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6.2.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Os </w:t>
            </w:r>
          </w:p>
        </w:tc>
        <w:tc>
          <w:tcPr>
            <w:tcW w:type="dxa" w:w="108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estudantes </w:t>
            </w:r>
          </w:p>
        </w:tc>
        <w:tc>
          <w:tcPr>
            <w:tcW w:type="dxa" w:w="122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interessados </w:t>
            </w:r>
          </w:p>
        </w:tc>
        <w:tc>
          <w:tcPr>
            <w:tcW w:type="dxa" w:w="88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deverão </w:t>
            </w:r>
          </w:p>
        </w:tc>
        <w:tc>
          <w:tcPr>
            <w:tcW w:type="dxa" w:w="74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enviar </w:t>
            </w:r>
          </w:p>
        </w:tc>
        <w:tc>
          <w:tcPr>
            <w:tcW w:type="dxa" w:w="48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um </w:t>
            </w:r>
          </w:p>
        </w:tc>
        <w:tc>
          <w:tcPr>
            <w:tcW w:type="dxa" w:w="76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e-mail </w:t>
            </w:r>
          </w:p>
        </w:tc>
        <w:tc>
          <w:tcPr>
            <w:tcW w:type="dxa" w:w="696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10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para</w:t>
            </w:r>
          </w:p>
        </w:tc>
        <w:tc>
          <w:tcPr>
            <w:tcW w:type="dxa" w:w="2284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FF"/>
                <w:sz w:val="20"/>
              </w:rPr>
              <w:t>cibic&amp;cibiti@cetem.gov.br</w:t>
            </w:r>
          </w:p>
        </w:tc>
        <w:tc>
          <w:tcPr>
            <w:tcW w:type="dxa" w:w="48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ou </w:t>
            </w:r>
          </w:p>
        </w:tc>
        <w:tc>
          <w:tcPr>
            <w:tcW w:type="dxa" w:w="500"/>
            <w:tcBorders>
              <w:bottom w:sz="4.0" w:val="single" w:color="#0000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8" w:after="0"/>
              <w:ind w:left="102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para </w:t>
            </w:r>
          </w:p>
        </w:tc>
      </w:tr>
      <w:tr>
        <w:trPr>
          <w:trHeight w:hRule="exact" w:val="78"/>
        </w:trPr>
        <w:tc>
          <w:tcPr>
            <w:tcW w:type="dxa" w:w="702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8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6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96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4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00"/>
            <w:tcBorders>
              <w:top w:sz="4.0" w:val="single" w:color="#0000FF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326" w:lineRule="exact" w:before="0" w:after="0"/>
        <w:ind w:left="0" w:right="32" w:firstLine="0"/>
        <w:jc w:val="both"/>
      </w:pPr>
      <w:r>
        <w:rPr>
          <w:u w:val="single" w:color="0000ff"/>
          <w:rFonts w:ascii="TimesNewRomanPSMT" w:hAnsi="TimesNewRomanPSMT" w:eastAsia="TimesNewRomanPSMT"/>
          <w:b w:val="0"/>
          <w:i w:val="0"/>
          <w:color w:val="000000"/>
          <w:sz w:val="20"/>
        </w:rPr>
        <w:hyperlink r:id="rId13" w:history="1">
          <w:r>
            <w:rPr>
              <w:rStyle w:val="Hyperlink"/>
            </w:rPr>
            <w:t>lcbertolino@cetem.gov.br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anexando o currículo Lattes e descrevendo: dados pessoais, instituição de ensino, curso, período,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data provável de conclusão do curso de graduação, experiência e trabalhos (se houver). O campo “assunto” deve conter 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descrição: PIBIC 2024-2025. </w:t>
      </w:r>
    </w:p>
    <w:p>
      <w:pPr>
        <w:autoSpaceDN w:val="0"/>
        <w:autoSpaceDE w:val="0"/>
        <w:widowControl/>
        <w:spacing w:line="220" w:lineRule="exact" w:before="362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6.3.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Detalhes sobre as áreas de atuação do CETEM podem ser encontrados em lcbertolin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4" w:history="1">
          <w:r>
            <w:rPr>
              <w:rStyle w:val="Hyperlink"/>
            </w:rPr>
            <w:t>o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4" w:history="1">
          <w:r>
            <w:rPr>
              <w:rStyle w:val="Hyperlink"/>
            </w:rPr>
            <w:t>http://www.gov.br/cetem</w:t>
          </w:r>
        </w:hyperlink>
      </w:r>
    </w:p>
    <w:p>
      <w:pPr>
        <w:autoSpaceDN w:val="0"/>
        <w:autoSpaceDE w:val="0"/>
        <w:widowControl/>
        <w:spacing w:line="346" w:lineRule="exact" w:before="24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6.4.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Comissão do Programa Institucional de Bolsas de Iniciação Científica do CETEM - CIBIC ficará encarregada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encaminhar os currículos recebidos aos potenciais orientadores. </w:t>
      </w:r>
    </w:p>
    <w:p>
      <w:pPr>
        <w:autoSpaceDN w:val="0"/>
        <w:autoSpaceDE w:val="0"/>
        <w:widowControl/>
        <w:spacing w:line="346" w:lineRule="exact" w:before="240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7.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Informações e Contatos para os Estudantes de Ensino Superior (Público-Alvo) do Programa Institucional de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Bolsas de Iniciação em Desenvolvimento Tecnológico e Inovação (PIBITI) </w:t>
      </w:r>
    </w:p>
    <w:p>
      <w:pPr>
        <w:autoSpaceDN w:val="0"/>
        <w:autoSpaceDE w:val="0"/>
        <w:widowControl/>
        <w:spacing w:line="350" w:lineRule="exact" w:before="24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7.1.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Podem se candidatar os estudantes regularmente matriculados em cursos de 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ensino técnico e superior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que tenham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coeficiente de rendimento acumulado (CRA) maior ou igual a 7,0. </w:t>
      </w:r>
    </w:p>
    <w:p>
      <w:pPr>
        <w:autoSpaceDN w:val="0"/>
        <w:autoSpaceDE w:val="0"/>
        <w:widowControl/>
        <w:spacing w:line="346" w:lineRule="exact" w:before="240" w:after="0"/>
        <w:ind w:left="0" w:right="20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7.2.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Os estudantes interessados deverão enviar um e-mail para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t>cibic&amp;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2" w:history="1">
          <w:r>
            <w:rPr>
              <w:rStyle w:val="Hyperlink"/>
            </w:rPr>
            <w:t>cibiti@cetem.gov.br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ou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5" w:history="1">
          <w:r>
            <w:rPr>
              <w:rStyle w:val="Hyperlink"/>
            </w:rPr>
            <w:t xml:space="preserve">ematiolo@cetem.gov.br 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anexando o currículo Lattes e descrevendo: dados pessoais, instituição de ensino, curso, período, data provável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conclusão do curso de graduação, experiência e trabalhos (se houver). O campo “assunto” deve conter a descrição: PIBITI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2024-2025. </w:t>
      </w:r>
    </w:p>
    <w:p>
      <w:pPr>
        <w:autoSpaceDN w:val="0"/>
        <w:autoSpaceDE w:val="0"/>
        <w:widowControl/>
        <w:spacing w:line="346" w:lineRule="exact" w:before="238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7.3.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Detalhes sobre as áreas de atuação do CETEM podem ser encontrados em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6" w:history="1">
          <w:r>
            <w:rPr>
              <w:rStyle w:val="Hyperlink"/>
            </w:rPr>
            <w:t xml:space="preserve">https://www.gov.br/mcti/pt-br/rede- 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6" w:history="1">
          <w:r>
            <w:rPr>
              <w:rStyle w:val="Hyperlink"/>
            </w:rPr>
            <w:t xml:space="preserve">mcti/cetem </w:t>
          </w:r>
        </w:hyperlink>
      </w:r>
    </w:p>
    <w:p>
      <w:pPr>
        <w:autoSpaceDN w:val="0"/>
        <w:autoSpaceDE w:val="0"/>
        <w:widowControl/>
        <w:spacing w:line="346" w:lineRule="exact" w:before="238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7.4.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Comissão do Programa Institucional de Bolsas de Iniciação em Desenvolvimento Tecnológico e Inovação do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CETEM - CIBITI ficará encarregada de encaminhar os currículos recebidos aos potenciais orientadores.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8.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Requisitos para Admissão do Bolsista </w:t>
      </w:r>
    </w:p>
    <w:p>
      <w:pPr>
        <w:autoSpaceDN w:val="0"/>
        <w:autoSpaceDE w:val="0"/>
        <w:widowControl/>
        <w:spacing w:line="340" w:lineRule="exact" w:before="248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8.1.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Ser estudante regularmente matriculado em curso de ensino superior (PIBIC e PIBITI), estando inscrito em disciplinas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durante toda a vigência da bolsa.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8.2.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Dedicar-se integralmente às atividades do seu curso e do Programa Institucional de Bolsas do CETEM.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8.3.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Possuir currículo Lattes atualizado. </w:t>
      </w:r>
    </w:p>
    <w:p>
      <w:pPr>
        <w:autoSpaceDN w:val="0"/>
        <w:autoSpaceDE w:val="0"/>
        <w:widowControl/>
        <w:spacing w:line="346" w:lineRule="exact" w:before="238" w:after="0"/>
        <w:ind w:left="0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8.4.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Não possuir vínculo empregatício, não estar recebendo qualquer outra modalidade de bolsa, seja de outros Programas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do CNPq, de qualquer outra agência de fomento ao ensino e à pesquisa ou da própria instituição, incluindo monitoria,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extensão ou outras bolsas. </w:t>
      </w:r>
    </w:p>
    <w:p>
      <w:pPr>
        <w:autoSpaceDN w:val="0"/>
        <w:autoSpaceDE w:val="0"/>
        <w:widowControl/>
        <w:spacing w:line="246" w:lineRule="exact" w:before="698" w:after="0"/>
        <w:ind w:left="0" w:right="24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5 </w:t>
      </w:r>
    </w:p>
    <w:p>
      <w:pPr>
        <w:sectPr>
          <w:pgSz w:w="11911" w:h="16841"/>
          <w:pgMar w:top="328" w:right="1000" w:bottom="502" w:left="107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6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tabs>
          <w:tab w:pos="720" w:val="left"/>
        </w:tabs>
        <w:autoSpaceDE w:val="0"/>
        <w:widowControl/>
        <w:spacing w:line="246" w:lineRule="exact" w:before="484" w:after="0"/>
        <w:ind w:left="358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" w:hAnsi="TimesNewRomanPS" w:eastAsia="TimesNewRomanPS"/>
          <w:b/>
          <w:i w:val="0"/>
          <w:color w:val="000000"/>
          <w:sz w:val="21"/>
        </w:rPr>
        <w:t xml:space="preserve">Nota 1: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participação no Programa de Iniciação Científica ou de Iniciação Tecnológica em Desenvolvimento e </w:t>
      </w:r>
    </w:p>
    <w:p>
      <w:pPr>
        <w:autoSpaceDN w:val="0"/>
        <w:autoSpaceDE w:val="0"/>
        <w:widowControl/>
        <w:spacing w:line="222" w:lineRule="exact" w:before="8" w:after="0"/>
        <w:ind w:left="35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Inovação não cria vínculo empregatício de qualquer natureza, observados os requisitos dispostos no artigo 3º da Lei </w:t>
      </w:r>
    </w:p>
    <w:p>
      <w:pPr>
        <w:autoSpaceDN w:val="0"/>
        <w:autoSpaceDE w:val="0"/>
        <w:widowControl/>
        <w:spacing w:line="220" w:lineRule="exact" w:before="10" w:after="0"/>
        <w:ind w:left="35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nº 11.788/2008. </w:t>
      </w:r>
    </w:p>
    <w:p>
      <w:pPr>
        <w:autoSpaceDN w:val="0"/>
        <w:tabs>
          <w:tab w:pos="720" w:val="left"/>
        </w:tabs>
        <w:autoSpaceDE w:val="0"/>
        <w:widowControl/>
        <w:spacing w:line="244" w:lineRule="exact" w:before="150" w:after="0"/>
        <w:ind w:left="358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Nota 2: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Poderá ser concedida bolsa a aluno que esteja em estágio não-obrigatório, desde que haja declaração </w:t>
      </w:r>
    </w:p>
    <w:p>
      <w:pPr>
        <w:autoSpaceDN w:val="0"/>
        <w:autoSpaceDE w:val="0"/>
        <w:widowControl/>
        <w:spacing w:line="220" w:lineRule="exact" w:before="10" w:after="0"/>
        <w:ind w:left="35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conjunta da instituição de ensino, do supervisor do estágio e do orientador da pesquisa, de que a realização do estágio </w:t>
      </w:r>
    </w:p>
    <w:p>
      <w:pPr>
        <w:autoSpaceDN w:val="0"/>
        <w:autoSpaceDE w:val="0"/>
        <w:widowControl/>
        <w:spacing w:line="220" w:lineRule="exact" w:before="10" w:after="0"/>
        <w:ind w:left="35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não afetará sua dedicação às atividades acadêmicas e de pesquisa tecnológica. O bolsista deverá manter essa declaração </w:t>
      </w:r>
    </w:p>
    <w:p>
      <w:pPr>
        <w:autoSpaceDN w:val="0"/>
        <w:autoSpaceDE w:val="0"/>
        <w:widowControl/>
        <w:spacing w:line="220" w:lineRule="exact" w:before="10" w:after="0"/>
        <w:ind w:left="35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em seu poder. </w:t>
      </w:r>
    </w:p>
    <w:p>
      <w:pPr>
        <w:autoSpaceDN w:val="0"/>
        <w:autoSpaceDE w:val="0"/>
        <w:widowControl/>
        <w:spacing w:line="220" w:lineRule="exact" w:before="160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8.5.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Apresentar bom desempenho escolar, acadêmico, medido pelo Coeficiente de Rendimento Acumulado (CRA) </w:t>
      </w:r>
    </w:p>
    <w:p>
      <w:pPr>
        <w:autoSpaceDN w:val="0"/>
        <w:autoSpaceDE w:val="0"/>
        <w:widowControl/>
        <w:spacing w:line="222" w:lineRule="exact" w:before="122" w:after="0"/>
        <w:ind w:left="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superior ou igual a 7,0. </w:t>
      </w:r>
    </w:p>
    <w:p>
      <w:pPr>
        <w:autoSpaceDN w:val="0"/>
        <w:autoSpaceDE w:val="0"/>
        <w:widowControl/>
        <w:spacing w:line="222" w:lineRule="exact" w:before="36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8.6.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Apresentar, preferencialmente, conhecimento na língua inglesa. </w:t>
      </w:r>
    </w:p>
    <w:p>
      <w:pPr>
        <w:autoSpaceDN w:val="0"/>
        <w:autoSpaceDE w:val="0"/>
        <w:widowControl/>
        <w:spacing w:line="220" w:lineRule="exact" w:before="362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9.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Compromissos do Bolsista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Manter seus dados cadastrais atualizados na Plataforma Lattes.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Executar o plano de trabalho aprovado dentro do cronograma previsto, sob a orientação do pesquisador orientador.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Apresentar os resultados finais da pesquisa, sob a forma de trabalho completo, com redação adequada que permita </w:t>
      </w:r>
    </w:p>
    <w:p>
      <w:pPr>
        <w:autoSpaceDN w:val="0"/>
        <w:autoSpaceDE w:val="0"/>
        <w:widowControl/>
        <w:spacing w:line="220" w:lineRule="exact" w:before="124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verificar o acesso a métodos e processos e nos moldes pré-estabelecidos pela CIBIC/CIBITI, encaminhando-os previamente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à CIBIC/CIBITI e dentro do prazo estabelecido no cronograma do PIBIC/PIBITI/CNPq/CETEM.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Apresentar os resultados da pesquisa, no evento de avaliação anual do programa PIBIC/PIBITI/CNPq/CETEM.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Nas publicações e trabalhos apresentados, fazer referência à sua condição de bolsista do programa </w:t>
      </w:r>
    </w:p>
    <w:p>
      <w:pPr>
        <w:autoSpaceDN w:val="0"/>
        <w:autoSpaceDE w:val="0"/>
        <w:widowControl/>
        <w:spacing w:line="222" w:lineRule="exact" w:before="124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PIBIC/PIBITI/CNPq/CETEM. </w:t>
      </w:r>
    </w:p>
    <w:p>
      <w:pPr>
        <w:autoSpaceDN w:val="0"/>
        <w:autoSpaceDE w:val="0"/>
        <w:widowControl/>
        <w:spacing w:line="220" w:lineRule="exact" w:before="362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9.6.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Observar o disposto na Resolução Normativa do CNPq nº 17/2006. </w:t>
      </w:r>
    </w:p>
    <w:p>
      <w:pPr>
        <w:autoSpaceDN w:val="0"/>
        <w:autoSpaceDE w:val="0"/>
        <w:widowControl/>
        <w:spacing w:line="220" w:lineRule="exact" w:before="368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9.7.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Caso seja selecionado, ficar atento ao recebimento do e-mail do CNPq, contendo o TERMO DE ACEITE, sob pena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atraso no recebimento do pagamento e até mesmo cancelamento da Bolsa.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9.8.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Devolver ao CNPq, em valores atualizados, conforme o caso, a(s) mensalidade(s) recebida(s) indevidamente à título </w:t>
      </w:r>
    </w:p>
    <w:p>
      <w:pPr>
        <w:autoSpaceDN w:val="0"/>
        <w:autoSpaceDE w:val="0"/>
        <w:widowControl/>
        <w:spacing w:line="222" w:lineRule="exact" w:before="120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bolsa, na hipótese dos requisitos e compromissos assumidos neste Edital não terem sido cumpridos.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10.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Inscrição e Implementação da Bolsa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10.1.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Os pleitos de bolsas PIBIC deverão ser enviados pelo orientador proponente para o e-mail: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7" w:history="1">
          <w:r>
            <w:rPr>
              <w:rStyle w:val="Hyperlink"/>
            </w:rPr>
            <w:t xml:space="preserve">cibic&amp;cibiti@cetem.gov.br 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 lcbertolino@cetem.gov.br no período de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08 a 19 de julho de 2024,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juntamente com a </w:t>
      </w:r>
    </w:p>
    <w:p>
      <w:pPr>
        <w:autoSpaceDN w:val="0"/>
        <w:autoSpaceDE w:val="0"/>
        <w:widowControl/>
        <w:spacing w:line="222" w:lineRule="exact" w:before="124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seguinte documentação na extensão “pdf”: </w:t>
      </w:r>
    </w:p>
    <w:p>
      <w:pPr>
        <w:autoSpaceDN w:val="0"/>
        <w:tabs>
          <w:tab w:pos="720" w:val="left"/>
        </w:tabs>
        <w:autoSpaceDE w:val="0"/>
        <w:widowControl/>
        <w:spacing w:line="244" w:lineRule="exact" w:before="116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ANEXO I preenchido; </w:t>
      </w:r>
    </w:p>
    <w:p>
      <w:pPr>
        <w:autoSpaceDN w:val="0"/>
        <w:tabs>
          <w:tab w:pos="720" w:val="left"/>
        </w:tabs>
        <w:autoSpaceDE w:val="0"/>
        <w:widowControl/>
        <w:spacing w:line="244" w:lineRule="exact" w:before="114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ANEXO III preenchido; </w:t>
      </w:r>
    </w:p>
    <w:p>
      <w:pPr>
        <w:autoSpaceDN w:val="0"/>
        <w:tabs>
          <w:tab w:pos="720" w:val="left"/>
        </w:tabs>
        <w:autoSpaceDE w:val="0"/>
        <w:widowControl/>
        <w:spacing w:line="244" w:lineRule="exact" w:before="116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Currículo Lattes ATUALIZADO do orientador. </w:t>
      </w:r>
    </w:p>
    <w:p>
      <w:pPr>
        <w:autoSpaceDN w:val="0"/>
        <w:autoSpaceDE w:val="0"/>
        <w:widowControl/>
        <w:spacing w:line="246" w:lineRule="exact" w:before="714" w:after="0"/>
        <w:ind w:left="0" w:right="24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6 </w:t>
      </w:r>
    </w:p>
    <w:p>
      <w:pPr>
        <w:sectPr>
          <w:pgSz w:w="11911" w:h="16841"/>
          <w:pgMar w:top="328" w:right="1000" w:bottom="502" w:left="107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80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20" w:lineRule="exact" w:before="498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10.2.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Os pleitos de bolsas PIBITI deverão ser enviados pelo orientador proponente para o e-mail: </w:t>
      </w:r>
    </w:p>
    <w:p>
      <w:pPr>
        <w:autoSpaceDN w:val="0"/>
        <w:autoSpaceDE w:val="0"/>
        <w:widowControl/>
        <w:spacing w:line="220" w:lineRule="exact" w:before="124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cibic&amp;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2" w:history="1">
          <w:r>
            <w:rPr>
              <w:rStyle w:val="Hyperlink"/>
            </w:rPr>
            <w:t xml:space="preserve">cibiti@cetem.gov.br 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 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8" w:history="1">
          <w:r>
            <w:rPr>
              <w:rStyle w:val="Hyperlink"/>
            </w:rPr>
            <w:t xml:space="preserve">lcbertolino@cetem.gov.br, 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no período de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08 a 19 de julho de 2024,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juntamente com a </w:t>
      </w:r>
    </w:p>
    <w:p>
      <w:pPr>
        <w:autoSpaceDN w:val="0"/>
        <w:autoSpaceDE w:val="0"/>
        <w:widowControl/>
        <w:spacing w:line="222" w:lineRule="exact" w:before="124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seg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2" w:history="1">
          <w:r>
            <w:rPr>
              <w:rStyle w:val="Hyperlink"/>
            </w:rPr>
            <w:t>uinte documentação n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extensão “pdf”: </w:t>
      </w:r>
    </w:p>
    <w:p>
      <w:pPr>
        <w:autoSpaceDN w:val="0"/>
        <w:tabs>
          <w:tab w:pos="720" w:val="left"/>
        </w:tabs>
        <w:autoSpaceDE w:val="0"/>
        <w:widowControl/>
        <w:spacing w:line="242" w:lineRule="exact" w:before="112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hyperlink r:id="rId12" w:history="1">
          <w:r>
            <w:rPr>
              <w:rStyle w:val="Hyperlink"/>
            </w:rPr>
            <w:t>•</w:t>
          </w:r>
        </w:hyperlink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ANEXO II preenchido; </w:t>
      </w:r>
    </w:p>
    <w:p>
      <w:pPr>
        <w:autoSpaceDN w:val="0"/>
        <w:tabs>
          <w:tab w:pos="720" w:val="left"/>
        </w:tabs>
        <w:autoSpaceDE w:val="0"/>
        <w:widowControl/>
        <w:spacing w:line="244" w:lineRule="exact" w:before="122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ANEXO III preenchido; </w:t>
      </w:r>
    </w:p>
    <w:p>
      <w:pPr>
        <w:autoSpaceDN w:val="0"/>
        <w:tabs>
          <w:tab w:pos="720" w:val="left"/>
        </w:tabs>
        <w:autoSpaceDE w:val="0"/>
        <w:widowControl/>
        <w:spacing w:line="244" w:lineRule="exact" w:before="114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Currículo Lattes ATUALIZADO do orientador. </w:t>
      </w:r>
    </w:p>
    <w:p>
      <w:pPr>
        <w:autoSpaceDN w:val="0"/>
        <w:autoSpaceDE w:val="0"/>
        <w:widowControl/>
        <w:spacing w:line="220" w:lineRule="exact" w:before="362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10.3.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No ato da inscrição, além do pleito, deverá ser anexada, em extensão “pdf”, a seguinte documentação: </w:t>
      </w:r>
    </w:p>
    <w:p>
      <w:pPr>
        <w:autoSpaceDN w:val="0"/>
        <w:tabs>
          <w:tab w:pos="720" w:val="left"/>
        </w:tabs>
        <w:autoSpaceDE w:val="0"/>
        <w:widowControl/>
        <w:spacing w:line="242" w:lineRule="exact" w:before="118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Cópia da Identidade do Bolsista; </w:t>
      </w:r>
    </w:p>
    <w:p>
      <w:pPr>
        <w:autoSpaceDN w:val="0"/>
        <w:tabs>
          <w:tab w:pos="720" w:val="left"/>
        </w:tabs>
        <w:autoSpaceDE w:val="0"/>
        <w:widowControl/>
        <w:spacing w:line="242" w:lineRule="exact" w:before="118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Cópia do CPF do Bolsista; </w:t>
      </w:r>
    </w:p>
    <w:p>
      <w:pPr>
        <w:autoSpaceDN w:val="0"/>
        <w:tabs>
          <w:tab w:pos="720" w:val="left"/>
        </w:tabs>
        <w:autoSpaceDE w:val="0"/>
        <w:widowControl/>
        <w:spacing w:line="242" w:lineRule="exact" w:before="116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Histórico escolar mais recente ou outro meio de comprovação do desempenho acadêmico do bolsista, </w:t>
      </w:r>
    </w:p>
    <w:p>
      <w:pPr>
        <w:autoSpaceDN w:val="0"/>
        <w:autoSpaceDE w:val="0"/>
        <w:widowControl/>
        <w:spacing w:line="220" w:lineRule="exact" w:before="116" w:after="0"/>
        <w:ind w:left="7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identificando a matrícula do bolsista na instituição de ensino e o valor do CRA; </w:t>
      </w:r>
    </w:p>
    <w:p>
      <w:pPr>
        <w:autoSpaceDN w:val="0"/>
        <w:tabs>
          <w:tab w:pos="720" w:val="left"/>
        </w:tabs>
        <w:autoSpaceDE w:val="0"/>
        <w:widowControl/>
        <w:spacing w:line="242" w:lineRule="exact" w:before="118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ANEXO IV preenchido; </w:t>
      </w:r>
    </w:p>
    <w:p>
      <w:pPr>
        <w:autoSpaceDN w:val="0"/>
        <w:tabs>
          <w:tab w:pos="720" w:val="left"/>
        </w:tabs>
        <w:autoSpaceDE w:val="0"/>
        <w:widowControl/>
        <w:spacing w:line="242" w:lineRule="exact" w:before="118" w:after="0"/>
        <w:ind w:left="360" w:right="0" w:firstLine="0"/>
        <w:jc w:val="left"/>
      </w:pPr>
      <w:r>
        <w:rPr>
          <w:w w:val="98.5989761352539"/>
          <w:rFonts w:ascii="Symbol" w:hAnsi="Symbol" w:eastAsia="Symbol"/>
          <w:b w:val="0"/>
          <w:i w:val="0"/>
          <w:color w:val="000000"/>
          <w:sz w:val="20"/>
        </w:rPr>
        <w:t>•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Currículo Lattes ATUALIZADO do bolsista.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10.4.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Cabe ao orientador garantir a veracidade e a correção das informações prestadas em toda a documentação e </w:t>
      </w:r>
    </w:p>
    <w:p>
      <w:pPr>
        <w:autoSpaceDN w:val="0"/>
        <w:autoSpaceDE w:val="0"/>
        <w:widowControl/>
        <w:spacing w:line="222" w:lineRule="exact" w:before="124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comunicação encaminhadas à Comissão PIBIC/PIBITI/CETEM.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10.5.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Pode ser solicitada, a qualquer momento, a comprovação da documentação inicialmente apresentada no ato da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inscrição.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10.6.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Cabe ao orientador acusar o recebimento de qualquer comunicação referente à concessão da bolsa e atuar com a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máxima brevidade possível no atendimento às exigências feitas pelo CNPq e pela CIBIC/CIBITI.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10.7.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Após serem informados pelo orientador, os estudantes contemplados com a bolsa deverão dirigir-se ao Serviço de </w:t>
      </w:r>
    </w:p>
    <w:p>
      <w:pPr>
        <w:autoSpaceDN w:val="0"/>
        <w:autoSpaceDE w:val="0"/>
        <w:widowControl/>
        <w:spacing w:line="220" w:lineRule="exact" w:before="124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Gestão de Recursos Humanos do CETEM/SEGRH para cadastro e obtenção do crachá de identificação, bem como deverão </w:t>
      </w:r>
    </w:p>
    <w:p>
      <w:pPr>
        <w:autoSpaceDN w:val="0"/>
        <w:autoSpaceDE w:val="0"/>
        <w:widowControl/>
        <w:spacing w:line="220" w:lineRule="exact" w:before="124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providenciar a abertura de conta corrente, necessariamente no Banco do Brasil, em nome próprio, não sendo admitidas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conta conjunta ou conta poupança.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11.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Vigência da bolsa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11.1.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vigência da bolsa será de 12 (doze) meses. </w:t>
      </w:r>
    </w:p>
    <w:p>
      <w:pPr>
        <w:autoSpaceDN w:val="0"/>
        <w:autoSpaceDE w:val="0"/>
        <w:widowControl/>
        <w:spacing w:line="220" w:lineRule="exact" w:before="362" w:after="0"/>
        <w:ind w:left="0" w:right="0" w:firstLine="0"/>
        <w:jc w:val="center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11.2.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Caso seja solicitada pelo orientador e recomendada pela Comissão PIBIC/PIBITI/CETEM, a renovação da bolsa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poderá ser autorizada, desde que o bolsista apresente bom desempenho na execução das tarefas dispostas no seu plano de </w:t>
      </w:r>
    </w:p>
    <w:p>
      <w:pPr>
        <w:autoSpaceDN w:val="0"/>
        <w:autoSpaceDE w:val="0"/>
        <w:widowControl/>
        <w:spacing w:line="220" w:lineRule="exact" w:before="126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trabalho; bom rendimento acadêmico; não possua pendências na apresentação de relatórios; bem como tenha realizado uma </w:t>
      </w:r>
    </w:p>
    <w:p>
      <w:pPr>
        <w:autoSpaceDN w:val="0"/>
        <w:autoSpaceDE w:val="0"/>
        <w:widowControl/>
        <w:spacing w:line="222" w:lineRule="exact" w:before="122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exposição considerada satisfatória no evento de avaliação do programa PIBIC/PIBITI/CNPq/CETEM.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12.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Frequência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12.1.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Os bolsistas PIBIC/PIBITI deverão cumprir a carga horária de 20 (vinte) horas semanais. </w:t>
      </w:r>
    </w:p>
    <w:p>
      <w:pPr>
        <w:autoSpaceDN w:val="0"/>
        <w:autoSpaceDE w:val="0"/>
        <w:widowControl/>
        <w:spacing w:line="246" w:lineRule="exact" w:before="660" w:after="0"/>
        <w:ind w:left="0" w:right="28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7 </w:t>
      </w:r>
    </w:p>
    <w:p>
      <w:pPr>
        <w:sectPr>
          <w:pgSz w:w="11911" w:h="16841"/>
          <w:pgMar w:top="328" w:right="996" w:bottom="502" w:left="107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6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344" w:lineRule="exact" w:before="374" w:after="0"/>
        <w:ind w:left="0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12.2.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Durante o período de vigência da Bolsa de Iniciação Científica ou de Iniciação em Desenvolvimento Tecnológico 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Inovação, no mínimo 60% (sessenta por cento) da frequência do bolsista de iniciação científica deverá ser cumprida nas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instalações do CETEM. </w:t>
      </w:r>
    </w:p>
    <w:p>
      <w:pPr>
        <w:autoSpaceDN w:val="0"/>
        <w:autoSpaceDE w:val="0"/>
        <w:widowControl/>
        <w:spacing w:line="346" w:lineRule="exact" w:before="236" w:after="0"/>
        <w:ind w:left="0" w:right="22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12.3.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Caberá ao orientador justificar a Comissão PIBIC/PIBITI/CETEM, por meio de e-mail dirigido com 48 (quarenta 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oito) horas de antecedência, as ausências planejadas dos seus respectivos bolsistas, principalmente em caso de trabalhos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campo ou outras ausências com períodos prolongados de afastamento das instalações do CETEM. </w:t>
      </w:r>
    </w:p>
    <w:p>
      <w:pPr>
        <w:autoSpaceDN w:val="0"/>
        <w:autoSpaceDE w:val="0"/>
        <w:widowControl/>
        <w:spacing w:line="222" w:lineRule="exact" w:before="362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13.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Substituição de Bolsista e Desligamento </w:t>
      </w:r>
    </w:p>
    <w:p>
      <w:pPr>
        <w:autoSpaceDN w:val="0"/>
        <w:autoSpaceDE w:val="0"/>
        <w:widowControl/>
        <w:spacing w:line="344" w:lineRule="exact" w:before="244" w:after="0"/>
        <w:ind w:left="0" w:right="20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13.1.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Em caso de substituição de bolsista, tanto a solicitação de substituição como a inscrição do novo bolsista deverão ser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avaliadas pela Comissão PIBIC/PIBITI/CETEM; devendo, o orientador, obedecer às etapas e datas indicadas no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cronograma do plano de trabalho do projeto de pesquisa inicialmente apresentado. </w:t>
      </w:r>
    </w:p>
    <w:p>
      <w:pPr>
        <w:autoSpaceDN w:val="0"/>
        <w:autoSpaceDE w:val="0"/>
        <w:widowControl/>
        <w:spacing w:line="346" w:lineRule="exact" w:before="24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13.2.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bolsista será desligado caso não cumpra, nas instalações do CETEM, no mínimo 60% (sessenta por cento) da carga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horária proposta pelo PIBIC/PIBITI/CETEM. </w:t>
      </w:r>
    </w:p>
    <w:p>
      <w:pPr>
        <w:autoSpaceDN w:val="0"/>
        <w:autoSpaceDE w:val="0"/>
        <w:widowControl/>
        <w:spacing w:line="222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13.3.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bolsista será desligado em caso de descumprimento de qualquer das exigências previstas no presente Edital. </w:t>
      </w:r>
    </w:p>
    <w:p>
      <w:pPr>
        <w:autoSpaceDN w:val="0"/>
        <w:autoSpaceDE w:val="0"/>
        <w:widowControl/>
        <w:spacing w:line="344" w:lineRule="exact" w:before="24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13.4.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bolsista será desligado em caso de descumprimento das regras de comportamento, saúde e segurança do CETEM,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 apresentadas pelo orientador e pela Comissão CIBIC/CIBITI quando do ingresso do aluno no Programa. </w:t>
      </w:r>
    </w:p>
    <w:p>
      <w:pPr>
        <w:autoSpaceDN w:val="0"/>
        <w:autoSpaceDE w:val="0"/>
        <w:widowControl/>
        <w:spacing w:line="346" w:lineRule="exact" w:before="238" w:after="0"/>
        <w:ind w:left="0" w:right="576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13.5.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 bolsista poderá, a qualquer momento, solicitar o seu desligamento do PIBIC/PIBITI/CNPq/CETEM à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CIBIC/CIBITI. </w:t>
      </w:r>
    </w:p>
    <w:p>
      <w:pPr>
        <w:autoSpaceDN w:val="0"/>
        <w:autoSpaceDE w:val="0"/>
        <w:widowControl/>
        <w:spacing w:line="344" w:lineRule="exact" w:before="24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13.6.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Ao solicitar o seu desligamento do PIBIC/PIBITI/CNPq/CETEM, o bolsista deverá fazê-lo mediante o preenchimento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do formulário de requerimento de desistência/desligamento, disponível no endereço eletrônico do CETEM -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9" w:history="1">
          <w:r>
            <w:rPr>
              <w:rStyle w:val="Hyperlink"/>
            </w:rPr>
            <w:t>https://www.gov.br/cetem/pt-br/capacitacao/pibic-e-pibit/programa-institucional-de-bolsas-de-iniciacao-cientifica-pibic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19" w:history="1">
          <w:r>
            <w:rPr>
              <w:rStyle w:val="Hyperlink"/>
            </w:rPr>
            <w:t xml:space="preserve">, 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entregando-o imediatamente à Comissão PIBIC/PIBITI/CETEM – CIBIC/CIBITI, juntamente com o relatório do trabalho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desenvolvido até a data do protocolo do pedido de desligamento.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16690444946289"/>
          <w:rFonts w:ascii="TimesNewRomanPS" w:hAnsi="TimesNewRomanPS" w:eastAsia="TimesNewRomanPS"/>
          <w:b/>
          <w:i w:val="0"/>
          <w:color w:val="000000"/>
          <w:sz w:val="20"/>
        </w:rPr>
        <w:t>14.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Disposições finais </w:t>
      </w:r>
    </w:p>
    <w:p>
      <w:pPr>
        <w:autoSpaceDN w:val="0"/>
        <w:autoSpaceDE w:val="0"/>
        <w:widowControl/>
        <w:spacing w:line="220" w:lineRule="exact" w:before="368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14.1.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Serão desclassificadas as propostas que não cumprirem as exigências deste Edital. </w:t>
      </w:r>
    </w:p>
    <w:p>
      <w:pPr>
        <w:autoSpaceDN w:val="0"/>
        <w:autoSpaceDE w:val="0"/>
        <w:widowControl/>
        <w:spacing w:line="220" w:lineRule="exact" w:before="364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14.2.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Propostas enviadas fora do período de inscrição não serão avaliadas. </w:t>
      </w:r>
    </w:p>
    <w:p>
      <w:pPr>
        <w:autoSpaceDN w:val="0"/>
        <w:autoSpaceDE w:val="0"/>
        <w:widowControl/>
        <w:spacing w:line="344" w:lineRule="exact" w:before="240" w:after="0"/>
        <w:ind w:left="0" w:right="20" w:firstLine="0"/>
        <w:jc w:val="both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14.3.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Qualquer intervenção do orientador do CETEM junto à banca avaliadora durante a Jornada de Iniciação Científica –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JIC e Jornada de Iniciação em Desenvolvimento Tecnológico e Inovação – JIDTI, ensejará em desclassificação do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respectivo trabalho apresentado, para efeitos de premiação. </w:t>
      </w:r>
    </w:p>
    <w:p>
      <w:pPr>
        <w:autoSpaceDN w:val="0"/>
        <w:autoSpaceDE w:val="0"/>
        <w:widowControl/>
        <w:spacing w:line="220" w:lineRule="exact" w:before="36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14.4.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Os casos omissos serão avaliados pela Comissão PIBIC/PIBITI/CETEM. </w:t>
      </w:r>
    </w:p>
    <w:p>
      <w:pPr>
        <w:autoSpaceDN w:val="0"/>
        <w:autoSpaceDE w:val="0"/>
        <w:widowControl/>
        <w:spacing w:line="246" w:lineRule="exact" w:before="734" w:after="0"/>
        <w:ind w:left="0" w:right="24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8 </w:t>
      </w:r>
    </w:p>
    <w:p>
      <w:pPr>
        <w:sectPr>
          <w:pgSz w:w="11911" w:h="16841"/>
          <w:pgMar w:top="328" w:right="1000" w:bottom="502" w:left="107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3072" w:firstLine="0"/>
        <w:jc w:val="right"/>
      </w:pPr>
      <w:r>
        <w:drawing>
          <wp:inline xmlns:a="http://schemas.openxmlformats.org/drawingml/2006/main" xmlns:pic="http://schemas.openxmlformats.org/drawingml/2006/picture">
            <wp:extent cx="2499360" cy="44704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47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20" w:lineRule="exact" w:before="496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14.5.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 inscrição para o PIBIC/PIBITI/CNPq/CETEM implica na aceitação de todos os itens descritos neste Edital. </w:t>
      </w:r>
    </w:p>
    <w:p>
      <w:pPr>
        <w:autoSpaceDN w:val="0"/>
        <w:autoSpaceDE w:val="0"/>
        <w:widowControl/>
        <w:spacing w:line="436" w:lineRule="exact" w:before="150" w:after="0"/>
        <w:ind w:left="0" w:right="0" w:firstLine="0"/>
        <w:jc w:val="left"/>
      </w:pPr>
      <w:r>
        <w:rPr>
          <w:w w:val="98.07945251464844"/>
          <w:rFonts w:ascii="TimesNewRomanPSMT" w:hAnsi="TimesNewRomanPSMT" w:eastAsia="TimesNewRomanPSMT"/>
          <w:b w:val="0"/>
          <w:i w:val="0"/>
          <w:color w:val="000000"/>
          <w:sz w:val="20"/>
        </w:rPr>
        <w:t>14.6.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O presente Edital encontra-se disponível na página eletrônica do CETEM: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9" w:history="1">
          <w:r>
            <w:rPr>
              <w:rStyle w:val="Hyperlink"/>
            </w:rPr>
            <w:t>https://www.gov.br/cetem/pt-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FF"/>
          <w:sz w:val="20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19" w:history="1">
          <w:r>
            <w:rPr>
              <w:rStyle w:val="Hyperlink"/>
            </w:rPr>
            <w:t xml:space="preserve">br/capacitacao/pibic-e-pibit/programa-institucional-de-bolsas-de-iniciacao-cientifica-pibic </w:t>
          </w:r>
        </w:hyperlink>
      </w:r>
      <w:r>
        <w:br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Comissão de Programa Institucional de Bolsas em Iniciação Científica (PIBIC/CETEM) e Comissão de Programa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Institucional de Bolsas em Desenvolvimento Tecnológico e Inovação (PIBITI/CETEM)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Av. Pedro Calmon, 900. Cidade Universitária. Rio de Janeiro – RJ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CEP: 21941-908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Telefones: 21-3865-7222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e-mails: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20" w:history="1">
          <w:r>
            <w:rPr>
              <w:rStyle w:val="Hyperlink"/>
            </w:rPr>
            <w:t>cibic&amp;cibiti@cetem.gov.br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FF"/>
          <w:sz w:val="20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20" w:history="1">
          <w:r>
            <w:rPr>
              <w:rStyle w:val="Hyperlink"/>
            </w:rPr>
            <w:t>(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Comissão Institucional) ou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</w:rPr>
        <w:t xml:space="preserve"> </w:t>
      </w:r>
      <w:r>
        <w:rPr>
          <w:rFonts w:ascii="TimesNewRomanPSMT" w:hAnsi="TimesNewRomanPSMT" w:eastAsia="TimesNewRomanPSMT"/>
          <w:b w:val="0"/>
          <w:i w:val="0"/>
          <w:color w:val="0000FF"/>
          <w:sz w:val="20"/>
          <w:u w:val="single"/>
        </w:rPr>
        <w:hyperlink r:id="rId21" w:history="1">
          <w:r>
            <w:rPr>
              <w:rStyle w:val="Hyperlink"/>
            </w:rPr>
            <w:t xml:space="preserve">lcbertolino@cetem.gov.br 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hyperlink r:id="rId21" w:history="1">
          <w:r>
            <w:rPr>
              <w:rStyle w:val="Hyperlink"/>
            </w:rPr>
            <w:t>(</w:t>
          </w:r>
        </w:hyperlink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Coordenador do Programa)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Horário de atendimento: 08 às 17h, de segunda à sexta-feira, exceto feriados. </w:t>
      </w:r>
    </w:p>
    <w:p>
      <w:pPr>
        <w:autoSpaceDN w:val="0"/>
        <w:autoSpaceDE w:val="0"/>
        <w:widowControl/>
        <w:spacing w:line="246" w:lineRule="exact" w:before="9450" w:after="0"/>
        <w:ind w:left="0" w:right="20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9 </w:t>
      </w:r>
    </w:p>
    <w:sectPr w:rsidR="00FC693F" w:rsidRPr="0006063C" w:rsidSect="00034616">
      <w:pgSz w:w="11911" w:h="16841"/>
      <w:pgMar w:top="328" w:right="1004" w:bottom="502" w:left="107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://lattes.cnpq.br/web/dgp/arvore-do-conhecimento)" TargetMode="External"/><Relationship Id="rId11" Type="http://schemas.openxmlformats.org/officeDocument/2006/relationships/hyperlink" Target="mailto:cibic" TargetMode="External"/><Relationship Id="rId12" Type="http://schemas.openxmlformats.org/officeDocument/2006/relationships/hyperlink" Target="mailto:cibiti@cetem.gov.br" TargetMode="External"/><Relationship Id="rId13" Type="http://schemas.openxmlformats.org/officeDocument/2006/relationships/hyperlink" Target="mailto:ouparaematiolo@cetem.gov.br" TargetMode="External"/><Relationship Id="rId14" Type="http://schemas.openxmlformats.org/officeDocument/2006/relationships/hyperlink" Target="http://www.gov.br/cetem" TargetMode="External"/><Relationship Id="rId15" Type="http://schemas.openxmlformats.org/officeDocument/2006/relationships/hyperlink" Target="mailto:ematiolo@cetem.gov.br" TargetMode="External"/><Relationship Id="rId16" Type="http://schemas.openxmlformats.org/officeDocument/2006/relationships/hyperlink" Target="https://www.gov.br/mcti/pt-br/rede-mcti/cetem" TargetMode="External"/><Relationship Id="rId17" Type="http://schemas.openxmlformats.org/officeDocument/2006/relationships/hyperlink" Target="mailto:cibic&amp;cibiti@cetem.gov.br" TargetMode="External"/><Relationship Id="rId18" Type="http://schemas.openxmlformats.org/officeDocument/2006/relationships/hyperlink" Target="mailto:lcbertolino@cetem.gov.br," TargetMode="External"/><Relationship Id="rId19" Type="http://schemas.openxmlformats.org/officeDocument/2006/relationships/hyperlink" Target="https://www.gov.br/cetem/pt-br/capacitacao/pibic-e-pibit/programa-institucional-de-bolsas-de-iniciacao-cientifica-pibic" TargetMode="External"/><Relationship Id="rId20" Type="http://schemas.openxmlformats.org/officeDocument/2006/relationships/hyperlink" Target="mailto:cibic%26cibiti@cetem.gov.br" TargetMode="External"/><Relationship Id="rId21" Type="http://schemas.openxmlformats.org/officeDocument/2006/relationships/hyperlink" Target="mailto:lcbertolino@cetem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