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1"/>
        <w:widowControl w:val="0"/>
        <w:spacing w:after="240" w:before="160" w:line="360" w:lineRule="auto"/>
        <w:jc w:val="center"/>
        <w:rPr>
          <w:rFonts w:ascii="Calibri" w:cs="Calibri" w:eastAsia="Calibri" w:hAnsi="Calibri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Previsão de riscos geo-hidrológicos para o dia 26 de junho de 2025</w:t>
      </w:r>
    </w:p>
    <w:p w:rsidR="00000000" w:rsidDel="00000000" w:rsidP="00000000" w:rsidRDefault="00000000" w:rsidRPr="00000000" w14:paraId="00000002">
      <w:pPr>
        <w:pStyle w:val="Subtitle"/>
        <w:keepNext w:val="1"/>
        <w:widowControl w:val="0"/>
        <w:spacing w:after="240" w:before="160" w:line="360" w:lineRule="auto"/>
        <w:jc w:val="both"/>
        <w:rPr>
          <w:rFonts w:ascii="Calibri" w:cs="Calibri" w:eastAsia="Calibri" w:hAnsi="Calibri"/>
          <w:b w:val="1"/>
          <w:i w:val="1"/>
          <w:color w:val="000000"/>
          <w:sz w:val="24"/>
          <w:szCs w:val="24"/>
          <w:highlight w:val="white"/>
        </w:rPr>
      </w:pPr>
      <w:bookmarkStart w:colFirst="0" w:colLast="0" w:name="_heading=h.1q4n6jg89ek9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Nesta quinta-feira (26/06/2025), o cenário de risco de eventos geo-hidrológicos para as regiões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do Brasil é apresentado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1"/>
        <w:widowControl w:val="0"/>
        <w:spacing w:after="240" w:before="160" w:line="360" w:lineRule="auto"/>
        <w:jc w:val="center"/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</w:rPr>
      </w:pPr>
      <w:bookmarkStart w:colFirst="0" w:colLast="0" w:name="_heading=h.6sayf9t9l4jg" w:id="1"/>
      <w:bookmarkEnd w:id="1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Risco Hidrológico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1"/>
        <w:widowControl w:val="0"/>
        <w:numPr>
          <w:ilvl w:val="0"/>
          <w:numId w:val="4"/>
        </w:numPr>
        <w:spacing w:after="240" w:before="300" w:line="360" w:lineRule="auto"/>
        <w:ind w:left="720" w:hanging="360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vxydzl9zgpco" w:id="2"/>
      <w:bookmarkEnd w:id="2"/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Região Norte: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Amazonas</w:t>
      </w:r>
    </w:p>
    <w:p w:rsidR="00000000" w:rsidDel="00000000" w:rsidP="00000000" w:rsidRDefault="00000000" w:rsidRPr="00000000" w14:paraId="00000005">
      <w:pPr>
        <w:pStyle w:val="Subtitle"/>
        <w:keepNext w:val="1"/>
        <w:widowControl w:val="0"/>
        <w:spacing w:after="240" w:before="300" w:line="360" w:lineRule="auto"/>
        <w:jc w:val="both"/>
        <w:rPr/>
      </w:pPr>
      <w:bookmarkStart w:colFirst="0" w:colLast="0" w:name="_heading=h.9ollrj5kmbvy" w:id="3"/>
      <w:bookmarkEnd w:id="3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Considera-se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MODERADA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a probabilidade de ocorrência de eventos hidrológicos nas Regiões Geográficas Intermediárias de Manaus e Parintins (AM), devido ao processo de inundação gradual na Bacia do Rio Solimões. Neste cenário, espera-se a continuidade do deslocamento da maré de cheia, com possibilidade de atingir áreas de ocupação ribeirinha nas planícies de inundação, dificultando o escoamento de córregos e igarapés urbanos pelo efeito de remanso (Figura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1"/>
        <w:widowControl w:val="0"/>
        <w:numPr>
          <w:ilvl w:val="0"/>
          <w:numId w:val="1"/>
        </w:numPr>
        <w:spacing w:after="240" w:before="300" w:line="360" w:lineRule="auto"/>
        <w:ind w:left="720" w:hanging="360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i1486eufywaq" w:id="4"/>
      <w:bookmarkEnd w:id="4"/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Região Nordeste: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Alagoas, Bahia, Pernambuco e Sergipe</w:t>
      </w:r>
    </w:p>
    <w:p w:rsidR="00000000" w:rsidDel="00000000" w:rsidP="00000000" w:rsidRDefault="00000000" w:rsidRPr="00000000" w14:paraId="00000007">
      <w:pPr>
        <w:pStyle w:val="Subtitle"/>
        <w:keepNext w:val="1"/>
        <w:widowControl w:val="0"/>
        <w:spacing w:after="240" w:before="300" w:line="360" w:lineRule="auto"/>
        <w:jc w:val="both"/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</w:rPr>
      </w:pPr>
      <w:bookmarkStart w:colFirst="0" w:colLast="0" w:name="_heading=h.gxv7gv7undso" w:id="5"/>
      <w:bookmarkEnd w:id="5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Considera-se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MODERADA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possibilidade de permanência de eventos hidrológicos na Região Geográfica Intermediária de Aracaju (SE), Maceió (AL), Recife (PE) e Salvador (BA), devido à previsão de chuva com possibilidade de pancadas localizadas. Assim, não se descarta a possibilidade de ocorrência de inundações pontuais dos córregos canalizados em áreas urbanas e alagamentos temporários de áreas rebaixadas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 (Figura 1).</w:t>
      </w:r>
    </w:p>
    <w:p w:rsidR="00000000" w:rsidDel="00000000" w:rsidP="00000000" w:rsidRDefault="00000000" w:rsidRPr="00000000" w14:paraId="00000008">
      <w:pPr>
        <w:pStyle w:val="Subtitle"/>
        <w:keepNext w:val="1"/>
        <w:widowControl w:val="0"/>
        <w:numPr>
          <w:ilvl w:val="0"/>
          <w:numId w:val="3"/>
        </w:numPr>
        <w:spacing w:after="240" w:before="300" w:line="360" w:lineRule="auto"/>
        <w:ind w:left="720" w:hanging="360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heading=h.sa875wijg2km" w:id="6"/>
      <w:bookmarkEnd w:id="6"/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Região Sul: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Paraná, Rio Grande do Sul e Santa Catarina</w:t>
      </w:r>
    </w:p>
    <w:p w:rsidR="00000000" w:rsidDel="00000000" w:rsidP="00000000" w:rsidRDefault="00000000" w:rsidRPr="00000000" w14:paraId="00000009">
      <w:pPr>
        <w:pStyle w:val="Subtitle"/>
        <w:keepNext w:val="1"/>
        <w:widowControl w:val="0"/>
        <w:spacing w:after="240" w:before="300" w:line="360" w:lineRule="auto"/>
        <w:jc w:val="both"/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</w:rPr>
      </w:pPr>
      <w:bookmarkStart w:colFirst="0" w:colLast="0" w:name="_heading=h.25tjo3rmnz4e" w:id="7"/>
      <w:bookmarkEnd w:id="7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Considera-se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ALTA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possibilidade de eventos hidrológicos na Região Geográfica Intermediária de Uruguaiana (RS), devido ao nível fluviométrico no baixo curso da bacia hidrográfica do rio Uruguai e a propagação da onda de cheia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(Figura 1).</w:t>
      </w:r>
    </w:p>
    <w:p w:rsidR="00000000" w:rsidDel="00000000" w:rsidP="00000000" w:rsidRDefault="00000000" w:rsidRPr="00000000" w14:paraId="0000000A">
      <w:pPr>
        <w:pStyle w:val="Subtitle"/>
        <w:keepNext w:val="1"/>
        <w:widowControl w:val="0"/>
        <w:spacing w:after="240" w:before="300" w:line="360" w:lineRule="auto"/>
        <w:jc w:val="both"/>
        <w:rPr/>
      </w:pPr>
      <w:bookmarkStart w:colFirst="0" w:colLast="0" w:name="_heading=h.oio3xnv7iggw" w:id="8"/>
      <w:bookmarkEnd w:id="8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Considera-se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MODERADA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 possibilidade de eventos hidrológicos na Região Geográfica Intermediária de Chapecó (SC), Cascavel (PR) e Porto Alegre (RS). Nesta última região gaúcha, destaca-se o nível fluviométrico na bacia hidrográfica dos rios Caí, Jacuí e Taquari, na sua porção mais baixa,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 consequente continuidade da elevação dos níveis hidrométricos dos tributários e rios principais das bacias dessas regiões. Assim, não se descarta a possibilidade de ocorrência de inundação dos córregos canalizados em áreas urbanas e alagamentos temporários de áreas rebaixadas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 (Figura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766125" cy="5562600"/>
            <wp:effectExtent b="0" l="0" r="0" t="0"/>
            <wp:docPr id="20136148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6125" cy="556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19"/>
          <w:szCs w:val="19"/>
          <w:highlight w:val="white"/>
          <w:rtl w:val="0"/>
        </w:rPr>
        <w:t xml:space="preserve">Figura 1 - Possibilidade de ocorrência de eventos hidrológicos em ao menos um município das Regiões Geográficas Intermediárias indicadas. Este mapa é elaborado por uma equipe multidisciplinar, levando em consideração os cenários de riscos hidrológicos atuais somados à previsão de chuva.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keepNext w:val="1"/>
        <w:widowControl w:val="0"/>
        <w:spacing w:after="240" w:before="160"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bookmarkStart w:colFirst="0" w:colLast="0" w:name="_heading=h.nxrw0ao41ql8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keepNext w:val="1"/>
        <w:widowControl w:val="0"/>
        <w:spacing w:after="240" w:before="160" w:line="36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bookmarkStart w:colFirst="0" w:colLast="0" w:name="_heading=h.atf7q8c9ja53" w:id="10"/>
      <w:bookmarkEnd w:id="1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u w:val="single"/>
          <w:rtl w:val="0"/>
        </w:rPr>
        <w:t xml:space="preserve">Risco Geológico</w:t>
      </w:r>
    </w:p>
    <w:p w:rsidR="00000000" w:rsidDel="00000000" w:rsidP="00000000" w:rsidRDefault="00000000" w:rsidRPr="00000000" w14:paraId="00000013">
      <w:pPr>
        <w:pStyle w:val="Subtitle"/>
        <w:keepNext w:val="1"/>
        <w:widowControl w:val="0"/>
        <w:numPr>
          <w:ilvl w:val="0"/>
          <w:numId w:val="2"/>
        </w:numPr>
        <w:spacing w:after="240" w:before="300" w:line="360" w:lineRule="auto"/>
        <w:ind w:left="720" w:hanging="360"/>
        <w:jc w:val="both"/>
        <w:rPr>
          <w:rFonts w:ascii="Calibri" w:cs="Calibri" w:eastAsia="Calibri" w:hAnsi="Calibri"/>
          <w:i w:val="1"/>
          <w:color w:val="000000"/>
          <w:sz w:val="24"/>
          <w:szCs w:val="24"/>
        </w:rPr>
      </w:pPr>
      <w:bookmarkStart w:colFirst="0" w:colLast="0" w:name="_heading=h.f68zi0h7id0" w:id="11"/>
      <w:bookmarkEnd w:id="11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Região Sul: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  Santa Catarina</w:t>
      </w:r>
    </w:p>
    <w:p w:rsidR="00000000" w:rsidDel="00000000" w:rsidP="00000000" w:rsidRDefault="00000000" w:rsidRPr="00000000" w14:paraId="00000014">
      <w:pPr>
        <w:pStyle w:val="Subtitle"/>
        <w:keepNext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420" w:lineRule="auto"/>
        <w:jc w:val="both"/>
        <w:rPr/>
      </w:pPr>
      <w:bookmarkStart w:colFirst="0" w:colLast="0" w:name="_heading=h.p8q2vuqoge1p" w:id="12"/>
      <w:bookmarkEnd w:id="12"/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Considera-se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MODERADA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a possibilidade de ocorrência de movimentos de massa (Figura 2) na Região Geográfica Intermediária de Blumenau,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devido à presença de áreas com alta vulnerabilidade e suscetibilidade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a movimentos de massa e previsão de chuva com intensidade moderada ao longo do dia, que pode ser suficiente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para deflagrar ocorrências pontuais de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highlight w:val="white"/>
          <w:rtl w:val="0"/>
        </w:rPr>
        <w:t xml:space="preserve">deslizamentos em cortes de estrada e encostas urbanas.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114300" distT="114300" distL="114300" distR="114300">
            <wp:extent cx="5766125" cy="6794500"/>
            <wp:effectExtent b="0" l="0" r="0" t="0"/>
            <wp:docPr id="201361484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6125" cy="679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keepNext w:val="1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line="360" w:lineRule="auto"/>
        <w:jc w:val="both"/>
        <w:rPr/>
      </w:pPr>
      <w:bookmarkStart w:colFirst="0" w:colLast="0" w:name="_heading=h.1peqb5am59yu" w:id="13"/>
      <w:bookmarkEnd w:id="13"/>
      <w:r w:rsidDel="00000000" w:rsidR="00000000" w:rsidRPr="00000000">
        <w:rPr>
          <w:rFonts w:ascii="Calibri" w:cs="Calibri" w:eastAsia="Calibri" w:hAnsi="Calibri"/>
          <w:sz w:val="19"/>
          <w:szCs w:val="19"/>
          <w:highlight w:val="white"/>
          <w:rtl w:val="0"/>
        </w:rPr>
        <w:t xml:space="preserve">Figura 2 - Possibilidade de ocorrência de deslizamentos em ao menos um município das Regiões Geográficas Intermediárias (e/ou subdivisões regionais) indicadas. Este mapa é elaborado por uma equipe multidisciplinar, levando em consideração as condições dos cenários de riscos geológicos atuais somados à previsão de chuva.</w:t>
      </w:r>
      <w:r w:rsidDel="00000000" w:rsidR="00000000" w:rsidRPr="00000000">
        <w:rPr>
          <w:rtl w:val="0"/>
        </w:rPr>
      </w:r>
    </w:p>
    <w:sectPr>
      <w:headerReference r:id="rId9" w:type="default"/>
      <w:pgSz w:h="16820" w:w="11906" w:orient="portrait"/>
      <w:pgMar w:bottom="1601" w:top="1440" w:left="1440" w:right="138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line="362" w:lineRule="auto"/>
      <w:ind w:left="52" w:right="48" w:firstLine="0"/>
      <w:jc w:val="center"/>
      <w:rPr/>
    </w:pPr>
    <w:r w:rsidDel="00000000" w:rsidR="00000000" w:rsidRPr="00000000">
      <w:rPr>
        <w:rtl w:val="0"/>
      </w:rPr>
      <w:t xml:space="preserve">         </w:t>
    </w:r>
  </w:p>
  <w:p w:rsidR="00000000" w:rsidDel="00000000" w:rsidP="00000000" w:rsidRDefault="00000000" w:rsidRPr="00000000" w14:paraId="0000001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line="362" w:lineRule="auto"/>
      <w:ind w:left="52" w:right="48" w:firstLine="0"/>
      <w:jc w:val="center"/>
      <w:rPr>
        <w:i w:val="1"/>
        <w:sz w:val="24"/>
        <w:szCs w:val="24"/>
        <w:highlight w:val="white"/>
      </w:rPr>
    </w:pPr>
    <w:r w:rsidDel="00000000" w:rsidR="00000000" w:rsidRPr="00000000">
      <w:rPr/>
      <w:drawing>
        <wp:inline distB="0" distT="0" distL="0" distR="0">
          <wp:extent cx="5538788" cy="782055"/>
          <wp:effectExtent b="0" l="0" r="0" t="0"/>
          <wp:docPr id="201361484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8788" cy="782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line="362" w:lineRule="auto"/>
      <w:ind w:left="52" w:right="48" w:firstLine="0"/>
      <w:jc w:val="center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2"/>
        <w:szCs w:val="22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/>
  </w:style>
  <w:style w:type="paragraph" w:styleId="Heading2">
    <w:name w:val="heading 2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/>
  </w:style>
  <w:style w:type="paragraph" w:styleId="Heading3">
    <w:name w:val="heading 3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/>
  </w:style>
  <w:style w:type="paragraph" w:styleId="Heading4">
    <w:name w:val="heading 4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/>
  </w:style>
  <w:style w:type="paragraph" w:styleId="Heading5">
    <w:name w:val="heading 5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/>
  </w:style>
  <w:style w:type="paragraph" w:styleId="Heading6">
    <w:name w:val="heading 6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/>
  </w:style>
  <w:style w:type="paragraph" w:styleId="Title">
    <w:name w:val="Title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229A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229A8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E527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52704"/>
  </w:style>
  <w:style w:type="paragraph" w:styleId="Rodap">
    <w:name w:val="footer"/>
    <w:basedOn w:val="Normal"/>
    <w:link w:val="RodapChar"/>
    <w:uiPriority w:val="99"/>
    <w:unhideWhenUsed w:val="1"/>
    <w:rsid w:val="00E5270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52704"/>
  </w:style>
  <w:style w:type="paragraph" w:styleId="Subtitle">
    <w:name w:val="Subtitle"/>
    <w:basedOn w:val="Normal"/>
    <w:next w:val="Normal"/>
    <w:pPr/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518CvdC4QN19P028Nh4wLuhWg==">CgMxLjAyDmguMXE0bjZqZzg5ZWs5Mg5oLjZzYXlmOXQ5bDRqZzIOaC52eHlkemw5emdwY28yDmguOW9sbHJqNWttYnZ5Mg5oLmkxNDg2ZXVmeXdhcTIOaC5neHY3Z3Y3dW5kc28yDmguc2E4NzV3aWpnMmttMg5oLjI1dGpvM3Jtbno0ZTIOaC5vaW8zeG52N2lnZ3cyDmgubnhydzBhbzQxcWw4Mg5oLmF0ZjdxOGM5amE1MzINaC5mNjh6aTBoN2lkMDIOaC5wOHEydnVxb2dlMXAyDmguMXBlcWI1YW01OXl1OAByITFOZGZYcy04emwzZGFRejYxUmYxQy1adzE0V2RfZlQ1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2025-06-25T16:05:00Z</dcterms:created>
  <dc:creator>Felipe Soares</dc:creator>
</cp:coreProperties>
</file>