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88BF7" w14:textId="5BFA66A8" w:rsidR="00BE7EF3" w:rsidRDefault="000758B1" w:rsidP="00FA3BC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A IMPORTÂNCIA NA CONSOLIDAÇÃO </w:t>
      </w:r>
      <w:r w:rsidR="00031083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0E1BE7">
        <w:rPr>
          <w:rFonts w:ascii="Times New Roman" w:hAnsi="Times New Roman" w:cs="Times New Roman"/>
          <w:b/>
          <w:bCs/>
          <w:sz w:val="24"/>
          <w:szCs w:val="24"/>
        </w:rPr>
        <w:t xml:space="preserve"> GESTÃO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</w:t>
      </w:r>
      <w:r w:rsidR="000E1BE7">
        <w:rPr>
          <w:rFonts w:ascii="Times New Roman" w:hAnsi="Times New Roman" w:cs="Times New Roman"/>
          <w:b/>
          <w:bCs/>
          <w:sz w:val="24"/>
          <w:szCs w:val="24"/>
        </w:rPr>
        <w:t xml:space="preserve"> CICLO DE VIDA DE SISTEMAS E PRODUTOS DE DEFESA</w:t>
      </w:r>
    </w:p>
    <w:p w14:paraId="5B76C8B2" w14:textId="5AD51C82" w:rsidR="00FA3BC2" w:rsidRDefault="000E1BE7" w:rsidP="00031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94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3BC2">
        <w:rPr>
          <w:rFonts w:ascii="Times New Roman" w:hAnsi="Times New Roman" w:cs="Times New Roman"/>
          <w:sz w:val="24"/>
          <w:szCs w:val="24"/>
        </w:rPr>
        <w:t>CC (IM) LUCIANO SANTI</w:t>
      </w:r>
    </w:p>
    <w:p w14:paraId="2AC244AB" w14:textId="0322BBF9" w:rsidR="00FA3BC2" w:rsidRDefault="000E1BE7" w:rsidP="00031CD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Assistente no Centro de Apoio a Sistemas Logísticos de Defesa (</w:t>
      </w:r>
      <w:r w:rsidR="00FA3BC2">
        <w:rPr>
          <w:rFonts w:ascii="Times New Roman" w:hAnsi="Times New Roman" w:cs="Times New Roman"/>
          <w:sz w:val="24"/>
          <w:szCs w:val="24"/>
        </w:rPr>
        <w:t>CASLODE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AEFF241" w14:textId="0F1CBC2D" w:rsidR="00FA3BC2" w:rsidRDefault="00FA3BC2" w:rsidP="00FA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6BBB6D" w14:textId="290F7B41" w:rsidR="00FA3BC2" w:rsidRPr="000E1BE7" w:rsidRDefault="000C6CC1" w:rsidP="00FA3B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1 - </w:t>
      </w:r>
      <w:r w:rsidR="00FA3BC2" w:rsidRPr="000E1BE7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AE33C0E" w14:textId="6793DCAE" w:rsidR="00C67399" w:rsidRDefault="00FA3BC2" w:rsidP="00FA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370D">
        <w:rPr>
          <w:rFonts w:ascii="Times New Roman" w:hAnsi="Times New Roman" w:cs="Times New Roman"/>
          <w:sz w:val="24"/>
          <w:szCs w:val="24"/>
        </w:rPr>
        <w:t>Uma</w:t>
      </w:r>
      <w:r w:rsidR="00DF6D5E" w:rsidRPr="00DF6D5E">
        <w:rPr>
          <w:rFonts w:ascii="Times New Roman" w:hAnsi="Times New Roman" w:cs="Times New Roman"/>
          <w:sz w:val="24"/>
          <w:szCs w:val="24"/>
        </w:rPr>
        <w:t xml:space="preserve"> das funções essenciais do Estado </w:t>
      </w:r>
      <w:r w:rsidR="001B172E">
        <w:rPr>
          <w:rFonts w:ascii="Times New Roman" w:hAnsi="Times New Roman" w:cs="Times New Roman"/>
          <w:sz w:val="24"/>
          <w:szCs w:val="24"/>
        </w:rPr>
        <w:t>é</w:t>
      </w:r>
      <w:r w:rsidR="00DF6D5E" w:rsidRPr="00DF6D5E">
        <w:rPr>
          <w:rFonts w:ascii="Times New Roman" w:hAnsi="Times New Roman" w:cs="Times New Roman"/>
          <w:sz w:val="24"/>
          <w:szCs w:val="24"/>
        </w:rPr>
        <w:t xml:space="preserve"> a garantia da</w:t>
      </w:r>
      <w:r w:rsidR="00B4370D">
        <w:rPr>
          <w:rFonts w:ascii="Times New Roman" w:hAnsi="Times New Roman" w:cs="Times New Roman"/>
          <w:sz w:val="24"/>
          <w:szCs w:val="24"/>
        </w:rPr>
        <w:t xml:space="preserve"> </w:t>
      </w:r>
      <w:r w:rsidR="003816A5">
        <w:rPr>
          <w:rFonts w:ascii="Times New Roman" w:hAnsi="Times New Roman" w:cs="Times New Roman"/>
          <w:sz w:val="24"/>
          <w:szCs w:val="24"/>
        </w:rPr>
        <w:t>S</w:t>
      </w:r>
      <w:r w:rsidR="00DF6D5E" w:rsidRPr="00DF6D5E">
        <w:rPr>
          <w:rFonts w:ascii="Times New Roman" w:hAnsi="Times New Roman" w:cs="Times New Roman"/>
          <w:sz w:val="24"/>
          <w:szCs w:val="24"/>
        </w:rPr>
        <w:t>egurança</w:t>
      </w:r>
      <w:r w:rsidR="00B4370D">
        <w:rPr>
          <w:rFonts w:ascii="Times New Roman" w:hAnsi="Times New Roman" w:cs="Times New Roman"/>
          <w:sz w:val="24"/>
          <w:szCs w:val="24"/>
        </w:rPr>
        <w:t xml:space="preserve"> </w:t>
      </w:r>
      <w:r w:rsidR="003816A5">
        <w:rPr>
          <w:rFonts w:ascii="Times New Roman" w:hAnsi="Times New Roman" w:cs="Times New Roman"/>
          <w:sz w:val="24"/>
          <w:szCs w:val="24"/>
        </w:rPr>
        <w:t>N</w:t>
      </w:r>
      <w:r w:rsidR="0053242A">
        <w:rPr>
          <w:rFonts w:ascii="Times New Roman" w:hAnsi="Times New Roman" w:cs="Times New Roman"/>
          <w:sz w:val="24"/>
          <w:szCs w:val="24"/>
        </w:rPr>
        <w:t xml:space="preserve">acional </w:t>
      </w:r>
      <w:r w:rsidR="0055224F">
        <w:rPr>
          <w:rFonts w:ascii="Times New Roman" w:hAnsi="Times New Roman" w:cs="Times New Roman"/>
          <w:sz w:val="24"/>
          <w:szCs w:val="24"/>
        </w:rPr>
        <w:t>aos seus cidadãos</w:t>
      </w:r>
      <w:r w:rsidR="00DF6D5E" w:rsidRPr="00DF6D5E">
        <w:rPr>
          <w:rFonts w:ascii="Times New Roman" w:hAnsi="Times New Roman" w:cs="Times New Roman"/>
          <w:sz w:val="24"/>
          <w:szCs w:val="24"/>
        </w:rPr>
        <w:t xml:space="preserve">. Esse princípio </w:t>
      </w:r>
      <w:r w:rsidR="00F43AB2">
        <w:rPr>
          <w:rFonts w:ascii="Times New Roman" w:hAnsi="Times New Roman" w:cs="Times New Roman"/>
          <w:sz w:val="24"/>
          <w:szCs w:val="24"/>
        </w:rPr>
        <w:t>é um dos</w:t>
      </w:r>
      <w:r w:rsidR="0017026D">
        <w:rPr>
          <w:rFonts w:ascii="Times New Roman" w:hAnsi="Times New Roman" w:cs="Times New Roman"/>
          <w:sz w:val="24"/>
          <w:szCs w:val="24"/>
        </w:rPr>
        <w:t xml:space="preserve"> alicerce</w:t>
      </w:r>
      <w:r w:rsidR="00F43AB2">
        <w:rPr>
          <w:rFonts w:ascii="Times New Roman" w:hAnsi="Times New Roman" w:cs="Times New Roman"/>
          <w:sz w:val="24"/>
          <w:szCs w:val="24"/>
        </w:rPr>
        <w:t>s</w:t>
      </w:r>
      <w:r w:rsidR="0017026D">
        <w:rPr>
          <w:rFonts w:ascii="Times New Roman" w:hAnsi="Times New Roman" w:cs="Times New Roman"/>
          <w:sz w:val="24"/>
          <w:szCs w:val="24"/>
        </w:rPr>
        <w:t xml:space="preserve"> que</w:t>
      </w:r>
      <w:r w:rsidR="00DF6D5E" w:rsidRPr="00DF6D5E">
        <w:rPr>
          <w:rFonts w:ascii="Times New Roman" w:hAnsi="Times New Roman" w:cs="Times New Roman"/>
          <w:sz w:val="24"/>
          <w:szCs w:val="24"/>
        </w:rPr>
        <w:t xml:space="preserve"> garantem a estabilidade para a existência dos mercados e a convivência civilizada da população.</w:t>
      </w:r>
      <w:r w:rsidR="0053242A">
        <w:rPr>
          <w:rFonts w:ascii="Times New Roman" w:hAnsi="Times New Roman" w:cs="Times New Roman"/>
          <w:sz w:val="24"/>
          <w:szCs w:val="24"/>
        </w:rPr>
        <w:t xml:space="preserve"> </w:t>
      </w:r>
      <w:r w:rsidR="00382214">
        <w:rPr>
          <w:rFonts w:ascii="Times New Roman" w:hAnsi="Times New Roman" w:cs="Times New Roman"/>
          <w:sz w:val="24"/>
          <w:szCs w:val="24"/>
        </w:rPr>
        <w:t>Por isso</w:t>
      </w:r>
      <w:r w:rsidR="003816A5">
        <w:rPr>
          <w:rFonts w:ascii="Times New Roman" w:hAnsi="Times New Roman" w:cs="Times New Roman"/>
          <w:sz w:val="24"/>
          <w:szCs w:val="24"/>
        </w:rPr>
        <w:t>, para a contenção de</w:t>
      </w:r>
      <w:r w:rsidR="00EC3085">
        <w:rPr>
          <w:rFonts w:ascii="Times New Roman" w:hAnsi="Times New Roman" w:cs="Times New Roman"/>
          <w:sz w:val="24"/>
          <w:szCs w:val="24"/>
        </w:rPr>
        <w:t xml:space="preserve"> possíveis ameaças</w:t>
      </w:r>
      <w:r w:rsidR="000C6CC1">
        <w:rPr>
          <w:rFonts w:ascii="Times New Roman" w:hAnsi="Times New Roman" w:cs="Times New Roman"/>
          <w:sz w:val="24"/>
          <w:szCs w:val="24"/>
        </w:rPr>
        <w:t xml:space="preserve"> e</w:t>
      </w:r>
      <w:r w:rsidR="0055224F">
        <w:rPr>
          <w:rFonts w:ascii="Times New Roman" w:hAnsi="Times New Roman" w:cs="Times New Roman"/>
          <w:sz w:val="24"/>
          <w:szCs w:val="24"/>
        </w:rPr>
        <w:t xml:space="preserve"> o</w:t>
      </w:r>
      <w:r w:rsidR="000C6CC1">
        <w:rPr>
          <w:rFonts w:ascii="Times New Roman" w:hAnsi="Times New Roman" w:cs="Times New Roman"/>
          <w:sz w:val="24"/>
          <w:szCs w:val="24"/>
        </w:rPr>
        <w:t xml:space="preserve"> cumprimento de suas atribuições</w:t>
      </w:r>
      <w:r w:rsidR="00B65E51">
        <w:rPr>
          <w:rFonts w:ascii="Times New Roman" w:hAnsi="Times New Roman" w:cs="Times New Roman"/>
          <w:sz w:val="24"/>
          <w:szCs w:val="24"/>
        </w:rPr>
        <w:t xml:space="preserve">, </w:t>
      </w:r>
      <w:r w:rsidR="003816A5">
        <w:rPr>
          <w:rFonts w:ascii="Times New Roman" w:hAnsi="Times New Roman" w:cs="Times New Roman"/>
          <w:sz w:val="24"/>
          <w:szCs w:val="24"/>
        </w:rPr>
        <w:t>o Estado</w:t>
      </w:r>
      <w:r w:rsidR="00B65E51">
        <w:rPr>
          <w:rFonts w:ascii="Times New Roman" w:hAnsi="Times New Roman" w:cs="Times New Roman"/>
          <w:sz w:val="24"/>
          <w:szCs w:val="24"/>
        </w:rPr>
        <w:t xml:space="preserve"> deverá </w:t>
      </w:r>
      <w:r w:rsidR="00F43AB2">
        <w:rPr>
          <w:rFonts w:ascii="Times New Roman" w:hAnsi="Times New Roman" w:cs="Times New Roman"/>
          <w:sz w:val="24"/>
          <w:szCs w:val="24"/>
        </w:rPr>
        <w:t>manter disponível</w:t>
      </w:r>
      <w:r w:rsidR="00B65E51">
        <w:rPr>
          <w:rFonts w:ascii="Times New Roman" w:hAnsi="Times New Roman" w:cs="Times New Roman"/>
          <w:sz w:val="24"/>
          <w:szCs w:val="24"/>
        </w:rPr>
        <w:t xml:space="preserve"> uma estrutura </w:t>
      </w:r>
      <w:r w:rsidR="00031CDF">
        <w:rPr>
          <w:rFonts w:ascii="Times New Roman" w:hAnsi="Times New Roman" w:cs="Times New Roman"/>
          <w:sz w:val="24"/>
          <w:szCs w:val="24"/>
        </w:rPr>
        <w:t>d</w:t>
      </w:r>
      <w:r w:rsidR="00B65E51">
        <w:rPr>
          <w:rFonts w:ascii="Times New Roman" w:hAnsi="Times New Roman" w:cs="Times New Roman"/>
          <w:sz w:val="24"/>
          <w:szCs w:val="24"/>
        </w:rPr>
        <w:t>e investimentos que garanta a</w:t>
      </w:r>
      <w:r w:rsidR="00A72A0A">
        <w:rPr>
          <w:rFonts w:ascii="Times New Roman" w:hAnsi="Times New Roman" w:cs="Times New Roman"/>
          <w:sz w:val="24"/>
          <w:szCs w:val="24"/>
        </w:rPr>
        <w:t>s</w:t>
      </w:r>
      <w:r w:rsidR="00B65E51">
        <w:rPr>
          <w:rFonts w:ascii="Times New Roman" w:hAnsi="Times New Roman" w:cs="Times New Roman"/>
          <w:sz w:val="24"/>
          <w:szCs w:val="24"/>
        </w:rPr>
        <w:t xml:space="preserve"> Capacidade</w:t>
      </w:r>
      <w:r w:rsidR="00A72A0A">
        <w:rPr>
          <w:rFonts w:ascii="Times New Roman" w:hAnsi="Times New Roman" w:cs="Times New Roman"/>
          <w:sz w:val="24"/>
          <w:szCs w:val="24"/>
        </w:rPr>
        <w:t>s</w:t>
      </w:r>
      <w:r w:rsidR="00B65E51">
        <w:rPr>
          <w:rFonts w:ascii="Times New Roman" w:hAnsi="Times New Roman" w:cs="Times New Roman"/>
          <w:sz w:val="24"/>
          <w:szCs w:val="24"/>
        </w:rPr>
        <w:t xml:space="preserve"> Militar</w:t>
      </w:r>
      <w:r w:rsidR="00A72A0A">
        <w:rPr>
          <w:rFonts w:ascii="Times New Roman" w:hAnsi="Times New Roman" w:cs="Times New Roman"/>
          <w:sz w:val="24"/>
          <w:szCs w:val="24"/>
        </w:rPr>
        <w:t>es</w:t>
      </w:r>
      <w:r w:rsidR="00B65E51">
        <w:rPr>
          <w:rFonts w:ascii="Times New Roman" w:hAnsi="Times New Roman" w:cs="Times New Roman"/>
          <w:sz w:val="24"/>
          <w:szCs w:val="24"/>
        </w:rPr>
        <w:t>.</w:t>
      </w:r>
      <w:r w:rsidR="00C673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55E932" w14:textId="5D234F0F" w:rsidR="00031CDF" w:rsidRDefault="00C67399" w:rsidP="00C673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</w:t>
      </w:r>
      <w:r w:rsidR="00EB598E">
        <w:rPr>
          <w:rFonts w:ascii="Times New Roman" w:hAnsi="Times New Roman" w:cs="Times New Roman"/>
          <w:sz w:val="24"/>
          <w:szCs w:val="24"/>
        </w:rPr>
        <w:t xml:space="preserve"> ensaio </w:t>
      </w:r>
      <w:r w:rsidR="000A1F2C">
        <w:rPr>
          <w:rFonts w:ascii="Times New Roman" w:hAnsi="Times New Roman" w:cs="Times New Roman"/>
          <w:sz w:val="24"/>
          <w:szCs w:val="24"/>
        </w:rPr>
        <w:t>pretende</w:t>
      </w:r>
      <w:r w:rsidR="00EB598E">
        <w:rPr>
          <w:rFonts w:ascii="Times New Roman" w:hAnsi="Times New Roman" w:cs="Times New Roman"/>
          <w:sz w:val="24"/>
          <w:szCs w:val="24"/>
        </w:rPr>
        <w:t xml:space="preserve"> destacar a importância da </w:t>
      </w:r>
      <w:r w:rsidR="00D374C1">
        <w:rPr>
          <w:rFonts w:ascii="Times New Roman" w:hAnsi="Times New Roman" w:cs="Times New Roman"/>
          <w:sz w:val="24"/>
          <w:szCs w:val="24"/>
        </w:rPr>
        <w:t>consolidação</w:t>
      </w:r>
      <w:r w:rsidR="00EB598E">
        <w:rPr>
          <w:rFonts w:ascii="Times New Roman" w:hAnsi="Times New Roman" w:cs="Times New Roman"/>
          <w:sz w:val="24"/>
          <w:szCs w:val="24"/>
        </w:rPr>
        <w:t xml:space="preserve"> da Gestão de Ciclo de</w:t>
      </w:r>
      <w:r w:rsidR="00C04561">
        <w:rPr>
          <w:rFonts w:ascii="Times New Roman" w:hAnsi="Times New Roman" w:cs="Times New Roman"/>
          <w:sz w:val="24"/>
          <w:szCs w:val="24"/>
        </w:rPr>
        <w:t xml:space="preserve"> Vida de</w:t>
      </w:r>
      <w:r w:rsidR="00EB598E">
        <w:rPr>
          <w:rFonts w:ascii="Times New Roman" w:hAnsi="Times New Roman" w:cs="Times New Roman"/>
          <w:sz w:val="24"/>
          <w:szCs w:val="24"/>
        </w:rPr>
        <w:t xml:space="preserve"> Sistemas de Defesa (GCVSD</w:t>
      </w:r>
      <w:r w:rsidR="000A1F2C">
        <w:rPr>
          <w:rFonts w:ascii="Times New Roman" w:hAnsi="Times New Roman" w:cs="Times New Roman"/>
          <w:sz w:val="24"/>
          <w:szCs w:val="24"/>
        </w:rPr>
        <w:t>)</w:t>
      </w:r>
      <w:r w:rsidR="00EB598E">
        <w:rPr>
          <w:rFonts w:ascii="Times New Roman" w:hAnsi="Times New Roman" w:cs="Times New Roman"/>
          <w:sz w:val="24"/>
          <w:szCs w:val="24"/>
        </w:rPr>
        <w:t xml:space="preserve"> no intuito de</w:t>
      </w:r>
      <w:r w:rsidR="00DA322E">
        <w:rPr>
          <w:rFonts w:ascii="Times New Roman" w:hAnsi="Times New Roman" w:cs="Times New Roman"/>
          <w:sz w:val="24"/>
          <w:szCs w:val="24"/>
        </w:rPr>
        <w:t xml:space="preserve"> contribuir para a</w:t>
      </w:r>
      <w:r w:rsidR="00EB598E">
        <w:rPr>
          <w:rFonts w:ascii="Times New Roman" w:hAnsi="Times New Roman" w:cs="Times New Roman"/>
          <w:sz w:val="24"/>
          <w:szCs w:val="24"/>
        </w:rPr>
        <w:t xml:space="preserve"> garanti</w:t>
      </w:r>
      <w:r w:rsidR="00DA322E">
        <w:rPr>
          <w:rFonts w:ascii="Times New Roman" w:hAnsi="Times New Roman" w:cs="Times New Roman"/>
          <w:sz w:val="24"/>
          <w:szCs w:val="24"/>
        </w:rPr>
        <w:t>a</w:t>
      </w:r>
      <w:r w:rsidR="00EB598E">
        <w:rPr>
          <w:rFonts w:ascii="Times New Roman" w:hAnsi="Times New Roman" w:cs="Times New Roman"/>
          <w:sz w:val="24"/>
          <w:szCs w:val="24"/>
        </w:rPr>
        <w:t xml:space="preserve"> </w:t>
      </w:r>
      <w:r w:rsidR="00DA322E">
        <w:rPr>
          <w:rFonts w:ascii="Times New Roman" w:hAnsi="Times New Roman" w:cs="Times New Roman"/>
          <w:sz w:val="24"/>
          <w:szCs w:val="24"/>
        </w:rPr>
        <w:t>d</w:t>
      </w:r>
      <w:r w:rsidR="00EB598E">
        <w:rPr>
          <w:rFonts w:ascii="Times New Roman" w:hAnsi="Times New Roman" w:cs="Times New Roman"/>
          <w:sz w:val="24"/>
          <w:szCs w:val="24"/>
        </w:rPr>
        <w:t>a Defesa Nacional e viabilizar o desenvolvimento econômico</w:t>
      </w:r>
      <w:r w:rsidR="00382214" w:rsidRPr="00382214">
        <w:rPr>
          <w:rFonts w:ascii="Times New Roman" w:hAnsi="Times New Roman" w:cs="Times New Roman"/>
          <w:sz w:val="24"/>
          <w:szCs w:val="24"/>
        </w:rPr>
        <w:t xml:space="preserve"> </w:t>
      </w:r>
      <w:r w:rsidR="00382214">
        <w:rPr>
          <w:rFonts w:ascii="Times New Roman" w:hAnsi="Times New Roman" w:cs="Times New Roman"/>
          <w:sz w:val="24"/>
          <w:szCs w:val="24"/>
        </w:rPr>
        <w:t>por meio do fomento da Base Industrial de Defesa (BID)</w:t>
      </w:r>
      <w:r w:rsidR="00EB598E">
        <w:rPr>
          <w:rFonts w:ascii="Times New Roman" w:hAnsi="Times New Roman" w:cs="Times New Roman"/>
          <w:sz w:val="24"/>
          <w:szCs w:val="24"/>
        </w:rPr>
        <w:t>.</w:t>
      </w:r>
      <w:r w:rsidR="00031CDF">
        <w:rPr>
          <w:rFonts w:ascii="Times New Roman" w:hAnsi="Times New Roman" w:cs="Times New Roman"/>
          <w:sz w:val="24"/>
          <w:szCs w:val="24"/>
        </w:rPr>
        <w:tab/>
        <w:t>Ta</w:t>
      </w:r>
      <w:r w:rsidR="003816A5">
        <w:rPr>
          <w:rFonts w:ascii="Times New Roman" w:hAnsi="Times New Roman" w:cs="Times New Roman"/>
          <w:sz w:val="24"/>
          <w:szCs w:val="24"/>
        </w:rPr>
        <w:t>l</w:t>
      </w:r>
      <w:r w:rsidR="00031CDF">
        <w:rPr>
          <w:rFonts w:ascii="Times New Roman" w:hAnsi="Times New Roman" w:cs="Times New Roman"/>
          <w:sz w:val="24"/>
          <w:szCs w:val="24"/>
        </w:rPr>
        <w:t xml:space="preserve"> medida visa contribuir,</w:t>
      </w:r>
      <w:r>
        <w:rPr>
          <w:rFonts w:ascii="Times New Roman" w:hAnsi="Times New Roman" w:cs="Times New Roman"/>
          <w:sz w:val="24"/>
          <w:szCs w:val="24"/>
        </w:rPr>
        <w:t xml:space="preserve"> ainda</w:t>
      </w:r>
      <w:r w:rsidR="00031CDF">
        <w:rPr>
          <w:rFonts w:ascii="Times New Roman" w:hAnsi="Times New Roman" w:cs="Times New Roman"/>
          <w:sz w:val="24"/>
          <w:szCs w:val="24"/>
        </w:rPr>
        <w:t xml:space="preserve">, </w:t>
      </w:r>
      <w:r w:rsidR="00F70DE0">
        <w:rPr>
          <w:rFonts w:ascii="Times New Roman" w:hAnsi="Times New Roman" w:cs="Times New Roman"/>
          <w:sz w:val="24"/>
          <w:szCs w:val="24"/>
        </w:rPr>
        <w:t>no atendimento</w:t>
      </w:r>
      <w:r w:rsidR="001B172E">
        <w:rPr>
          <w:rFonts w:ascii="Times New Roman" w:hAnsi="Times New Roman" w:cs="Times New Roman"/>
          <w:sz w:val="24"/>
          <w:szCs w:val="24"/>
        </w:rPr>
        <w:t xml:space="preserve"> </w:t>
      </w:r>
      <w:r w:rsidR="00F70DE0">
        <w:rPr>
          <w:rFonts w:ascii="Times New Roman" w:hAnsi="Times New Roman" w:cs="Times New Roman"/>
          <w:sz w:val="24"/>
          <w:szCs w:val="24"/>
        </w:rPr>
        <w:t>da Política Nacional de Defesa (PND)</w:t>
      </w:r>
      <w:r w:rsidR="00382214">
        <w:rPr>
          <w:rFonts w:ascii="Times New Roman" w:hAnsi="Times New Roman" w:cs="Times New Roman"/>
          <w:sz w:val="24"/>
          <w:szCs w:val="24"/>
        </w:rPr>
        <w:t>,</w:t>
      </w:r>
      <w:r w:rsidR="00F70DE0">
        <w:rPr>
          <w:rFonts w:ascii="Times New Roman" w:hAnsi="Times New Roman" w:cs="Times New Roman"/>
          <w:sz w:val="24"/>
          <w:szCs w:val="24"/>
        </w:rPr>
        <w:t xml:space="preserve"> </w:t>
      </w:r>
      <w:r w:rsidR="001B172E">
        <w:rPr>
          <w:rFonts w:ascii="Times New Roman" w:hAnsi="Times New Roman" w:cs="Times New Roman"/>
          <w:sz w:val="24"/>
          <w:szCs w:val="24"/>
        </w:rPr>
        <w:t>d</w:t>
      </w:r>
      <w:r w:rsidR="00F70DE0">
        <w:rPr>
          <w:rFonts w:ascii="Times New Roman" w:hAnsi="Times New Roman" w:cs="Times New Roman"/>
          <w:sz w:val="24"/>
          <w:szCs w:val="24"/>
        </w:rPr>
        <w:t xml:space="preserve">a Estratégia Nacional de Defesa (END), </w:t>
      </w:r>
      <w:r w:rsidR="00382214">
        <w:rPr>
          <w:rFonts w:ascii="Times New Roman" w:hAnsi="Times New Roman" w:cs="Times New Roman"/>
          <w:sz w:val="24"/>
          <w:szCs w:val="24"/>
        </w:rPr>
        <w:t xml:space="preserve">da Estratégia Setorial de Defesa (ESD), </w:t>
      </w:r>
      <w:r w:rsidR="00031CDF">
        <w:rPr>
          <w:rFonts w:ascii="Times New Roman" w:hAnsi="Times New Roman" w:cs="Times New Roman"/>
          <w:sz w:val="24"/>
          <w:szCs w:val="24"/>
        </w:rPr>
        <w:t xml:space="preserve">no Planejamento Baseado em Capacidades (PBC), no fortalecimento da interoperabilidade das Forças </w:t>
      </w:r>
      <w:r w:rsidR="00031083">
        <w:rPr>
          <w:rFonts w:ascii="Times New Roman" w:hAnsi="Times New Roman" w:cs="Times New Roman"/>
          <w:sz w:val="24"/>
          <w:szCs w:val="24"/>
        </w:rPr>
        <w:t>Singulares (FS)</w:t>
      </w:r>
      <w:r w:rsidR="00F70DE0">
        <w:rPr>
          <w:rFonts w:ascii="Times New Roman" w:hAnsi="Times New Roman" w:cs="Times New Roman"/>
          <w:sz w:val="24"/>
          <w:szCs w:val="24"/>
        </w:rPr>
        <w:t xml:space="preserve"> e no delineamento e</w:t>
      </w:r>
      <w:r w:rsidR="000A1F2C">
        <w:rPr>
          <w:rFonts w:ascii="Times New Roman" w:hAnsi="Times New Roman" w:cs="Times New Roman"/>
          <w:sz w:val="24"/>
          <w:szCs w:val="24"/>
        </w:rPr>
        <w:t xml:space="preserve"> otimização do </w:t>
      </w:r>
      <w:r w:rsidR="00F70DE0">
        <w:rPr>
          <w:rFonts w:ascii="Times New Roman" w:hAnsi="Times New Roman" w:cs="Times New Roman"/>
          <w:sz w:val="24"/>
          <w:szCs w:val="24"/>
        </w:rPr>
        <w:t xml:space="preserve">emprego do </w:t>
      </w:r>
      <w:r w:rsidR="000A1F2C">
        <w:rPr>
          <w:rFonts w:ascii="Times New Roman" w:hAnsi="Times New Roman" w:cs="Times New Roman"/>
          <w:sz w:val="24"/>
          <w:szCs w:val="24"/>
        </w:rPr>
        <w:t>O</w:t>
      </w:r>
      <w:r w:rsidR="00F70DE0">
        <w:rPr>
          <w:rFonts w:ascii="Times New Roman" w:hAnsi="Times New Roman" w:cs="Times New Roman"/>
          <w:sz w:val="24"/>
          <w:szCs w:val="24"/>
        </w:rPr>
        <w:t>rçamento d</w:t>
      </w:r>
      <w:r w:rsidR="000A1F2C">
        <w:rPr>
          <w:rFonts w:ascii="Times New Roman" w:hAnsi="Times New Roman" w:cs="Times New Roman"/>
          <w:sz w:val="24"/>
          <w:szCs w:val="24"/>
        </w:rPr>
        <w:t>a</w:t>
      </w:r>
      <w:r w:rsidR="00F70DE0">
        <w:rPr>
          <w:rFonts w:ascii="Times New Roman" w:hAnsi="Times New Roman" w:cs="Times New Roman"/>
          <w:sz w:val="24"/>
          <w:szCs w:val="24"/>
        </w:rPr>
        <w:t xml:space="preserve"> </w:t>
      </w:r>
      <w:r w:rsidR="000A1F2C">
        <w:rPr>
          <w:rFonts w:ascii="Times New Roman" w:hAnsi="Times New Roman" w:cs="Times New Roman"/>
          <w:sz w:val="24"/>
          <w:szCs w:val="24"/>
        </w:rPr>
        <w:t>D</w:t>
      </w:r>
      <w:r w:rsidR="00F70DE0">
        <w:rPr>
          <w:rFonts w:ascii="Times New Roman" w:hAnsi="Times New Roman" w:cs="Times New Roman"/>
          <w:sz w:val="24"/>
          <w:szCs w:val="24"/>
        </w:rPr>
        <w:t>efesa</w:t>
      </w:r>
      <w:r w:rsidR="001B172E">
        <w:rPr>
          <w:rFonts w:ascii="Times New Roman" w:hAnsi="Times New Roman" w:cs="Times New Roman"/>
          <w:sz w:val="24"/>
          <w:szCs w:val="24"/>
        </w:rPr>
        <w:t>.</w:t>
      </w:r>
      <w:r w:rsidR="005702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F9D4D" w14:textId="77777777" w:rsidR="00EB598E" w:rsidRDefault="00EB598E" w:rsidP="00FA3BC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2884CE" w14:textId="051B9DE1" w:rsidR="00FA3BC2" w:rsidRDefault="000C6CC1" w:rsidP="00FA3BC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2 - </w:t>
      </w:r>
      <w:r w:rsidR="00570267">
        <w:rPr>
          <w:rFonts w:ascii="Times New Roman" w:hAnsi="Times New Roman" w:cs="Times New Roman"/>
          <w:b/>
          <w:bCs/>
          <w:sz w:val="24"/>
          <w:szCs w:val="24"/>
        </w:rPr>
        <w:t>SISTEMAS DE DEFESA</w:t>
      </w:r>
    </w:p>
    <w:p w14:paraId="5531B95F" w14:textId="19286244" w:rsidR="00C04561" w:rsidRDefault="009A2E70" w:rsidP="00410DA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PND e a END, em conjunto com a ESD, apresentam uma série de Estratégias e Ações que visam cumprir, em última instância, os Objetivos Nacionais de Defesa. </w:t>
      </w:r>
      <w:r w:rsidR="00D5446C">
        <w:rPr>
          <w:rFonts w:ascii="Times New Roman" w:hAnsi="Times New Roman" w:cs="Times New Roman"/>
          <w:sz w:val="24"/>
          <w:szCs w:val="24"/>
        </w:rPr>
        <w:t xml:space="preserve">Um desses objetivos é a promoção da autonomia tecnológica e produtiva na área de defesa, devendo o Setor estimular o desenvolvimento das potencialidades industriais do país e o crescimento econômico nacional. Os Projetos </w:t>
      </w:r>
      <w:r w:rsidR="000A1F2C">
        <w:rPr>
          <w:rFonts w:ascii="Times New Roman" w:hAnsi="Times New Roman" w:cs="Times New Roman"/>
          <w:sz w:val="24"/>
          <w:szCs w:val="24"/>
        </w:rPr>
        <w:t>para esse fim</w:t>
      </w:r>
      <w:r w:rsidR="00D5446C">
        <w:rPr>
          <w:rFonts w:ascii="Times New Roman" w:hAnsi="Times New Roman" w:cs="Times New Roman"/>
          <w:sz w:val="24"/>
          <w:szCs w:val="24"/>
        </w:rPr>
        <w:t xml:space="preserve"> deverão, </w:t>
      </w:r>
      <w:r w:rsidR="00EC3085">
        <w:rPr>
          <w:rFonts w:ascii="Times New Roman" w:hAnsi="Times New Roman" w:cs="Times New Roman"/>
          <w:sz w:val="24"/>
          <w:szCs w:val="24"/>
        </w:rPr>
        <w:t>portanto</w:t>
      </w:r>
      <w:r w:rsidR="00D5446C">
        <w:rPr>
          <w:rFonts w:ascii="Times New Roman" w:hAnsi="Times New Roman" w:cs="Times New Roman"/>
          <w:sz w:val="24"/>
          <w:szCs w:val="24"/>
        </w:rPr>
        <w:t xml:space="preserve">, considerar como requisitos </w:t>
      </w:r>
      <w:r w:rsidR="000A1F2C">
        <w:rPr>
          <w:rFonts w:ascii="Times New Roman" w:hAnsi="Times New Roman" w:cs="Times New Roman"/>
          <w:sz w:val="24"/>
          <w:szCs w:val="24"/>
        </w:rPr>
        <w:t xml:space="preserve">a </w:t>
      </w:r>
      <w:r w:rsidR="00D5446C">
        <w:rPr>
          <w:rFonts w:ascii="Times New Roman" w:hAnsi="Times New Roman" w:cs="Times New Roman"/>
          <w:sz w:val="24"/>
          <w:szCs w:val="24"/>
        </w:rPr>
        <w:t xml:space="preserve">comunalidade e a interoperabilidade dos </w:t>
      </w:r>
      <w:r w:rsidR="002B200B">
        <w:rPr>
          <w:rFonts w:ascii="Times New Roman" w:hAnsi="Times New Roman" w:cs="Times New Roman"/>
          <w:sz w:val="24"/>
          <w:szCs w:val="24"/>
        </w:rPr>
        <w:t>Sistemas de Defesa (SD)</w:t>
      </w:r>
      <w:r w:rsidR="00D5446C">
        <w:rPr>
          <w:rFonts w:ascii="Times New Roman" w:hAnsi="Times New Roman" w:cs="Times New Roman"/>
          <w:sz w:val="24"/>
          <w:szCs w:val="24"/>
        </w:rPr>
        <w:t xml:space="preserve"> e </w:t>
      </w:r>
      <w:r w:rsidR="002B200B">
        <w:rPr>
          <w:rFonts w:ascii="Times New Roman" w:hAnsi="Times New Roman" w:cs="Times New Roman"/>
          <w:sz w:val="24"/>
          <w:szCs w:val="24"/>
        </w:rPr>
        <w:t>P</w:t>
      </w:r>
      <w:r w:rsidR="00D5446C">
        <w:rPr>
          <w:rFonts w:ascii="Times New Roman" w:hAnsi="Times New Roman" w:cs="Times New Roman"/>
          <w:sz w:val="24"/>
          <w:szCs w:val="24"/>
        </w:rPr>
        <w:t xml:space="preserve">rodutos de </w:t>
      </w:r>
      <w:r w:rsidR="002B200B">
        <w:rPr>
          <w:rFonts w:ascii="Times New Roman" w:hAnsi="Times New Roman" w:cs="Times New Roman"/>
          <w:sz w:val="24"/>
          <w:szCs w:val="24"/>
        </w:rPr>
        <w:t>D</w:t>
      </w:r>
      <w:r w:rsidR="00D5446C">
        <w:rPr>
          <w:rFonts w:ascii="Times New Roman" w:hAnsi="Times New Roman" w:cs="Times New Roman"/>
          <w:sz w:val="24"/>
          <w:szCs w:val="24"/>
        </w:rPr>
        <w:t>efesa</w:t>
      </w:r>
      <w:r w:rsidR="002B200B">
        <w:rPr>
          <w:rFonts w:ascii="Times New Roman" w:hAnsi="Times New Roman" w:cs="Times New Roman"/>
          <w:sz w:val="24"/>
          <w:szCs w:val="24"/>
        </w:rPr>
        <w:t xml:space="preserve"> (PRODE)</w:t>
      </w:r>
      <w:r w:rsidR="002234A9">
        <w:rPr>
          <w:rFonts w:ascii="Times New Roman" w:hAnsi="Times New Roman" w:cs="Times New Roman"/>
          <w:sz w:val="24"/>
          <w:szCs w:val="24"/>
        </w:rPr>
        <w:t>,</w:t>
      </w:r>
      <w:r w:rsidR="00D5446C">
        <w:rPr>
          <w:rFonts w:ascii="Times New Roman" w:hAnsi="Times New Roman" w:cs="Times New Roman"/>
          <w:sz w:val="24"/>
          <w:szCs w:val="24"/>
        </w:rPr>
        <w:t xml:space="preserve"> racionalizar a aplicação de recursos orçamentários e garantir, nas decisões de obtenção, a prevalência do compromisso com o desenvolvimento das capacitações tecnológicas nacionais em </w:t>
      </w:r>
      <w:r w:rsidR="00D374C1">
        <w:rPr>
          <w:rFonts w:ascii="Times New Roman" w:hAnsi="Times New Roman" w:cs="Times New Roman"/>
          <w:sz w:val="24"/>
          <w:szCs w:val="24"/>
        </w:rPr>
        <w:t>P</w:t>
      </w:r>
      <w:r w:rsidR="002B200B">
        <w:rPr>
          <w:rFonts w:ascii="Times New Roman" w:hAnsi="Times New Roman" w:cs="Times New Roman"/>
          <w:sz w:val="24"/>
          <w:szCs w:val="24"/>
        </w:rPr>
        <w:t>RODE</w:t>
      </w:r>
      <w:r w:rsidR="00D5446C">
        <w:rPr>
          <w:rFonts w:ascii="Times New Roman" w:hAnsi="Times New Roman" w:cs="Times New Roman"/>
          <w:sz w:val="24"/>
          <w:szCs w:val="24"/>
        </w:rPr>
        <w:t>.</w:t>
      </w:r>
    </w:p>
    <w:p w14:paraId="2F3925AD" w14:textId="2032D0C8" w:rsidR="009A2E70" w:rsidRDefault="009A2E70" w:rsidP="009A2E7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</w:t>
      </w:r>
      <w:r w:rsidR="00EF06DA">
        <w:rPr>
          <w:rFonts w:ascii="Times New Roman" w:hAnsi="Times New Roman" w:cs="Times New Roman"/>
          <w:sz w:val="24"/>
          <w:szCs w:val="24"/>
        </w:rPr>
        <w:t>consonância</w:t>
      </w:r>
      <w:r w:rsidR="003822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 essas prerrogativas, a</w:t>
      </w:r>
      <w:r w:rsidR="00410DA7">
        <w:rPr>
          <w:rFonts w:ascii="Times New Roman" w:hAnsi="Times New Roman" w:cs="Times New Roman"/>
          <w:sz w:val="24"/>
          <w:szCs w:val="24"/>
        </w:rPr>
        <w:t xml:space="preserve"> implantação e consolidação da</w:t>
      </w:r>
      <w:r>
        <w:rPr>
          <w:rFonts w:ascii="Times New Roman" w:hAnsi="Times New Roman" w:cs="Times New Roman"/>
          <w:sz w:val="24"/>
          <w:szCs w:val="24"/>
        </w:rPr>
        <w:t xml:space="preserve"> GCVSD </w:t>
      </w:r>
      <w:r w:rsidR="00382214">
        <w:rPr>
          <w:rFonts w:ascii="Times New Roman" w:hAnsi="Times New Roman" w:cs="Times New Roman"/>
          <w:sz w:val="24"/>
          <w:szCs w:val="24"/>
        </w:rPr>
        <w:t>no M</w:t>
      </w:r>
      <w:r w:rsidR="001B291B">
        <w:rPr>
          <w:rFonts w:ascii="Times New Roman" w:hAnsi="Times New Roman" w:cs="Times New Roman"/>
          <w:sz w:val="24"/>
          <w:szCs w:val="24"/>
        </w:rPr>
        <w:t xml:space="preserve">inistério da </w:t>
      </w:r>
      <w:r w:rsidR="00382214">
        <w:rPr>
          <w:rFonts w:ascii="Times New Roman" w:hAnsi="Times New Roman" w:cs="Times New Roman"/>
          <w:sz w:val="24"/>
          <w:szCs w:val="24"/>
        </w:rPr>
        <w:t>D</w:t>
      </w:r>
      <w:r w:rsidR="001B291B">
        <w:rPr>
          <w:rFonts w:ascii="Times New Roman" w:hAnsi="Times New Roman" w:cs="Times New Roman"/>
          <w:sz w:val="24"/>
          <w:szCs w:val="24"/>
        </w:rPr>
        <w:t>efesa (MD)</w:t>
      </w:r>
      <w:r w:rsidR="00382214">
        <w:rPr>
          <w:rFonts w:ascii="Times New Roman" w:hAnsi="Times New Roman" w:cs="Times New Roman"/>
          <w:sz w:val="24"/>
          <w:szCs w:val="24"/>
        </w:rPr>
        <w:t xml:space="preserve"> e </w:t>
      </w:r>
      <w:r w:rsidR="00410DA7">
        <w:rPr>
          <w:rFonts w:ascii="Times New Roman" w:hAnsi="Times New Roman" w:cs="Times New Roman"/>
          <w:sz w:val="24"/>
          <w:szCs w:val="24"/>
        </w:rPr>
        <w:t xml:space="preserve">nas FS </w:t>
      </w:r>
      <w:r>
        <w:rPr>
          <w:rFonts w:ascii="Times New Roman" w:hAnsi="Times New Roman" w:cs="Times New Roman"/>
          <w:sz w:val="24"/>
          <w:szCs w:val="24"/>
        </w:rPr>
        <w:t xml:space="preserve">tem o objetivo de planejar, obter, manter e otimizar as </w:t>
      </w:r>
      <w:r w:rsidR="002234A9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apacidades </w:t>
      </w:r>
      <w:r w:rsidR="002234A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ilitares de Defesa, considerando o desempenho, a segurança, </w:t>
      </w:r>
      <w:r>
        <w:rPr>
          <w:rFonts w:ascii="Times New Roman" w:hAnsi="Times New Roman" w:cs="Times New Roman"/>
          <w:sz w:val="24"/>
          <w:szCs w:val="24"/>
        </w:rPr>
        <w:lastRenderedPageBreak/>
        <w:t>a qualidade e o custo ao longo de todo o Ciclo de Vida</w:t>
      </w:r>
      <w:r w:rsidR="008F6B8D">
        <w:rPr>
          <w:rFonts w:ascii="Times New Roman" w:hAnsi="Times New Roman" w:cs="Times New Roman"/>
          <w:sz w:val="24"/>
          <w:szCs w:val="24"/>
        </w:rPr>
        <w:t xml:space="preserve"> (CV)</w:t>
      </w:r>
      <w:r w:rsidR="00382214">
        <w:rPr>
          <w:rFonts w:ascii="Times New Roman" w:hAnsi="Times New Roman" w:cs="Times New Roman"/>
          <w:sz w:val="24"/>
          <w:szCs w:val="24"/>
        </w:rPr>
        <w:t>, estabelecendo um relacionamento estratégico com a BID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026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E66A7AB" w14:textId="77A9FE02" w:rsidR="009F74EF" w:rsidRDefault="00410DA7" w:rsidP="00381F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</w:t>
      </w:r>
      <w:r w:rsidR="00D5446C">
        <w:rPr>
          <w:rFonts w:ascii="Times New Roman" w:hAnsi="Times New Roman" w:cs="Times New Roman"/>
          <w:sz w:val="24"/>
          <w:szCs w:val="24"/>
        </w:rPr>
        <w:t xml:space="preserve"> operacionalizar </w:t>
      </w:r>
      <w:r w:rsidR="00A95AD0">
        <w:rPr>
          <w:rFonts w:ascii="Times New Roman" w:hAnsi="Times New Roman" w:cs="Times New Roman"/>
          <w:sz w:val="24"/>
          <w:szCs w:val="24"/>
        </w:rPr>
        <w:t xml:space="preserve">e incentivar </w:t>
      </w:r>
      <w:r w:rsidR="00D5446C">
        <w:rPr>
          <w:rFonts w:ascii="Times New Roman" w:hAnsi="Times New Roman" w:cs="Times New Roman"/>
          <w:sz w:val="24"/>
          <w:szCs w:val="24"/>
        </w:rPr>
        <w:t>as Políticas de Defesa voltadas para o fomento da BID, foi sanci</w:t>
      </w:r>
      <w:r w:rsidR="00094EA1">
        <w:rPr>
          <w:rFonts w:ascii="Times New Roman" w:hAnsi="Times New Roman" w:cs="Times New Roman"/>
          <w:sz w:val="24"/>
          <w:szCs w:val="24"/>
        </w:rPr>
        <w:t>o</w:t>
      </w:r>
      <w:r w:rsidR="00D5446C">
        <w:rPr>
          <w:rFonts w:ascii="Times New Roman" w:hAnsi="Times New Roman" w:cs="Times New Roman"/>
          <w:sz w:val="24"/>
          <w:szCs w:val="24"/>
        </w:rPr>
        <w:t xml:space="preserve">nada a Lei nº 12.598/2012, prevendo normas especiais para as compras, contratações e desenvolvimento de </w:t>
      </w:r>
      <w:r w:rsidR="00A95AD0">
        <w:rPr>
          <w:rFonts w:ascii="Times New Roman" w:hAnsi="Times New Roman" w:cs="Times New Roman"/>
          <w:sz w:val="24"/>
          <w:szCs w:val="24"/>
        </w:rPr>
        <w:t>PRODE</w:t>
      </w:r>
      <w:r w:rsidR="00D5446C">
        <w:rPr>
          <w:rFonts w:ascii="Times New Roman" w:hAnsi="Times New Roman" w:cs="Times New Roman"/>
          <w:sz w:val="24"/>
          <w:szCs w:val="24"/>
        </w:rPr>
        <w:t xml:space="preserve"> e SD. Nela, a</w:t>
      </w:r>
      <w:r w:rsidR="00570267">
        <w:rPr>
          <w:rFonts w:ascii="Times New Roman" w:hAnsi="Times New Roman" w:cs="Times New Roman"/>
          <w:sz w:val="24"/>
          <w:szCs w:val="24"/>
        </w:rPr>
        <w:t xml:space="preserve"> definição de SD se dá como</w:t>
      </w:r>
      <w:r w:rsidR="00D5446C">
        <w:rPr>
          <w:rFonts w:ascii="Times New Roman" w:hAnsi="Times New Roman" w:cs="Times New Roman"/>
          <w:sz w:val="24"/>
          <w:szCs w:val="24"/>
        </w:rPr>
        <w:t xml:space="preserve"> o</w:t>
      </w:r>
      <w:r w:rsidR="00570267">
        <w:rPr>
          <w:rFonts w:ascii="Times New Roman" w:hAnsi="Times New Roman" w:cs="Times New Roman"/>
          <w:sz w:val="24"/>
          <w:szCs w:val="24"/>
        </w:rPr>
        <w:t xml:space="preserve"> “conjunto inter-relacionado ou interativo de P</w:t>
      </w:r>
      <w:r w:rsidR="00A95AD0">
        <w:rPr>
          <w:rFonts w:ascii="Times New Roman" w:hAnsi="Times New Roman" w:cs="Times New Roman"/>
          <w:sz w:val="24"/>
          <w:szCs w:val="24"/>
        </w:rPr>
        <w:t>RODE</w:t>
      </w:r>
      <w:r w:rsidR="00570267">
        <w:rPr>
          <w:rFonts w:ascii="Times New Roman" w:hAnsi="Times New Roman" w:cs="Times New Roman"/>
          <w:sz w:val="24"/>
          <w:szCs w:val="24"/>
        </w:rPr>
        <w:t xml:space="preserve"> que atenda uma finalidade específica”. </w:t>
      </w:r>
      <w:r w:rsidR="00A95AD0">
        <w:rPr>
          <w:rFonts w:ascii="Times New Roman" w:hAnsi="Times New Roman" w:cs="Times New Roman"/>
          <w:sz w:val="24"/>
          <w:szCs w:val="24"/>
        </w:rPr>
        <w:t>Este, por sua vez</w:t>
      </w:r>
      <w:r w:rsidR="00D5446C">
        <w:rPr>
          <w:rFonts w:ascii="Times New Roman" w:hAnsi="Times New Roman" w:cs="Times New Roman"/>
          <w:sz w:val="24"/>
          <w:szCs w:val="24"/>
        </w:rPr>
        <w:t>, define-se como</w:t>
      </w:r>
      <w:r w:rsidR="00201BC5">
        <w:rPr>
          <w:rFonts w:ascii="Times New Roman" w:hAnsi="Times New Roman" w:cs="Times New Roman"/>
          <w:sz w:val="24"/>
          <w:szCs w:val="24"/>
        </w:rPr>
        <w:t xml:space="preserve"> “todo bem, serviço, obra ou informação, inclusive armamentos, munições, meios de transporte e de comunicações, fardamentos e materiais de uso individual e coletivo utilizados nas atividades finalísticas de defesa, com exceção daqueles de uso administrativo”.</w:t>
      </w:r>
      <w:r w:rsidR="000C6C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B431D" w14:textId="16E04E60" w:rsidR="003D57AC" w:rsidRDefault="003D57AC" w:rsidP="003D57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 tabela abaixo compara o alinhamento da metodologia da GCVSD com as orientações estratégicas provenientes da </w:t>
      </w:r>
      <w:r w:rsidR="0038221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olítica de Obtenção de PRODE: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2"/>
        <w:gridCol w:w="4332"/>
      </w:tblGrid>
      <w:tr w:rsidR="00A42AAA" w:rsidRPr="00F762FE" w14:paraId="28DE3AEB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455D2742" w14:textId="77777777" w:rsidR="00A42AAA" w:rsidRPr="00F762FE" w:rsidRDefault="00A42AAA" w:rsidP="00E53C5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Orientações estratégicas contidas na Política</w:t>
            </w: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de Obtenção de PRODE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21B7F27C" w14:textId="77777777" w:rsidR="00A42AAA" w:rsidRPr="00F762FE" w:rsidRDefault="00A42AAA" w:rsidP="00E53C5D">
            <w:pPr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A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linhamento com </w:t>
            </w: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a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GCVSD</w:t>
            </w:r>
          </w:p>
        </w:tc>
      </w:tr>
      <w:tr w:rsidR="00A42AAA" w:rsidRPr="00F762FE" w14:paraId="6E30914B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708701DD" w14:textId="1F4D211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Art. 10 Obtenção baseada em </w:t>
            </w:r>
            <w:r w:rsidR="00EF06D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C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apacidades </w:t>
            </w:r>
            <w:r w:rsidR="00EF06D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M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ilitares:</w:t>
            </w:r>
          </w:p>
          <w:p w14:paraId="065F79D8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III - estimular a interoperabilidade operacional e logística das Forças Armadas;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17D1FF01" w14:textId="0D5CB241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O princípio da interoperabilidade é um dos basilares da metodologia de GCVSD e estabelece que o MD e as FS devem prover sistemas que satisfaçam as Capacidades Militares e a interoperabilidade previstas no Planejamento Baseado em Capacidades (PBC).</w:t>
            </w: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</w:t>
            </w:r>
          </w:p>
        </w:tc>
      </w:tr>
      <w:tr w:rsidR="00A42AAA" w:rsidRPr="00F762FE" w14:paraId="256915B6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5842D278" w14:textId="4A5D670B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Art. 11 </w:t>
            </w:r>
            <w:r w:rsidR="000C6CC1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A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brangência da sistemática de obtenção de PRODE </w:t>
            </w:r>
          </w:p>
          <w:p w14:paraId="169138E9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III - realizar a seleção do PRODE, respeitando a legislação em vigor e observando as boas práticas do gerenciamento de riscos, controle de qualidade, testes e avaliações prévias, engenharia de sistemas, gerenciamento de processos e de requisitos.</w:t>
            </w:r>
          </w:p>
          <w:p w14:paraId="5C410B06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4650D0DA" w14:textId="024B47B4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As atividades de GCVSD podem ser organizadas em áreas de conhecimento que preenchem a demanda por </w:t>
            </w:r>
            <w:r w:rsidRPr="00CF193A">
              <w:rPr>
                <w:rFonts w:ascii="Times New Roman" w:hAnsi="Times New Roman" w:cs="Times New Roman"/>
                <w:bCs/>
                <w:sz w:val="20"/>
                <w:szCs w:val="20"/>
                <w:lang w:eastAsia="he-IL" w:bidi="he-IL"/>
              </w:rPr>
              <w:t>observação das boas práticas em gerenciamento de riscos, engenharia de sistemas, gerenciamento de processos e de requisitos. Além disso, o controle de qualidade, testes e avaliações prévias devem ser inseridos nas atividades de GCVSD relacionadas à Gestão da Qualidade.</w:t>
            </w:r>
            <w:r w:rsidRPr="00F762FE">
              <w:rPr>
                <w:rFonts w:ascii="Times New Roman" w:hAnsi="Times New Roman" w:cs="Times New Roman"/>
                <w:b/>
                <w:sz w:val="20"/>
                <w:szCs w:val="20"/>
                <w:lang w:eastAsia="he-IL" w:bidi="he-IL"/>
              </w:rPr>
              <w:t xml:space="preserve"> </w:t>
            </w:r>
          </w:p>
        </w:tc>
      </w:tr>
      <w:tr w:rsidR="00A42AAA" w:rsidRPr="00F762FE" w14:paraId="2BDCAC5E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4B72AAC7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IV, §1º - A padronização de conceitos, doutrinas, procedimentos, sistemas e materiais entre as Forças Armadas deverá ser estimulada quando se tratar de assuntos afetos à obtenção de PRODE, intensificando-se o uso do conceito de interoperabilidade.</w:t>
            </w:r>
          </w:p>
          <w:p w14:paraId="090E6EF6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09C37E9B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Apesar de preencher lacunas no arcabouço </w:t>
            </w:r>
            <w:r w:rsidRPr="00CF193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normativo apresentado, o Manual de Boas Práticas para a GCVSD é uma espécie normativa distinta das atuais normas em vigor sobre os temas relacionados. O referido manual se traduziu no esforço de padronização de processos e atividades da metodologia de GCVSD entre o MD e as FS.</w:t>
            </w:r>
            <w:r w:rsidRPr="00F762FE">
              <w:rPr>
                <w:rFonts w:ascii="Times New Roman" w:hAnsi="Times New Roman" w:cs="Times New Roman"/>
                <w:b/>
                <w:sz w:val="20"/>
                <w:szCs w:val="20"/>
                <w:lang w:eastAsia="he-IL" w:bidi="he-IL"/>
              </w:rPr>
              <w:t xml:space="preserve">  </w:t>
            </w:r>
          </w:p>
        </w:tc>
      </w:tr>
      <w:tr w:rsidR="00A42AAA" w:rsidRPr="00F762FE" w14:paraId="21952784" w14:textId="77777777" w:rsidTr="00E53C5D">
        <w:tc>
          <w:tcPr>
            <w:tcW w:w="8504" w:type="dxa"/>
            <w:gridSpan w:val="2"/>
            <w:tcBorders>
              <w:bottom w:val="single" w:sz="4" w:space="0" w:color="auto"/>
            </w:tcBorders>
          </w:tcPr>
          <w:p w14:paraId="4BCD647F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Diretrizes de Obtenção Conjunta de PRODE e SD (PN nº 78/2019)</w:t>
            </w:r>
          </w:p>
        </w:tc>
      </w:tr>
      <w:tr w:rsidR="00A42AAA" w:rsidRPr="00F762FE" w14:paraId="6145AB43" w14:textId="77777777" w:rsidTr="00E53C5D">
        <w:tc>
          <w:tcPr>
            <w:tcW w:w="8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9C273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Objetivo: estabelecer um processo analítico conjunto para a obtenção de PRODE e de SD no âmbito do Ministério da Defesa e das Forças Armadas, tendo em vista a necessidade de coordenação de projetos comuns, além de propiciar a interoperabilidade entre as Forças Armadas e o fomento à BID.</w:t>
            </w:r>
          </w:p>
        </w:tc>
      </w:tr>
      <w:tr w:rsidR="00A42AAA" w:rsidRPr="00F762FE" w14:paraId="1CF61482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48C82259" w14:textId="10B3BF25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Art. 4º IV - </w:t>
            </w:r>
            <w:bookmarkStart w:id="1" w:name="_Hlk70446890"/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atuar junto às I</w:t>
            </w:r>
            <w:r w:rsidR="000C6CC1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nstituições 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C</w:t>
            </w:r>
            <w:r w:rsidR="000C6CC1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ientíficas, 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T</w:t>
            </w:r>
            <w:r w:rsidR="000C6CC1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ecnológicas e de Inovação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, organizações de direito privado e indústrias da BID, a fim de permitir troca</w:t>
            </w: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de informações, desenvolvimento de competências específicas e incremento na capacidade operativa</w:t>
            </w:r>
            <w:bookmarkEnd w:id="1"/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40DA9795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Um dos </w:t>
            </w:r>
            <w:r w:rsidRPr="00CF193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princípios da GCVSD é o Princípio da Indústria que prevê a adoção de um aspecto colaborativo com a BID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, mediante a exploração de novas tecnologias e compartilhamento de “expertises” estratégicas</w:t>
            </w:r>
          </w:p>
        </w:tc>
      </w:tr>
      <w:tr w:rsidR="00A42AAA" w:rsidRPr="00F762FE" w14:paraId="1E4D67AC" w14:textId="77777777" w:rsidTr="00E53C5D">
        <w:tc>
          <w:tcPr>
            <w:tcW w:w="4172" w:type="dxa"/>
            <w:tcBorders>
              <w:top w:val="single" w:sz="4" w:space="0" w:color="auto"/>
              <w:bottom w:val="single" w:sz="4" w:space="0" w:color="auto"/>
            </w:tcBorders>
          </w:tcPr>
          <w:p w14:paraId="277D8FDA" w14:textId="77777777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Art. 4º VIII - otimizar as ações orçamentárias pertinentes, a fim de viabilizar as obtenções conjuntas de</w:t>
            </w:r>
            <w:r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PRODE e de SD.</w:t>
            </w:r>
          </w:p>
        </w:tc>
        <w:tc>
          <w:tcPr>
            <w:tcW w:w="4332" w:type="dxa"/>
            <w:tcBorders>
              <w:top w:val="single" w:sz="4" w:space="0" w:color="auto"/>
              <w:bottom w:val="single" w:sz="4" w:space="0" w:color="auto"/>
            </w:tcBorders>
          </w:tcPr>
          <w:p w14:paraId="170462C2" w14:textId="4350DDA2" w:rsidR="00A42AAA" w:rsidRPr="00F762FE" w:rsidRDefault="00A42AAA" w:rsidP="00E53C5D">
            <w:pPr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</w:pP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Uma das razões para se adotar a G</w:t>
            </w:r>
            <w:r w:rsidR="00B74BD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>CVSD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é a otimização de recursos</w:t>
            </w:r>
            <w:r w:rsidR="00B74BDA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 por meio da estimativa e controle de custos por todo o CV</w:t>
            </w:r>
            <w:r w:rsidRPr="00F762FE">
              <w:rPr>
                <w:rFonts w:ascii="Times New Roman" w:hAnsi="Times New Roman" w:cs="Times New Roman"/>
                <w:sz w:val="20"/>
                <w:szCs w:val="20"/>
                <w:lang w:eastAsia="he-IL" w:bidi="he-IL"/>
              </w:rPr>
              <w:t xml:space="preserve">.  </w:t>
            </w:r>
          </w:p>
        </w:tc>
      </w:tr>
    </w:tbl>
    <w:p w14:paraId="3EB87494" w14:textId="2FD307D1" w:rsidR="00A42AAA" w:rsidRDefault="00A42AAA" w:rsidP="00381F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1C9447" w14:textId="49245A17" w:rsidR="00031083" w:rsidRPr="00031083" w:rsidRDefault="000C6CC1" w:rsidP="0003108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3 - </w:t>
      </w:r>
      <w:r w:rsidR="00031083" w:rsidRPr="00031083">
        <w:rPr>
          <w:rFonts w:ascii="Times New Roman" w:hAnsi="Times New Roman" w:cs="Times New Roman"/>
          <w:b/>
          <w:bCs/>
          <w:sz w:val="24"/>
          <w:szCs w:val="24"/>
        </w:rPr>
        <w:t>MOTIV</w:t>
      </w:r>
      <w:r w:rsidR="00031083">
        <w:rPr>
          <w:rFonts w:ascii="Times New Roman" w:hAnsi="Times New Roman" w:cs="Times New Roman"/>
          <w:b/>
          <w:bCs/>
          <w:sz w:val="24"/>
          <w:szCs w:val="24"/>
        </w:rPr>
        <w:t>AÇÕES</w:t>
      </w:r>
      <w:r w:rsidR="00031083" w:rsidRPr="00031083">
        <w:rPr>
          <w:rFonts w:ascii="Times New Roman" w:hAnsi="Times New Roman" w:cs="Times New Roman"/>
          <w:b/>
          <w:bCs/>
          <w:sz w:val="24"/>
          <w:szCs w:val="24"/>
        </w:rPr>
        <w:t xml:space="preserve"> PARA </w:t>
      </w:r>
      <w:r w:rsidR="00C3329E">
        <w:rPr>
          <w:rFonts w:ascii="Times New Roman" w:hAnsi="Times New Roman" w:cs="Times New Roman"/>
          <w:b/>
          <w:bCs/>
          <w:sz w:val="24"/>
          <w:szCs w:val="24"/>
        </w:rPr>
        <w:t>IMPLANTAÇÃO E CONSOLIDAÇÃO</w:t>
      </w:r>
      <w:r w:rsidR="00031083" w:rsidRPr="00031083">
        <w:rPr>
          <w:rFonts w:ascii="Times New Roman" w:hAnsi="Times New Roman" w:cs="Times New Roman"/>
          <w:b/>
          <w:bCs/>
          <w:sz w:val="24"/>
          <w:szCs w:val="24"/>
        </w:rPr>
        <w:t xml:space="preserve"> DA GCVSD</w:t>
      </w:r>
    </w:p>
    <w:p w14:paraId="49C9087D" w14:textId="41391A1F" w:rsidR="006C1CB8" w:rsidRDefault="00031083" w:rsidP="002958E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razão da implantação </w:t>
      </w:r>
      <w:r w:rsidR="008A0442">
        <w:rPr>
          <w:rFonts w:ascii="Times New Roman" w:hAnsi="Times New Roman" w:cs="Times New Roman"/>
          <w:sz w:val="24"/>
          <w:szCs w:val="24"/>
        </w:rPr>
        <w:t xml:space="preserve">e consolidação </w:t>
      </w:r>
      <w:r>
        <w:rPr>
          <w:rFonts w:ascii="Times New Roman" w:hAnsi="Times New Roman" w:cs="Times New Roman"/>
          <w:sz w:val="24"/>
          <w:szCs w:val="24"/>
        </w:rPr>
        <w:t>da metodologia da GCVSD, no âmbito</w:t>
      </w:r>
      <w:r w:rsidR="00B74BDA">
        <w:rPr>
          <w:rFonts w:ascii="Times New Roman" w:hAnsi="Times New Roman" w:cs="Times New Roman"/>
          <w:sz w:val="24"/>
          <w:szCs w:val="24"/>
        </w:rPr>
        <w:t xml:space="preserve"> do MD e</w:t>
      </w:r>
      <w:r>
        <w:rPr>
          <w:rFonts w:ascii="Times New Roman" w:hAnsi="Times New Roman" w:cs="Times New Roman"/>
          <w:sz w:val="24"/>
          <w:szCs w:val="24"/>
        </w:rPr>
        <w:t xml:space="preserve"> das FS, possui as seguintes causas:</w:t>
      </w:r>
    </w:p>
    <w:p w14:paraId="7588D979" w14:textId="30E57098" w:rsidR="00BE0524" w:rsidRDefault="00BE0524" w:rsidP="008F6B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Mitigar </w:t>
      </w:r>
      <w:r w:rsidR="009F74EF">
        <w:rPr>
          <w:rFonts w:ascii="Times New Roman" w:hAnsi="Times New Roman" w:cs="Times New Roman"/>
          <w:sz w:val="24"/>
          <w:szCs w:val="24"/>
        </w:rPr>
        <w:t xml:space="preserve">e gerenciar </w:t>
      </w:r>
      <w:r>
        <w:rPr>
          <w:rFonts w:ascii="Times New Roman" w:hAnsi="Times New Roman" w:cs="Times New Roman"/>
          <w:sz w:val="24"/>
          <w:szCs w:val="24"/>
        </w:rPr>
        <w:t>riscos, reduzir tempos de obtenção, assegurar que os SD obtidos cumpram sua finalidade,</w:t>
      </w:r>
      <w:r w:rsidR="002958E3">
        <w:rPr>
          <w:rFonts w:ascii="Times New Roman" w:hAnsi="Times New Roman" w:cs="Times New Roman"/>
          <w:sz w:val="24"/>
          <w:szCs w:val="24"/>
        </w:rPr>
        <w:t xml:space="preserve"> além de</w:t>
      </w:r>
      <w:r>
        <w:rPr>
          <w:rFonts w:ascii="Times New Roman" w:hAnsi="Times New Roman" w:cs="Times New Roman"/>
          <w:sz w:val="24"/>
          <w:szCs w:val="24"/>
        </w:rPr>
        <w:t xml:space="preserve"> identificar, quantificar e controlar os Custos de Ciclo de Vida (CCV);</w:t>
      </w:r>
    </w:p>
    <w:p w14:paraId="633D7C18" w14:textId="583C75E2" w:rsidR="00BE0524" w:rsidRPr="003C08F1" w:rsidRDefault="00BE0524" w:rsidP="003C08F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Garantir que os processos usados ao longo dos projetos de obtenção de SD sejam consistentes, harmonizados e que haja compartilhamento de recursos, informação e tecnologias de maneira efetiva e sustentável;</w:t>
      </w:r>
    </w:p>
    <w:p w14:paraId="6A84CA37" w14:textId="39A12157" w:rsidR="000949B9" w:rsidRPr="008F6B8D" w:rsidRDefault="000949B9" w:rsidP="008F6B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8D">
        <w:rPr>
          <w:rFonts w:ascii="Times New Roman" w:hAnsi="Times New Roman" w:cs="Times New Roman"/>
          <w:sz w:val="24"/>
          <w:szCs w:val="24"/>
        </w:rPr>
        <w:t>garantir que as necessidades e requisitos operacionais sejam efetivamente transformados em uma solução de projeto de sistema integrado por meio de todas as fases do CV;</w:t>
      </w:r>
    </w:p>
    <w:p w14:paraId="1110C4DC" w14:textId="7ADA6700" w:rsidR="000949B9" w:rsidRPr="008F6B8D" w:rsidRDefault="000949B9" w:rsidP="008F6B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B8D">
        <w:rPr>
          <w:rFonts w:ascii="Times New Roman" w:hAnsi="Times New Roman" w:cs="Times New Roman"/>
          <w:sz w:val="24"/>
          <w:szCs w:val="24"/>
        </w:rPr>
        <w:t xml:space="preserve">contribuir </w:t>
      </w:r>
      <w:r w:rsidR="00B74BDA">
        <w:rPr>
          <w:rFonts w:ascii="Times New Roman" w:hAnsi="Times New Roman" w:cs="Times New Roman"/>
          <w:sz w:val="24"/>
          <w:szCs w:val="24"/>
        </w:rPr>
        <w:t xml:space="preserve">para </w:t>
      </w:r>
      <w:r w:rsidR="00381FCD">
        <w:rPr>
          <w:rFonts w:ascii="Times New Roman" w:hAnsi="Times New Roman" w:cs="Times New Roman"/>
          <w:sz w:val="24"/>
          <w:szCs w:val="24"/>
        </w:rPr>
        <w:t>que os projetos de produção contenham</w:t>
      </w:r>
      <w:r w:rsidR="000C6CC1">
        <w:rPr>
          <w:rFonts w:ascii="Times New Roman" w:hAnsi="Times New Roman" w:cs="Times New Roman"/>
          <w:sz w:val="24"/>
          <w:szCs w:val="24"/>
        </w:rPr>
        <w:t>,</w:t>
      </w:r>
      <w:r w:rsidR="00381FCD">
        <w:rPr>
          <w:rFonts w:ascii="Times New Roman" w:hAnsi="Times New Roman" w:cs="Times New Roman"/>
          <w:sz w:val="24"/>
          <w:szCs w:val="24"/>
        </w:rPr>
        <w:t xml:space="preserve"> em seu desenvolvimento</w:t>
      </w:r>
      <w:r w:rsidR="000C6CC1">
        <w:rPr>
          <w:rFonts w:ascii="Times New Roman" w:hAnsi="Times New Roman" w:cs="Times New Roman"/>
          <w:sz w:val="24"/>
          <w:szCs w:val="24"/>
        </w:rPr>
        <w:t>,</w:t>
      </w:r>
      <w:r w:rsidR="00381FCD">
        <w:rPr>
          <w:rFonts w:ascii="Times New Roman" w:hAnsi="Times New Roman" w:cs="Times New Roman"/>
          <w:sz w:val="24"/>
          <w:szCs w:val="24"/>
        </w:rPr>
        <w:t xml:space="preserve"> o índice máximo de nacionalização e compensação</w:t>
      </w:r>
      <w:r w:rsidR="00381FCD" w:rsidRPr="008F6B8D">
        <w:rPr>
          <w:rFonts w:ascii="Times New Roman" w:hAnsi="Times New Roman" w:cs="Times New Roman"/>
          <w:sz w:val="24"/>
          <w:szCs w:val="24"/>
        </w:rPr>
        <w:t xml:space="preserve"> </w:t>
      </w:r>
      <w:r w:rsidRPr="008F6B8D">
        <w:rPr>
          <w:rFonts w:ascii="Times New Roman" w:hAnsi="Times New Roman" w:cs="Times New Roman"/>
          <w:sz w:val="24"/>
          <w:szCs w:val="24"/>
        </w:rPr>
        <w:t>para a capacitação e autonomia da BID em tecnologias e produtos estratégicos da Defesa;</w:t>
      </w:r>
    </w:p>
    <w:p w14:paraId="09C494A1" w14:textId="38C72ECD" w:rsidR="008F6B8D" w:rsidRDefault="008F6B8D" w:rsidP="008F6B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controlar e acompanhar os custos das fases de operação, apoio e desfazimento, de forma a</w:t>
      </w:r>
      <w:r w:rsidR="00D75CD7">
        <w:rPr>
          <w:rFonts w:ascii="Times New Roman" w:hAnsi="Times New Roman" w:cs="Times New Roman"/>
          <w:sz w:val="24"/>
          <w:szCs w:val="24"/>
        </w:rPr>
        <w:t xml:space="preserve"> manter a sustentabilidade fiscal, a efetiv</w:t>
      </w:r>
      <w:r w:rsidR="008A0442">
        <w:rPr>
          <w:rFonts w:ascii="Times New Roman" w:hAnsi="Times New Roman" w:cs="Times New Roman"/>
          <w:sz w:val="24"/>
          <w:szCs w:val="24"/>
        </w:rPr>
        <w:t>i</w:t>
      </w:r>
      <w:r w:rsidR="00D75CD7">
        <w:rPr>
          <w:rFonts w:ascii="Times New Roman" w:hAnsi="Times New Roman" w:cs="Times New Roman"/>
          <w:sz w:val="24"/>
          <w:szCs w:val="24"/>
        </w:rPr>
        <w:t>dade do sistema, fomentar a BID e</w:t>
      </w:r>
      <w:r>
        <w:rPr>
          <w:rFonts w:ascii="Times New Roman" w:hAnsi="Times New Roman" w:cs="Times New Roman"/>
          <w:sz w:val="24"/>
          <w:szCs w:val="24"/>
        </w:rPr>
        <w:t xml:space="preserve"> minimizar os dispêndios no pós-investimento;</w:t>
      </w:r>
      <w:r w:rsidR="00D75CD7" w:rsidRPr="00D75CD7">
        <w:rPr>
          <w:rFonts w:ascii="Times New Roman" w:hAnsi="Times New Roman" w:cs="Times New Roman"/>
          <w:sz w:val="24"/>
          <w:szCs w:val="24"/>
        </w:rPr>
        <w:t xml:space="preserve"> </w:t>
      </w:r>
      <w:r w:rsidR="008A0442">
        <w:rPr>
          <w:rFonts w:ascii="Times New Roman" w:hAnsi="Times New Roman" w:cs="Times New Roman"/>
          <w:sz w:val="24"/>
          <w:szCs w:val="24"/>
        </w:rPr>
        <w:t>e</w:t>
      </w:r>
    </w:p>
    <w:p w14:paraId="7D33D8CF" w14:textId="4C5B4371" w:rsidR="008F6B8D" w:rsidRDefault="008F6B8D" w:rsidP="008F6B8D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avaliar a relação: Custo x Desempenho do SD</w:t>
      </w:r>
      <w:r w:rsidR="00CE0073">
        <w:rPr>
          <w:rFonts w:ascii="Times New Roman" w:hAnsi="Times New Roman" w:cs="Times New Roman"/>
          <w:sz w:val="24"/>
          <w:szCs w:val="24"/>
        </w:rPr>
        <w:t>, de forma a assegurar que os objetivos organizacionais sejam alcançados por meio da gestão dos ativos</w:t>
      </w:r>
      <w:r w:rsidR="008A0442">
        <w:rPr>
          <w:rFonts w:ascii="Times New Roman" w:hAnsi="Times New Roman" w:cs="Times New Roman"/>
          <w:sz w:val="24"/>
          <w:szCs w:val="24"/>
        </w:rPr>
        <w:t>.</w:t>
      </w:r>
    </w:p>
    <w:p w14:paraId="54238869" w14:textId="77777777" w:rsidR="00381FCD" w:rsidRDefault="00381FCD" w:rsidP="00381F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5E3BF82" w14:textId="6E231318" w:rsidR="00381FCD" w:rsidRPr="00381FCD" w:rsidRDefault="000C6CC1" w:rsidP="00381F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4 - </w:t>
      </w:r>
      <w:r w:rsidR="00381FCD" w:rsidRPr="00381FCD">
        <w:rPr>
          <w:rFonts w:ascii="Times New Roman" w:hAnsi="Times New Roman" w:cs="Times New Roman"/>
          <w:b/>
          <w:bCs/>
          <w:sz w:val="24"/>
          <w:szCs w:val="24"/>
        </w:rPr>
        <w:t>INICIATIVAS DAS FS</w:t>
      </w:r>
    </w:p>
    <w:p w14:paraId="355B3FF7" w14:textId="5EFCA3FB" w:rsidR="00095F17" w:rsidRPr="00095F17" w:rsidRDefault="004E1EB3" w:rsidP="00095F1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Força Aérea Brasileira (FAB)</w:t>
      </w:r>
      <w:r w:rsidR="002958E3">
        <w:rPr>
          <w:rFonts w:ascii="Times New Roman" w:hAnsi="Times New Roman" w:cs="Times New Roman"/>
          <w:sz w:val="24"/>
          <w:szCs w:val="24"/>
        </w:rPr>
        <w:t xml:space="preserve">, já </w:t>
      </w:r>
      <w:r w:rsidR="00444327">
        <w:rPr>
          <w:rFonts w:ascii="Times New Roman" w:hAnsi="Times New Roman" w:cs="Times New Roman"/>
          <w:sz w:val="24"/>
          <w:szCs w:val="24"/>
        </w:rPr>
        <w:t xml:space="preserve">em 2007, </w:t>
      </w:r>
      <w:r w:rsidR="002958E3">
        <w:rPr>
          <w:rFonts w:ascii="Times New Roman" w:hAnsi="Times New Roman" w:cs="Times New Roman"/>
          <w:sz w:val="24"/>
          <w:szCs w:val="24"/>
        </w:rPr>
        <w:t xml:space="preserve">publicou a </w:t>
      </w:r>
      <w:r w:rsidR="00444327">
        <w:rPr>
          <w:rFonts w:ascii="Times New Roman" w:hAnsi="Times New Roman" w:cs="Times New Roman"/>
          <w:color w:val="000000" w:themeColor="text1"/>
          <w:sz w:val="24"/>
          <w:szCs w:val="24"/>
        </w:rPr>
        <w:t>DAC 400-6: Ciclo de Vida de Sistemas e Materiais da Aeronáutica</w:t>
      </w:r>
      <w:r w:rsidR="000C6CC1">
        <w:rPr>
          <w:rFonts w:ascii="Times New Roman" w:hAnsi="Times New Roman" w:cs="Times New Roman"/>
          <w:color w:val="000000" w:themeColor="text1"/>
          <w:sz w:val="24"/>
          <w:szCs w:val="24"/>
        </w:rPr>
        <w:t>, estabelecendo procedimentos inerentes ao CV na Força</w:t>
      </w:r>
      <w:r w:rsidR="00444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44327">
        <w:rPr>
          <w:rFonts w:ascii="Times New Roman" w:hAnsi="Times New Roman" w:cs="Times New Roman"/>
          <w:sz w:val="24"/>
          <w:szCs w:val="24"/>
        </w:rPr>
        <w:t>O E</w:t>
      </w:r>
      <w:r w:rsidR="00381FCD">
        <w:rPr>
          <w:rFonts w:ascii="Times New Roman" w:hAnsi="Times New Roman" w:cs="Times New Roman"/>
          <w:sz w:val="24"/>
          <w:szCs w:val="24"/>
        </w:rPr>
        <w:t xml:space="preserve">xército </w:t>
      </w:r>
      <w:r w:rsidR="00444327">
        <w:rPr>
          <w:rFonts w:ascii="Times New Roman" w:hAnsi="Times New Roman" w:cs="Times New Roman"/>
          <w:sz w:val="24"/>
          <w:szCs w:val="24"/>
        </w:rPr>
        <w:t>B</w:t>
      </w:r>
      <w:r w:rsidR="00381FCD">
        <w:rPr>
          <w:rFonts w:ascii="Times New Roman" w:hAnsi="Times New Roman" w:cs="Times New Roman"/>
          <w:sz w:val="24"/>
          <w:szCs w:val="24"/>
        </w:rPr>
        <w:t>rasileiro (EB)</w:t>
      </w:r>
      <w:r w:rsidR="00444327">
        <w:rPr>
          <w:rFonts w:ascii="Times New Roman" w:hAnsi="Times New Roman" w:cs="Times New Roman"/>
          <w:sz w:val="24"/>
          <w:szCs w:val="24"/>
        </w:rPr>
        <w:t xml:space="preserve">, em 2015, publicou o </w:t>
      </w:r>
      <w:r w:rsidR="00444327" w:rsidRPr="004443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EB10-IG-01.018: </w:t>
      </w:r>
      <w:r w:rsidR="00444327" w:rsidRPr="008279A8">
        <w:rPr>
          <w:rFonts w:ascii="Times New Roman" w:hAnsi="Times New Roman" w:cs="Times New Roman"/>
          <w:color w:val="000000" w:themeColor="text1"/>
          <w:sz w:val="24"/>
          <w:szCs w:val="24"/>
        </w:rPr>
        <w:t>Instruções Gerais para Gestão do Ciclo de Vida dos Sistemas e Materiais de Emprego Militar</w:t>
      </w:r>
      <w:r w:rsidR="004443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D38C5">
        <w:rPr>
          <w:rFonts w:ascii="Times New Roman" w:hAnsi="Times New Roman" w:cs="Times New Roman"/>
          <w:color w:val="000000" w:themeColor="text1"/>
          <w:sz w:val="24"/>
          <w:szCs w:val="24"/>
        </w:rPr>
        <w:t>Na M</w:t>
      </w:r>
      <w:r w:rsidR="00381F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arinha do </w:t>
      </w:r>
      <w:r w:rsidR="000D38C5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381FCD">
        <w:rPr>
          <w:rFonts w:ascii="Times New Roman" w:hAnsi="Times New Roman" w:cs="Times New Roman"/>
          <w:color w:val="000000" w:themeColor="text1"/>
          <w:sz w:val="24"/>
          <w:szCs w:val="24"/>
        </w:rPr>
        <w:t>rasil</w:t>
      </w:r>
      <w:r w:rsidR="00947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(MB)</w:t>
      </w:r>
      <w:r w:rsidR="000D38C5">
        <w:rPr>
          <w:rFonts w:ascii="Times New Roman" w:hAnsi="Times New Roman" w:cs="Times New Roman"/>
          <w:color w:val="000000" w:themeColor="text1"/>
          <w:sz w:val="24"/>
          <w:szCs w:val="24"/>
        </w:rPr>
        <w:t>, o EMA-42</w:t>
      </w:r>
      <w:r w:rsidR="00094EA1">
        <w:rPr>
          <w:rFonts w:ascii="Times New Roman" w:hAnsi="Times New Roman" w:cs="Times New Roman"/>
          <w:color w:val="000000" w:themeColor="text1"/>
          <w:sz w:val="24"/>
          <w:szCs w:val="24"/>
        </w:rPr>
        <w:t>0: Normas para Logística de Material,</w:t>
      </w:r>
      <w:r w:rsidR="000D38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encontra-se em revisão para tornar-se </w:t>
      </w:r>
      <w:r w:rsidR="009476E5">
        <w:rPr>
          <w:rFonts w:ascii="Times New Roman" w:hAnsi="Times New Roman" w:cs="Times New Roman"/>
          <w:color w:val="000000" w:themeColor="text1"/>
          <w:sz w:val="24"/>
          <w:szCs w:val="24"/>
        </w:rPr>
        <w:t>su</w:t>
      </w:r>
      <w:r w:rsidR="000D38C5">
        <w:rPr>
          <w:rFonts w:ascii="Times New Roman" w:hAnsi="Times New Roman" w:cs="Times New Roman"/>
          <w:color w:val="000000" w:themeColor="text1"/>
          <w:sz w:val="24"/>
          <w:szCs w:val="24"/>
        </w:rPr>
        <w:t>a Doutrina de GCV.</w:t>
      </w:r>
      <w:r w:rsidR="00947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0442">
        <w:rPr>
          <w:rFonts w:ascii="Times New Roman" w:hAnsi="Times New Roman" w:cs="Times New Roman"/>
          <w:sz w:val="24"/>
          <w:szCs w:val="24"/>
        </w:rPr>
        <w:t>Nesse processo de consolidação, as</w:t>
      </w:r>
      <w:r w:rsidR="00095F17">
        <w:rPr>
          <w:rFonts w:ascii="Times New Roman" w:hAnsi="Times New Roman" w:cs="Times New Roman"/>
          <w:sz w:val="24"/>
          <w:szCs w:val="24"/>
        </w:rPr>
        <w:t xml:space="preserve"> FS devem se atentar para o atendimento dos seguintes princípios: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9"/>
        <w:gridCol w:w="6089"/>
      </w:tblGrid>
      <w:tr w:rsidR="00095F17" w14:paraId="1B34D9DC" w14:textId="77777777" w:rsidTr="00E53C5D">
        <w:tc>
          <w:tcPr>
            <w:tcW w:w="2405" w:type="dxa"/>
            <w:vAlign w:val="center"/>
          </w:tcPr>
          <w:p w14:paraId="08B1AE84" w14:textId="77777777" w:rsidR="00095F17" w:rsidRPr="00CF193A" w:rsidRDefault="00095F17" w:rsidP="00E53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GESTÃO</w:t>
            </w:r>
          </w:p>
        </w:tc>
        <w:tc>
          <w:tcPr>
            <w:tcW w:w="6089" w:type="dxa"/>
          </w:tcPr>
          <w:p w14:paraId="2380B1E1" w14:textId="379C4428" w:rsidR="00095F17" w:rsidRDefault="00095F17" w:rsidP="00CF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Equipe de projeto/programa multidisciplinar, de abordagem integrada, para o cumprimento dos objetivos de desempenho, custo e risco</w:t>
            </w:r>
            <w:r w:rsidR="00B74BD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desde a concepção até o desfazimento, a fim de atingir seus objetivos</w:t>
            </w:r>
          </w:p>
        </w:tc>
      </w:tr>
      <w:tr w:rsidR="00095F17" w14:paraId="404D77B7" w14:textId="77777777" w:rsidTr="00E53C5D">
        <w:tc>
          <w:tcPr>
            <w:tcW w:w="2405" w:type="dxa"/>
            <w:vAlign w:val="center"/>
          </w:tcPr>
          <w:p w14:paraId="55968D96" w14:textId="77777777" w:rsidR="00095F17" w:rsidRPr="00CF193A" w:rsidRDefault="00095F17" w:rsidP="00E53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EFETIVIDADE</w:t>
            </w:r>
          </w:p>
        </w:tc>
        <w:tc>
          <w:tcPr>
            <w:tcW w:w="6089" w:type="dxa"/>
          </w:tcPr>
          <w:p w14:paraId="0BC283F8" w14:textId="77777777" w:rsidR="00095F17" w:rsidRDefault="00095F17" w:rsidP="00CF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Sustentabilidade de Capacidades Militares por meio do uso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eficiente e eficaz dos recursos e de garantia do cumprimento de requisitos das partes interessadas</w:t>
            </w:r>
          </w:p>
        </w:tc>
      </w:tr>
      <w:tr w:rsidR="00095F17" w14:paraId="119DBB0C" w14:textId="77777777" w:rsidTr="00E53C5D">
        <w:tc>
          <w:tcPr>
            <w:tcW w:w="2405" w:type="dxa"/>
            <w:vAlign w:val="center"/>
          </w:tcPr>
          <w:p w14:paraId="76F69147" w14:textId="77777777" w:rsidR="00095F17" w:rsidRPr="00CF193A" w:rsidRDefault="00095F17" w:rsidP="00E53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INTEROPERABILIDADE</w:t>
            </w:r>
          </w:p>
        </w:tc>
        <w:tc>
          <w:tcPr>
            <w:tcW w:w="6089" w:type="dxa"/>
          </w:tcPr>
          <w:p w14:paraId="6C303CEA" w14:textId="77777777" w:rsidR="00095F17" w:rsidRDefault="00095F17" w:rsidP="00CF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MD e as FS devem prover sistemas que satisfaçam as Capacidades Militares e a interoperabilidade previstas no PBC. Devem ser alcançadas pelo estabelecimento, implantação, acompanhamento e melhoria da GCVSD.</w:t>
            </w:r>
          </w:p>
        </w:tc>
      </w:tr>
      <w:tr w:rsidR="00095F17" w14:paraId="6CEE4B3B" w14:textId="77777777" w:rsidTr="00E53C5D">
        <w:tc>
          <w:tcPr>
            <w:tcW w:w="2405" w:type="dxa"/>
            <w:vAlign w:val="center"/>
          </w:tcPr>
          <w:p w14:paraId="6B1D6D56" w14:textId="77777777" w:rsidR="00095F17" w:rsidRPr="00CF193A" w:rsidRDefault="00095F17" w:rsidP="00E53C5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19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INDÚSTRIA</w:t>
            </w:r>
          </w:p>
        </w:tc>
        <w:tc>
          <w:tcPr>
            <w:tcW w:w="6089" w:type="dxa"/>
          </w:tcPr>
          <w:p w14:paraId="62F85C00" w14:textId="512FB065" w:rsidR="00095F17" w:rsidRDefault="00095F17" w:rsidP="00CF19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Deve haver estreito relacionamento com a BID a fim de obter o benefício mútuo das melhores práticas comerciais e prestação contínua de serviços que garantam a sustentabilidade de </w:t>
            </w:r>
            <w:r w:rsidR="00EF06D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apacidades </w:t>
            </w:r>
            <w:r w:rsidR="00EF06DA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ilitares. </w:t>
            </w:r>
          </w:p>
        </w:tc>
      </w:tr>
    </w:tbl>
    <w:p w14:paraId="239AD2AA" w14:textId="7E40DB4A" w:rsidR="00381FCD" w:rsidRDefault="003D57AC" w:rsidP="00381F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9476E5">
        <w:rPr>
          <w:rFonts w:ascii="Times New Roman" w:hAnsi="Times New Roman" w:cs="Times New Roman"/>
          <w:sz w:val="24"/>
          <w:szCs w:val="24"/>
        </w:rPr>
        <w:t xml:space="preserve"> FS iniciaram a adoção d</w:t>
      </w:r>
      <w:r w:rsidR="00382214">
        <w:rPr>
          <w:rFonts w:ascii="Times New Roman" w:hAnsi="Times New Roman" w:cs="Times New Roman"/>
          <w:sz w:val="24"/>
          <w:szCs w:val="24"/>
        </w:rPr>
        <w:t>e</w:t>
      </w:r>
      <w:r w:rsidR="009476E5">
        <w:rPr>
          <w:rFonts w:ascii="Times New Roman" w:hAnsi="Times New Roman" w:cs="Times New Roman"/>
          <w:sz w:val="24"/>
          <w:szCs w:val="24"/>
        </w:rPr>
        <w:t xml:space="preserve"> preceitos da GCVSD</w:t>
      </w:r>
      <w:r>
        <w:rPr>
          <w:rFonts w:ascii="Times New Roman" w:hAnsi="Times New Roman" w:cs="Times New Roman"/>
          <w:sz w:val="24"/>
          <w:szCs w:val="24"/>
        </w:rPr>
        <w:t xml:space="preserve"> em alguns projetos</w:t>
      </w:r>
      <w:r w:rsidR="009476E5">
        <w:rPr>
          <w:rFonts w:ascii="Times New Roman" w:hAnsi="Times New Roman" w:cs="Times New Roman"/>
          <w:sz w:val="24"/>
          <w:szCs w:val="24"/>
        </w:rPr>
        <w:t xml:space="preserve">, como </w:t>
      </w:r>
      <w:r w:rsidR="00095F17">
        <w:rPr>
          <w:rFonts w:ascii="Times New Roman" w:hAnsi="Times New Roman" w:cs="Times New Roman"/>
          <w:sz w:val="24"/>
          <w:szCs w:val="24"/>
        </w:rPr>
        <w:t>o P</w:t>
      </w:r>
      <w:r w:rsidR="00D374C1">
        <w:rPr>
          <w:rFonts w:ascii="Times New Roman" w:hAnsi="Times New Roman" w:cs="Times New Roman"/>
          <w:sz w:val="24"/>
          <w:szCs w:val="24"/>
        </w:rPr>
        <w:t>rograma de Desenvolvimento de Submarinos</w:t>
      </w:r>
      <w:r w:rsidR="00095F17">
        <w:rPr>
          <w:rFonts w:ascii="Times New Roman" w:hAnsi="Times New Roman" w:cs="Times New Roman"/>
          <w:sz w:val="24"/>
          <w:szCs w:val="24"/>
        </w:rPr>
        <w:t xml:space="preserve"> e </w:t>
      </w:r>
      <w:r w:rsidR="009476E5">
        <w:rPr>
          <w:rFonts w:ascii="Times New Roman" w:hAnsi="Times New Roman" w:cs="Times New Roman"/>
          <w:sz w:val="24"/>
          <w:szCs w:val="24"/>
        </w:rPr>
        <w:t>as Fragatas Classe Tamandaré da MB</w:t>
      </w:r>
      <w:r w:rsidR="00095F17">
        <w:rPr>
          <w:rFonts w:ascii="Times New Roman" w:hAnsi="Times New Roman" w:cs="Times New Roman"/>
          <w:sz w:val="24"/>
          <w:szCs w:val="24"/>
        </w:rPr>
        <w:t xml:space="preserve"> e </w:t>
      </w:r>
      <w:r w:rsidR="000C6CC1">
        <w:rPr>
          <w:rFonts w:ascii="Times New Roman" w:hAnsi="Times New Roman" w:cs="Times New Roman"/>
          <w:sz w:val="24"/>
          <w:szCs w:val="24"/>
        </w:rPr>
        <w:t>a Aeronave</w:t>
      </w:r>
      <w:r w:rsidR="00095F17">
        <w:rPr>
          <w:rFonts w:ascii="Times New Roman" w:hAnsi="Times New Roman" w:cs="Times New Roman"/>
          <w:sz w:val="24"/>
          <w:szCs w:val="24"/>
        </w:rPr>
        <w:t xml:space="preserve"> KC-390 da FAB</w:t>
      </w:r>
      <w:r w:rsidR="00382214">
        <w:rPr>
          <w:rFonts w:ascii="Times New Roman" w:hAnsi="Times New Roman" w:cs="Times New Roman"/>
          <w:sz w:val="24"/>
          <w:szCs w:val="24"/>
        </w:rPr>
        <w:t>, por exemplo</w:t>
      </w:r>
      <w:r w:rsidR="00095F17">
        <w:rPr>
          <w:rFonts w:ascii="Times New Roman" w:hAnsi="Times New Roman" w:cs="Times New Roman"/>
          <w:sz w:val="24"/>
          <w:szCs w:val="24"/>
        </w:rPr>
        <w:t>.</w:t>
      </w:r>
    </w:p>
    <w:p w14:paraId="171D7C28" w14:textId="6130C6FF" w:rsidR="00983A20" w:rsidRDefault="00983A20" w:rsidP="000D38C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D953" w14:textId="05D55F1A" w:rsidR="00983A20" w:rsidRPr="00307BBB" w:rsidRDefault="000C6CC1" w:rsidP="00983A2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5 - O </w:t>
      </w:r>
      <w:r w:rsidR="00983A20" w:rsidRPr="00307BBB">
        <w:rPr>
          <w:rFonts w:ascii="Times New Roman" w:hAnsi="Times New Roman" w:cs="Times New Roman"/>
          <w:b/>
          <w:bCs/>
          <w:sz w:val="24"/>
          <w:szCs w:val="24"/>
        </w:rPr>
        <w:t>AC</w:t>
      </w:r>
      <w:r w:rsidR="00983A20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83A20" w:rsidRPr="00307BBB">
        <w:rPr>
          <w:rFonts w:ascii="Times New Roman" w:hAnsi="Times New Roman" w:cs="Times New Roman"/>
          <w:b/>
          <w:bCs/>
          <w:sz w:val="24"/>
          <w:szCs w:val="24"/>
        </w:rPr>
        <w:t>327</w:t>
      </w:r>
    </w:p>
    <w:p w14:paraId="274F14E2" w14:textId="030AB130" w:rsidR="00983A20" w:rsidRDefault="00983A20" w:rsidP="00983A20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8E3">
        <w:rPr>
          <w:rFonts w:ascii="Times New Roman" w:hAnsi="Times New Roman" w:cs="Times New Roman"/>
          <w:sz w:val="24"/>
          <w:szCs w:val="24"/>
        </w:rPr>
        <w:t>Em 2017, o</w:t>
      </w:r>
      <w:r>
        <w:rPr>
          <w:rFonts w:ascii="Times New Roman" w:hAnsi="Times New Roman" w:cs="Times New Roman"/>
          <w:sz w:val="24"/>
          <w:szCs w:val="24"/>
        </w:rPr>
        <w:t xml:space="preserve"> MD foi aceito como membro do </w:t>
      </w:r>
      <w:proofErr w:type="spellStart"/>
      <w:r w:rsidRPr="00983A20">
        <w:rPr>
          <w:rFonts w:ascii="Times New Roman" w:hAnsi="Times New Roman" w:cs="Times New Roman"/>
          <w:i/>
          <w:iCs/>
          <w:sz w:val="24"/>
          <w:szCs w:val="24"/>
        </w:rPr>
        <w:t>Allied</w:t>
      </w:r>
      <w:proofErr w:type="spellEnd"/>
      <w:r w:rsidRPr="00983A2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3A20">
        <w:rPr>
          <w:rFonts w:ascii="Times New Roman" w:hAnsi="Times New Roman" w:cs="Times New Roman"/>
          <w:i/>
          <w:iCs/>
          <w:sz w:val="24"/>
          <w:szCs w:val="24"/>
        </w:rPr>
        <w:t>Committee</w:t>
      </w:r>
      <w:proofErr w:type="spellEnd"/>
      <w:r w:rsidRPr="00983A20">
        <w:rPr>
          <w:rFonts w:ascii="Times New Roman" w:hAnsi="Times New Roman" w:cs="Times New Roman"/>
          <w:i/>
          <w:iCs/>
          <w:sz w:val="24"/>
          <w:szCs w:val="24"/>
        </w:rPr>
        <w:t xml:space="preserve"> 327</w:t>
      </w:r>
      <w:r>
        <w:rPr>
          <w:rFonts w:ascii="Times New Roman" w:hAnsi="Times New Roman" w:cs="Times New Roman"/>
          <w:sz w:val="24"/>
          <w:szCs w:val="24"/>
        </w:rPr>
        <w:t xml:space="preserve"> (AC/327), da Organização do Tratado do Atlântico Norte (OTAN). Nessa condição, o Brasil participa de Grupos de Trabalho</w:t>
      </w:r>
      <w:r w:rsidR="000C6CC1">
        <w:rPr>
          <w:rFonts w:ascii="Times New Roman" w:hAnsi="Times New Roman" w:cs="Times New Roman"/>
          <w:sz w:val="24"/>
          <w:szCs w:val="24"/>
        </w:rPr>
        <w:t>, da OTAN,</w:t>
      </w:r>
      <w:r>
        <w:rPr>
          <w:rFonts w:ascii="Times New Roman" w:hAnsi="Times New Roman" w:cs="Times New Roman"/>
          <w:sz w:val="24"/>
          <w:szCs w:val="24"/>
        </w:rPr>
        <w:t xml:space="preserve"> sobre Apoio Logístico Integrado, Gestão de Custos de Ciclo de Vida e Gestão da Qualidade relacionados à GCVSD.</w:t>
      </w:r>
    </w:p>
    <w:p w14:paraId="6746BCE1" w14:textId="2FC44DAB" w:rsidR="00113AD3" w:rsidRDefault="000D38C5" w:rsidP="002012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No intuito de difundir e uniformizar conteúdo teórico em consonância com o referencial do AC/327, e de obter, registrar e compartilhar experiências de sistematizações adotadas nas FS, o MD publica</w:t>
      </w:r>
      <w:r w:rsidR="0020461F">
        <w:rPr>
          <w:rFonts w:ascii="Times New Roman" w:hAnsi="Times New Roman" w:cs="Times New Roman"/>
          <w:color w:val="000000" w:themeColor="text1"/>
          <w:sz w:val="24"/>
          <w:szCs w:val="24"/>
        </w:rPr>
        <w:t>, em 2019,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MD40-M-01: Manual de Boas Práticas para a Gestão do Ciclo de Vida de Sistemas de Defesa</w:t>
      </w:r>
      <w:r w:rsidR="0020128A">
        <w:rPr>
          <w:rFonts w:ascii="Times New Roman" w:hAnsi="Times New Roman" w:cs="Times New Roman"/>
          <w:sz w:val="24"/>
          <w:szCs w:val="24"/>
        </w:rPr>
        <w:t>. Com isso, os seguintes benefícios foram agregados:</w:t>
      </w:r>
    </w:p>
    <w:p w14:paraId="1FC8EF90" w14:textId="1529EE84" w:rsidR="00113AD3" w:rsidRPr="00113AD3" w:rsidRDefault="00113AD3" w:rsidP="00113AD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recebimento </w:t>
      </w:r>
      <w:r w:rsidRPr="0067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apoio </w:t>
      </w:r>
      <w:r w:rsidR="00B74BDA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 MD</w:t>
      </w:r>
      <w:r w:rsidRPr="00677C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dos países participantes da OTAN</w:t>
      </w:r>
      <w:r w:rsidR="00095F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9B2965" w14:textId="57F4E97D" w:rsidR="00113AD3" w:rsidRPr="00113AD3" w:rsidRDefault="00113AD3" w:rsidP="00113AD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adoção de normas e padrões internacionalmente aceitos e reconhecidos</w:t>
      </w:r>
      <w:r w:rsidR="0020128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 contratações de obtenção de SD e PRODE, contribui</w:t>
      </w:r>
      <w:r w:rsidR="008A044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 para o alcance da sustentabilidade fiscal, a eficiência dos gastos dos projetos prioritários do MD e </w:t>
      </w:r>
      <w:r w:rsidR="000C6CC1"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maior participação da BID </w:t>
      </w:r>
      <w:r w:rsidR="000C6C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brasileira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mercado internacional</w:t>
      </w:r>
      <w:r w:rsidR="00095F1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D900FD6" w14:textId="69940E07" w:rsidR="00113AD3" w:rsidRPr="00113AD3" w:rsidRDefault="00113AD3" w:rsidP="00113AD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preenchimento de lacunas nas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olíticas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efesa sobre </w:t>
      </w:r>
      <w:r w:rsidR="00CF51D9">
        <w:rPr>
          <w:rFonts w:ascii="Times New Roman" w:eastAsia="Times New Roman" w:hAnsi="Times New Roman" w:cs="Times New Roman"/>
          <w:color w:val="000000"/>
          <w:sz w:val="24"/>
          <w:szCs w:val="24"/>
        </w:rPr>
        <w:t>catalogação e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padronização, a observação de boas práticas para a gestão da qualidade, a troca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informações,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desenvolvimento de competências específicas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melhoria</w:t>
      </w:r>
      <w:r w:rsidRPr="00571A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 capacidade operativa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entre o MD e a BID</w:t>
      </w:r>
      <w:r w:rsidR="00095F17">
        <w:rPr>
          <w:rFonts w:ascii="Times New Roman" w:eastAsia="Times New Roman" w:hAnsi="Times New Roman" w:cs="Times New Roman"/>
          <w:color w:val="000000"/>
          <w:sz w:val="24"/>
          <w:szCs w:val="24"/>
        </w:rPr>
        <w:t>; e</w:t>
      </w:r>
    </w:p>
    <w:p w14:paraId="0ABC603C" w14:textId="445BF2BB" w:rsidR="00113AD3" w:rsidRPr="00113AD3" w:rsidRDefault="00113AD3" w:rsidP="00113AD3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incremento da interoperabilidade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por meio do uso de requisitos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contratuais 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>comuns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obtenção</w:t>
      </w:r>
      <w:r w:rsidRPr="00533F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produtos de defesa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pelas FS e pelo MD</w:t>
      </w:r>
      <w:r w:rsidR="00095F1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AE266D3" w14:textId="77777777" w:rsidR="003D57AC" w:rsidRPr="0020461F" w:rsidRDefault="003D57AC" w:rsidP="00095F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1BDD2B3" w14:textId="215F2A31" w:rsidR="00095F17" w:rsidRPr="00307BBB" w:rsidRDefault="000C6CC1" w:rsidP="00095F17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6 - </w:t>
      </w:r>
      <w:r w:rsidR="00095F17" w:rsidRPr="00307BBB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1F86CFCC" w14:textId="53ADFCA2" w:rsidR="000758B1" w:rsidRDefault="0020128A" w:rsidP="004E7F9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Estão sendo e</w:t>
      </w:r>
      <w:r w:rsidR="003C6D78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vidados cont</w:t>
      </w:r>
      <w:r w:rsidR="003D57AC">
        <w:rPr>
          <w:rFonts w:ascii="Times New Roman" w:hAnsi="Times New Roman" w:cs="Times New Roman"/>
          <w:color w:val="000000" w:themeColor="text1"/>
          <w:sz w:val="24"/>
          <w:szCs w:val="24"/>
        </w:rPr>
        <w:t>inuados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esforços no sentido </w:t>
      </w:r>
      <w:r w:rsidR="008660A9">
        <w:rPr>
          <w:rFonts w:ascii="Times New Roman" w:hAnsi="Times New Roman" w:cs="Times New Roman"/>
          <w:color w:val="000000" w:themeColor="text1"/>
          <w:sz w:val="24"/>
          <w:szCs w:val="24"/>
        </w:rPr>
        <w:t>de efetivar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consolida</w:t>
      </w:r>
      <w:r w:rsidR="00CF51D9">
        <w:rPr>
          <w:rFonts w:ascii="Times New Roman" w:hAnsi="Times New Roman" w:cs="Times New Roman"/>
          <w:color w:val="000000" w:themeColor="text1"/>
          <w:sz w:val="24"/>
          <w:szCs w:val="24"/>
        </w:rPr>
        <w:t>ção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1D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GCVSD no âmbito do MD e das FS</w:t>
      </w:r>
      <w:r w:rsidR="00095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C6CC1">
        <w:rPr>
          <w:rFonts w:ascii="Times New Roman" w:hAnsi="Times New Roman" w:cs="Times New Roman"/>
          <w:sz w:val="24"/>
          <w:szCs w:val="24"/>
        </w:rPr>
        <w:t>A</w:t>
      </w:r>
      <w:r w:rsidR="00CF51D9">
        <w:rPr>
          <w:rFonts w:ascii="Times New Roman" w:hAnsi="Times New Roman" w:cs="Times New Roman"/>
          <w:sz w:val="24"/>
          <w:szCs w:val="24"/>
        </w:rPr>
        <w:t xml:space="preserve"> </w:t>
      </w:r>
      <w:r w:rsidR="00095F17">
        <w:rPr>
          <w:rFonts w:ascii="Times New Roman" w:hAnsi="Times New Roman" w:cs="Times New Roman"/>
          <w:sz w:val="24"/>
          <w:szCs w:val="24"/>
        </w:rPr>
        <w:t>interoperabilidade</w:t>
      </w:r>
      <w:r w:rsidR="000C6CC1">
        <w:rPr>
          <w:rFonts w:ascii="Times New Roman" w:hAnsi="Times New Roman" w:cs="Times New Roman"/>
          <w:sz w:val="24"/>
          <w:szCs w:val="24"/>
        </w:rPr>
        <w:t xml:space="preserve"> ainda progressiva</w:t>
      </w:r>
      <w:r w:rsidR="00095F17">
        <w:rPr>
          <w:rFonts w:ascii="Times New Roman" w:hAnsi="Times New Roman" w:cs="Times New Roman"/>
          <w:sz w:val="24"/>
          <w:szCs w:val="24"/>
        </w:rPr>
        <w:t xml:space="preserve"> entre as Forças</w:t>
      </w:r>
      <w:r w:rsidR="00A91567">
        <w:rPr>
          <w:rFonts w:ascii="Times New Roman" w:hAnsi="Times New Roman" w:cs="Times New Roman"/>
          <w:sz w:val="24"/>
          <w:szCs w:val="24"/>
        </w:rPr>
        <w:t xml:space="preserve"> e as diferenças culturais e organizacionais</w:t>
      </w:r>
      <w:r w:rsidR="00095F17">
        <w:rPr>
          <w:rFonts w:ascii="Times New Roman" w:hAnsi="Times New Roman" w:cs="Times New Roman"/>
          <w:sz w:val="24"/>
          <w:szCs w:val="24"/>
        </w:rPr>
        <w:t xml:space="preserve"> gera</w:t>
      </w:r>
      <w:r w:rsidR="00A91567">
        <w:rPr>
          <w:rFonts w:ascii="Times New Roman" w:hAnsi="Times New Roman" w:cs="Times New Roman"/>
          <w:sz w:val="24"/>
          <w:szCs w:val="24"/>
        </w:rPr>
        <w:t>m</w:t>
      </w:r>
      <w:r w:rsidR="00095F17">
        <w:rPr>
          <w:rFonts w:ascii="Times New Roman" w:hAnsi="Times New Roman" w:cs="Times New Roman"/>
          <w:sz w:val="24"/>
          <w:szCs w:val="24"/>
        </w:rPr>
        <w:t xml:space="preserve"> risco</w:t>
      </w:r>
      <w:r w:rsidR="00A91567">
        <w:rPr>
          <w:rFonts w:ascii="Times New Roman" w:hAnsi="Times New Roman" w:cs="Times New Roman"/>
          <w:sz w:val="24"/>
          <w:szCs w:val="24"/>
        </w:rPr>
        <w:t>s</w:t>
      </w:r>
      <w:r w:rsidR="00095F17">
        <w:rPr>
          <w:rFonts w:ascii="Times New Roman" w:hAnsi="Times New Roman" w:cs="Times New Roman"/>
          <w:sz w:val="24"/>
          <w:szCs w:val="24"/>
        </w:rPr>
        <w:t xml:space="preserve"> de ocorrerem interpretações distintas e, consequentemente, prioridades diferentes e objetivos desalinhados, prejudicando as finalidades estratégicas nacionais</w:t>
      </w:r>
      <w:r w:rsidR="000758B1" w:rsidRPr="00075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5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utilização de boas práticas </w:t>
      </w:r>
      <w:r w:rsidR="003D57AC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0758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disponibilidade do PBC.</w:t>
      </w:r>
      <w:r w:rsidR="00095F17">
        <w:rPr>
          <w:rFonts w:ascii="Times New Roman" w:hAnsi="Times New Roman" w:cs="Times New Roman"/>
          <w:sz w:val="24"/>
          <w:szCs w:val="24"/>
        </w:rPr>
        <w:t xml:space="preserve"> </w:t>
      </w:r>
      <w:r w:rsidR="004E7F96">
        <w:rPr>
          <w:rFonts w:ascii="Times New Roman" w:hAnsi="Times New Roman" w:cs="Times New Roman"/>
          <w:sz w:val="24"/>
          <w:szCs w:val="24"/>
        </w:rPr>
        <w:t>Foram apresentadas as motivações, iniciativas e</w:t>
      </w:r>
      <w:r w:rsidR="00382214">
        <w:rPr>
          <w:rFonts w:ascii="Times New Roman" w:hAnsi="Times New Roman" w:cs="Times New Roman"/>
          <w:sz w:val="24"/>
          <w:szCs w:val="24"/>
        </w:rPr>
        <w:t>, de certa forma,</w:t>
      </w:r>
      <w:r w:rsidR="004E7F96">
        <w:rPr>
          <w:rFonts w:ascii="Times New Roman" w:hAnsi="Times New Roman" w:cs="Times New Roman"/>
          <w:sz w:val="24"/>
          <w:szCs w:val="24"/>
        </w:rPr>
        <w:t xml:space="preserve"> dificuldades de sua implementação, tanto no âmbito do MD quanto nas FS.</w:t>
      </w:r>
    </w:p>
    <w:p w14:paraId="0F2D4297" w14:textId="5D379720" w:rsidR="000758B1" w:rsidRDefault="00A91567" w:rsidP="000758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758B1">
        <w:rPr>
          <w:rFonts w:ascii="Times New Roman" w:hAnsi="Times New Roman" w:cs="Times New Roman"/>
          <w:sz w:val="24"/>
          <w:szCs w:val="24"/>
        </w:rPr>
        <w:t xml:space="preserve"> GCVSD </w:t>
      </w:r>
      <w:r w:rsidR="000758B1" w:rsidRPr="002552E7">
        <w:rPr>
          <w:rFonts w:ascii="Times New Roman" w:hAnsi="Times New Roman" w:cs="Times New Roman"/>
          <w:sz w:val="24"/>
          <w:szCs w:val="24"/>
        </w:rPr>
        <w:t>é</w:t>
      </w:r>
      <w:r w:rsidR="0020128A">
        <w:rPr>
          <w:rFonts w:ascii="Times New Roman" w:hAnsi="Times New Roman" w:cs="Times New Roman"/>
          <w:sz w:val="24"/>
          <w:szCs w:val="24"/>
        </w:rPr>
        <w:t xml:space="preserve"> uma ferramenta</w:t>
      </w:r>
      <w:r>
        <w:rPr>
          <w:rFonts w:ascii="Times New Roman" w:hAnsi="Times New Roman" w:cs="Times New Roman"/>
          <w:sz w:val="24"/>
          <w:szCs w:val="24"/>
        </w:rPr>
        <w:t xml:space="preserve"> amplamente</w:t>
      </w:r>
      <w:r w:rsidR="0020128A">
        <w:rPr>
          <w:rFonts w:ascii="Times New Roman" w:hAnsi="Times New Roman" w:cs="Times New Roman"/>
          <w:sz w:val="24"/>
          <w:szCs w:val="24"/>
        </w:rPr>
        <w:t xml:space="preserve"> utilizada </w:t>
      </w:r>
      <w:r>
        <w:rPr>
          <w:rFonts w:ascii="Times New Roman" w:hAnsi="Times New Roman" w:cs="Times New Roman"/>
          <w:sz w:val="24"/>
          <w:szCs w:val="24"/>
        </w:rPr>
        <w:t>pela</w:t>
      </w:r>
      <w:r w:rsidR="0020128A">
        <w:rPr>
          <w:rFonts w:ascii="Times New Roman" w:hAnsi="Times New Roman" w:cs="Times New Roman"/>
          <w:sz w:val="24"/>
          <w:szCs w:val="24"/>
        </w:rPr>
        <w:t>s grandes potências militares para obtenção</w:t>
      </w:r>
      <w:r w:rsidR="00CF51D9">
        <w:rPr>
          <w:rFonts w:ascii="Times New Roman" w:hAnsi="Times New Roman" w:cs="Times New Roman"/>
          <w:sz w:val="24"/>
          <w:szCs w:val="24"/>
        </w:rPr>
        <w:t xml:space="preserve"> e disponibilidade</w:t>
      </w:r>
      <w:r w:rsidR="0020128A">
        <w:rPr>
          <w:rFonts w:ascii="Times New Roman" w:hAnsi="Times New Roman" w:cs="Times New Roman"/>
          <w:sz w:val="24"/>
          <w:szCs w:val="24"/>
        </w:rPr>
        <w:t xml:space="preserve"> de </w:t>
      </w:r>
      <w:r w:rsidR="000758B1" w:rsidRPr="002552E7">
        <w:rPr>
          <w:rFonts w:ascii="Times New Roman" w:hAnsi="Times New Roman" w:cs="Times New Roman"/>
          <w:sz w:val="24"/>
          <w:szCs w:val="24"/>
        </w:rPr>
        <w:t>SD</w:t>
      </w:r>
      <w:r w:rsidR="00CF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58B1" w:rsidRPr="00255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o </w:t>
      </w:r>
      <w:r w:rsidR="000758B1" w:rsidRPr="002552E7">
        <w:rPr>
          <w:rFonts w:ascii="Times New Roman" w:hAnsi="Times New Roman" w:cs="Times New Roman"/>
          <w:sz w:val="24"/>
          <w:szCs w:val="24"/>
        </w:rPr>
        <w:t xml:space="preserve">relacionamento </w:t>
      </w:r>
      <w:r w:rsidR="000758B1">
        <w:rPr>
          <w:rFonts w:ascii="Times New Roman" w:hAnsi="Times New Roman" w:cs="Times New Roman"/>
          <w:sz w:val="24"/>
          <w:szCs w:val="24"/>
        </w:rPr>
        <w:t>estratégico</w:t>
      </w:r>
      <w:r w:rsidR="000758B1" w:rsidRPr="002552E7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>suas</w:t>
      </w:r>
      <w:r w:rsidR="000758B1" w:rsidRPr="002552E7">
        <w:rPr>
          <w:rFonts w:ascii="Times New Roman" w:hAnsi="Times New Roman" w:cs="Times New Roman"/>
          <w:sz w:val="24"/>
          <w:szCs w:val="24"/>
        </w:rPr>
        <w:t xml:space="preserve"> BID</w:t>
      </w:r>
      <w:r w:rsidR="000758B1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758B1">
        <w:rPr>
          <w:rFonts w:ascii="Times New Roman" w:hAnsi="Times New Roman" w:cs="Times New Roman"/>
          <w:sz w:val="24"/>
          <w:szCs w:val="24"/>
        </w:rPr>
        <w:t xml:space="preserve"> participação no AC/327</w:t>
      </w:r>
      <w:r>
        <w:rPr>
          <w:rFonts w:ascii="Times New Roman" w:hAnsi="Times New Roman" w:cs="Times New Roman"/>
          <w:sz w:val="24"/>
          <w:szCs w:val="24"/>
        </w:rPr>
        <w:t xml:space="preserve"> proporciona</w:t>
      </w:r>
      <w:r w:rsidR="000758B1">
        <w:rPr>
          <w:rFonts w:ascii="Times New Roman" w:hAnsi="Times New Roman" w:cs="Times New Roman"/>
          <w:sz w:val="24"/>
          <w:szCs w:val="24"/>
        </w:rPr>
        <w:t>,</w:t>
      </w:r>
      <w:r w:rsidR="00F5490A">
        <w:rPr>
          <w:rFonts w:ascii="Times New Roman" w:hAnsi="Times New Roman" w:cs="Times New Roman"/>
          <w:sz w:val="24"/>
          <w:szCs w:val="24"/>
        </w:rPr>
        <w:t xml:space="preserve"> além do</w:t>
      </w:r>
      <w:r w:rsidR="00F54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490A">
        <w:rPr>
          <w:rFonts w:ascii="Times New Roman" w:hAnsi="Times New Roman" w:cs="Times New Roman"/>
          <w:i/>
          <w:iCs/>
          <w:sz w:val="24"/>
          <w:szCs w:val="24"/>
        </w:rPr>
        <w:t>know</w:t>
      </w:r>
      <w:proofErr w:type="spellEnd"/>
      <w:r w:rsidR="00F54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5490A">
        <w:rPr>
          <w:rFonts w:ascii="Times New Roman" w:hAnsi="Times New Roman" w:cs="Times New Roman"/>
          <w:i/>
          <w:iCs/>
          <w:sz w:val="24"/>
          <w:szCs w:val="24"/>
        </w:rPr>
        <w:t>how</w:t>
      </w:r>
      <w:proofErr w:type="spellEnd"/>
      <w:r w:rsidR="00F549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5490A">
        <w:rPr>
          <w:rFonts w:ascii="Times New Roman" w:hAnsi="Times New Roman" w:cs="Times New Roman"/>
          <w:sz w:val="24"/>
          <w:szCs w:val="24"/>
        </w:rPr>
        <w:t>obtido,</w:t>
      </w:r>
      <w:r w:rsidR="000758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possibilidade</w:t>
      </w:r>
      <w:r w:rsidR="00F5490A">
        <w:rPr>
          <w:rFonts w:ascii="Times New Roman" w:hAnsi="Times New Roman" w:cs="Times New Roman"/>
          <w:sz w:val="24"/>
          <w:szCs w:val="24"/>
        </w:rPr>
        <w:t xml:space="preserve"> de</w:t>
      </w:r>
      <w:r w:rsidR="0020461F">
        <w:rPr>
          <w:rFonts w:ascii="Times New Roman" w:hAnsi="Times New Roman" w:cs="Times New Roman"/>
          <w:sz w:val="24"/>
          <w:szCs w:val="24"/>
        </w:rPr>
        <w:t xml:space="preserve"> almejar a</w:t>
      </w:r>
      <w:r w:rsidR="00F5490A">
        <w:rPr>
          <w:rFonts w:ascii="Times New Roman" w:hAnsi="Times New Roman" w:cs="Times New Roman"/>
          <w:sz w:val="24"/>
          <w:szCs w:val="24"/>
        </w:rPr>
        <w:t xml:space="preserve"> conversão de Projetos de Defesa Nacionais para Projetos OTAN, </w:t>
      </w:r>
      <w:r>
        <w:rPr>
          <w:rFonts w:ascii="Times New Roman" w:hAnsi="Times New Roman" w:cs="Times New Roman"/>
          <w:sz w:val="24"/>
          <w:szCs w:val="24"/>
        </w:rPr>
        <w:t>provendo</w:t>
      </w:r>
      <w:r w:rsidR="00F5490A">
        <w:rPr>
          <w:rFonts w:ascii="Times New Roman" w:hAnsi="Times New Roman" w:cs="Times New Roman"/>
          <w:sz w:val="24"/>
          <w:szCs w:val="24"/>
        </w:rPr>
        <w:t xml:space="preserve"> oportunidades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5490A">
        <w:rPr>
          <w:rFonts w:ascii="Times New Roman" w:hAnsi="Times New Roman" w:cs="Times New Roman"/>
          <w:sz w:val="24"/>
          <w:szCs w:val="24"/>
        </w:rPr>
        <w:t xml:space="preserve"> exportação </w:t>
      </w:r>
      <w:r w:rsidR="0020128A">
        <w:rPr>
          <w:rFonts w:ascii="Times New Roman" w:hAnsi="Times New Roman" w:cs="Times New Roman"/>
          <w:sz w:val="24"/>
          <w:szCs w:val="24"/>
        </w:rPr>
        <w:t>de tecnologia nacional</w:t>
      </w:r>
      <w:r w:rsidR="00F5490A">
        <w:rPr>
          <w:rFonts w:ascii="Times New Roman" w:hAnsi="Times New Roman" w:cs="Times New Roman"/>
          <w:sz w:val="24"/>
          <w:szCs w:val="24"/>
        </w:rPr>
        <w:t>.</w:t>
      </w:r>
    </w:p>
    <w:p w14:paraId="3D170B13" w14:textId="7B2C21EE" w:rsidR="00F5490A" w:rsidRDefault="00CF51D9" w:rsidP="00F549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Conclui-se que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 w:rsidR="00BA5341">
        <w:rPr>
          <w:rFonts w:ascii="Times New Roman" w:hAnsi="Times New Roman" w:cs="Times New Roman"/>
          <w:sz w:val="24"/>
          <w:szCs w:val="24"/>
        </w:rPr>
        <w:t>é</w:t>
      </w:r>
      <w:r w:rsidR="00F5490A">
        <w:rPr>
          <w:rFonts w:ascii="Times New Roman" w:hAnsi="Times New Roman" w:cs="Times New Roman"/>
          <w:sz w:val="24"/>
          <w:szCs w:val="24"/>
        </w:rPr>
        <w:t xml:space="preserve"> necessári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490A">
        <w:rPr>
          <w:rFonts w:ascii="Times New Roman" w:hAnsi="Times New Roman" w:cs="Times New Roman"/>
          <w:sz w:val="24"/>
          <w:szCs w:val="24"/>
        </w:rPr>
        <w:t xml:space="preserve"> o estabelecimento 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F5490A">
        <w:rPr>
          <w:rFonts w:ascii="Times New Roman" w:hAnsi="Times New Roman" w:cs="Times New Roman"/>
          <w:sz w:val="24"/>
          <w:szCs w:val="24"/>
        </w:rPr>
        <w:t>consolidação de</w:t>
      </w:r>
      <w:r w:rsidR="0020128A">
        <w:rPr>
          <w:rFonts w:ascii="Times New Roman" w:hAnsi="Times New Roman" w:cs="Times New Roman"/>
          <w:sz w:val="24"/>
          <w:szCs w:val="24"/>
        </w:rPr>
        <w:t xml:space="preserve"> uma</w:t>
      </w:r>
      <w:r w:rsidR="00F5490A">
        <w:rPr>
          <w:rFonts w:ascii="Times New Roman" w:hAnsi="Times New Roman" w:cs="Times New Roman"/>
          <w:sz w:val="24"/>
          <w:szCs w:val="24"/>
        </w:rPr>
        <w:t xml:space="preserve"> Doutrina de GCVSD no MD</w:t>
      </w:r>
      <w:r w:rsidR="00BA5341">
        <w:rPr>
          <w:rFonts w:ascii="Times New Roman" w:hAnsi="Times New Roman" w:cs="Times New Roman"/>
          <w:sz w:val="24"/>
          <w:szCs w:val="24"/>
        </w:rPr>
        <w:t>,</w:t>
      </w:r>
      <w:r w:rsidR="00F5490A">
        <w:rPr>
          <w:rFonts w:ascii="Times New Roman" w:hAnsi="Times New Roman" w:cs="Times New Roman"/>
          <w:sz w:val="24"/>
          <w:szCs w:val="24"/>
        </w:rPr>
        <w:t xml:space="preserve"> e sua efetiva aplicação na</w:t>
      </w:r>
      <w:r w:rsidR="00EF06DA">
        <w:rPr>
          <w:rFonts w:ascii="Times New Roman" w:hAnsi="Times New Roman" w:cs="Times New Roman"/>
          <w:sz w:val="24"/>
          <w:szCs w:val="24"/>
        </w:rPr>
        <w:t xml:space="preserve"> Gestão da</w:t>
      </w:r>
      <w:r w:rsidR="00A91567">
        <w:rPr>
          <w:rFonts w:ascii="Times New Roman" w:hAnsi="Times New Roman" w:cs="Times New Roman"/>
          <w:sz w:val="24"/>
          <w:szCs w:val="24"/>
        </w:rPr>
        <w:t>s</w:t>
      </w:r>
      <w:r w:rsidR="00F5490A">
        <w:rPr>
          <w:rFonts w:ascii="Times New Roman" w:hAnsi="Times New Roman" w:cs="Times New Roman"/>
          <w:sz w:val="24"/>
          <w:szCs w:val="24"/>
        </w:rPr>
        <w:t xml:space="preserve"> FS</w:t>
      </w:r>
      <w:r>
        <w:rPr>
          <w:rFonts w:ascii="Times New Roman" w:hAnsi="Times New Roman" w:cs="Times New Roman"/>
          <w:sz w:val="24"/>
          <w:szCs w:val="24"/>
        </w:rPr>
        <w:t>, tornando viável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 w:rsidR="00BA5341">
        <w:rPr>
          <w:rFonts w:ascii="Times New Roman" w:hAnsi="Times New Roman" w:cs="Times New Roman"/>
          <w:sz w:val="24"/>
          <w:szCs w:val="24"/>
        </w:rPr>
        <w:t xml:space="preserve">a obtenção e/ou </w:t>
      </w:r>
      <w:r w:rsidR="00F5490A">
        <w:rPr>
          <w:rFonts w:ascii="Times New Roman" w:hAnsi="Times New Roman" w:cs="Times New Roman"/>
          <w:sz w:val="24"/>
          <w:szCs w:val="24"/>
        </w:rPr>
        <w:t>desenvolv</w:t>
      </w:r>
      <w:r>
        <w:rPr>
          <w:rFonts w:ascii="Times New Roman" w:hAnsi="Times New Roman" w:cs="Times New Roman"/>
          <w:sz w:val="24"/>
          <w:szCs w:val="24"/>
        </w:rPr>
        <w:t>imento</w:t>
      </w:r>
      <w:r w:rsidR="00BA5341">
        <w:rPr>
          <w:rFonts w:ascii="Times New Roman" w:hAnsi="Times New Roman" w:cs="Times New Roman"/>
          <w:sz w:val="24"/>
          <w:szCs w:val="24"/>
        </w:rPr>
        <w:t xml:space="preserve"> de SD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 w:rsidR="00EF06DA">
        <w:rPr>
          <w:rFonts w:ascii="Times New Roman" w:hAnsi="Times New Roman" w:cs="Times New Roman"/>
          <w:sz w:val="24"/>
          <w:szCs w:val="24"/>
        </w:rPr>
        <w:t>com</w:t>
      </w:r>
      <w:r w:rsidR="00F5490A">
        <w:rPr>
          <w:rFonts w:ascii="Times New Roman" w:hAnsi="Times New Roman" w:cs="Times New Roman"/>
          <w:sz w:val="24"/>
          <w:szCs w:val="24"/>
        </w:rPr>
        <w:t xml:space="preserve"> requisitos de disponibilidade, confiabilidade, </w:t>
      </w:r>
      <w:r w:rsidR="00A91567">
        <w:rPr>
          <w:rFonts w:ascii="Times New Roman" w:hAnsi="Times New Roman" w:cs="Times New Roman"/>
          <w:sz w:val="24"/>
          <w:szCs w:val="24"/>
        </w:rPr>
        <w:t>manutenibilidade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necessários</w:t>
      </w:r>
      <w:r w:rsidR="00BA5341">
        <w:rPr>
          <w:rFonts w:ascii="Times New Roman" w:hAnsi="Times New Roman" w:cs="Times New Roman"/>
          <w:sz w:val="24"/>
          <w:szCs w:val="24"/>
        </w:rPr>
        <w:t xml:space="preserve"> para que</w:t>
      </w:r>
      <w:r w:rsidR="00EF06DA">
        <w:rPr>
          <w:rFonts w:ascii="Times New Roman" w:hAnsi="Times New Roman" w:cs="Times New Roman"/>
          <w:sz w:val="24"/>
          <w:szCs w:val="24"/>
        </w:rPr>
        <w:t xml:space="preserve"> cumpra suas Capacidades Militares,</w:t>
      </w:r>
      <w:r w:rsidR="00BA5341">
        <w:rPr>
          <w:rFonts w:ascii="Times New Roman" w:hAnsi="Times New Roman" w:cs="Times New Roman"/>
          <w:sz w:val="24"/>
          <w:szCs w:val="24"/>
        </w:rPr>
        <w:t xml:space="preserve"> com uma abordagem financeira sustentável e efetiva,</w:t>
      </w:r>
      <w:r w:rsidR="00F54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91567">
        <w:rPr>
          <w:rFonts w:ascii="Times New Roman" w:hAnsi="Times New Roman" w:cs="Times New Roman"/>
          <w:sz w:val="24"/>
          <w:szCs w:val="24"/>
        </w:rPr>
        <w:t xml:space="preserve">composto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F5490A">
        <w:rPr>
          <w:rFonts w:ascii="Times New Roman" w:hAnsi="Times New Roman" w:cs="Times New Roman"/>
          <w:sz w:val="24"/>
          <w:szCs w:val="24"/>
        </w:rPr>
        <w:t xml:space="preserve"> ações para o desenvolvimento econômico do país e </w:t>
      </w:r>
      <w:r w:rsidR="00A91567">
        <w:rPr>
          <w:rFonts w:ascii="Times New Roman" w:hAnsi="Times New Roman" w:cs="Times New Roman"/>
          <w:sz w:val="24"/>
          <w:szCs w:val="24"/>
        </w:rPr>
        <w:t>da</w:t>
      </w:r>
      <w:r w:rsidR="00F5490A">
        <w:rPr>
          <w:rFonts w:ascii="Times New Roman" w:hAnsi="Times New Roman" w:cs="Times New Roman"/>
          <w:sz w:val="24"/>
          <w:szCs w:val="24"/>
        </w:rPr>
        <w:t xml:space="preserve"> BID, engajando o setor privado no desenvolvimento de uma visão de futuro compartilhada</w:t>
      </w:r>
      <w:r w:rsidR="00A91567">
        <w:rPr>
          <w:rFonts w:ascii="Times New Roman" w:hAnsi="Times New Roman" w:cs="Times New Roman"/>
          <w:sz w:val="24"/>
          <w:szCs w:val="24"/>
        </w:rPr>
        <w:t xml:space="preserve"> com o setor público</w:t>
      </w:r>
      <w:r w:rsidR="00F5490A">
        <w:rPr>
          <w:rFonts w:ascii="Times New Roman" w:hAnsi="Times New Roman" w:cs="Times New Roman"/>
          <w:sz w:val="24"/>
          <w:szCs w:val="24"/>
        </w:rPr>
        <w:t>.</w:t>
      </w:r>
    </w:p>
    <w:p w14:paraId="0AEDC927" w14:textId="77777777" w:rsidR="0020461F" w:rsidRDefault="0020461F" w:rsidP="00F549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AE75351" w14:textId="18E45717" w:rsidR="00F5490A" w:rsidRPr="00031CDF" w:rsidRDefault="000C6CC1" w:rsidP="00F549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7 - </w:t>
      </w:r>
      <w:r w:rsidR="00F5490A" w:rsidRPr="00031CDF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42035149" w14:textId="79441398" w:rsidR="008660A9" w:rsidRDefault="008660A9" w:rsidP="00951B8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BRASIL. Ministério da Defesa. </w:t>
      </w:r>
      <w:r w:rsidRPr="00951B87">
        <w:rPr>
          <w:rFonts w:ascii="Times New Roman" w:hAnsi="Times New Roman" w:cs="Times New Roman"/>
          <w:sz w:val="24"/>
          <w:szCs w:val="24"/>
        </w:rPr>
        <w:t>P</w:t>
      </w:r>
      <w:r w:rsidR="00951B87" w:rsidRPr="00951B87">
        <w:rPr>
          <w:rFonts w:ascii="Times New Roman" w:hAnsi="Times New Roman" w:cs="Times New Roman"/>
          <w:sz w:val="24"/>
          <w:szCs w:val="24"/>
        </w:rPr>
        <w:t>olítica Nacional de Defesa e Estratégia Nacional de Defesa</w:t>
      </w:r>
      <w:r w:rsidRPr="00951B8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Disponível em: </w:t>
      </w:r>
      <w:r w:rsidRPr="008660A9">
        <w:rPr>
          <w:rFonts w:ascii="Times New Roman" w:hAnsi="Times New Roman" w:cs="Times New Roman"/>
          <w:bCs/>
          <w:sz w:val="24"/>
          <w:szCs w:val="24"/>
        </w:rPr>
        <w:t>https://www.gov.br/defesa/pt-br/assuntos/copy_of_estado-e-defesa/pnd_end_congresso_.pdf</w:t>
      </w:r>
      <w:r>
        <w:rPr>
          <w:rFonts w:ascii="Times New Roman" w:hAnsi="Times New Roman" w:cs="Times New Roman"/>
          <w:bCs/>
          <w:sz w:val="24"/>
          <w:szCs w:val="24"/>
        </w:rPr>
        <w:t>. Acesso em 11 ago. 2021. 2020.</w:t>
      </w:r>
    </w:p>
    <w:p w14:paraId="79CEC258" w14:textId="77777777" w:rsidR="00F5490A" w:rsidRPr="003C6D78" w:rsidRDefault="00F5490A" w:rsidP="00951B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BRASIL. Ministério da Defesa. MD40-M-01: Manual de Boas Práticas para a Gestão do Ciclo de Vida de Sistemas de Defesa. Brasília-DF, 2019.</w:t>
      </w:r>
    </w:p>
    <w:p w14:paraId="0C029771" w14:textId="37F0EDC0" w:rsidR="00F5490A" w:rsidRPr="003C6D78" w:rsidRDefault="00F5490A" w:rsidP="00951B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BRASIL. Lei nº 12.598, de 21 de março de 2012. Estabelece normas [...] produtos e de sistemas de defesa;</w:t>
      </w:r>
      <w:r w:rsidR="004E7F96"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[...]</w:t>
      </w:r>
      <w:r w:rsidR="004E7F96"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dá</w:t>
      </w: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outras providências. Disponível em: http://www.planalto.gov.br/ccivil_03/_ato2011-2014/2012/lei/l12598.htm. Acesso em: 10 ago. 2021. </w:t>
      </w:r>
    </w:p>
    <w:p w14:paraId="4620BB7D" w14:textId="6965BFC8" w:rsidR="00951B87" w:rsidRPr="003C6D78" w:rsidRDefault="00951B87" w:rsidP="00951B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BRASIL. Ministério da Defesa. Gabinete do Ministro. Portaria Normativa n</w:t>
      </w:r>
      <w:r w:rsidR="002B200B"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º</w:t>
      </w: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15/MD</w:t>
      </w:r>
      <w:r w:rsidR="00860299"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t>, de 4 de abril de 2018. Brasília-DF, 2018.</w:t>
      </w:r>
    </w:p>
    <w:p w14:paraId="4DCA1EBB" w14:textId="0F132F7B" w:rsidR="00C3329E" w:rsidRPr="00BE0524" w:rsidRDefault="00C3329E" w:rsidP="00951B8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C6D7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BRASIL. Ministério da Defesa. Gabinete do Ministro. Portaria Normativa nº 78/MD, de 2 de setembro de 2019.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Brasília-DF, 2019.</w:t>
      </w:r>
    </w:p>
    <w:sectPr w:rsidR="00C3329E" w:rsidRPr="00BE0524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F0F552" w14:textId="77777777" w:rsidR="00F76184" w:rsidRDefault="00F76184" w:rsidP="000C6CC1">
      <w:pPr>
        <w:spacing w:after="0" w:line="240" w:lineRule="auto"/>
      </w:pPr>
      <w:r>
        <w:separator/>
      </w:r>
    </w:p>
  </w:endnote>
  <w:endnote w:type="continuationSeparator" w:id="0">
    <w:p w14:paraId="0EA8F6DA" w14:textId="77777777" w:rsidR="00F76184" w:rsidRDefault="00F76184" w:rsidP="000C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20202636"/>
      <w:docPartObj>
        <w:docPartGallery w:val="Page Numbers (Bottom of Page)"/>
        <w:docPartUnique/>
      </w:docPartObj>
    </w:sdtPr>
    <w:sdtEndPr/>
    <w:sdtContent>
      <w:p w14:paraId="5CE86C12" w14:textId="6111D13F" w:rsidR="000C6CC1" w:rsidRPr="00382214" w:rsidRDefault="000C6CC1">
        <w:pPr>
          <w:pStyle w:val="Rodap"/>
          <w:jc w:val="center"/>
          <w:rPr>
            <w:rFonts w:ascii="Times New Roman" w:hAnsi="Times New Roman" w:cs="Times New Roman"/>
          </w:rPr>
        </w:pPr>
        <w:r w:rsidRPr="00382214">
          <w:rPr>
            <w:rFonts w:ascii="Times New Roman" w:hAnsi="Times New Roman" w:cs="Times New Roman"/>
          </w:rPr>
          <w:fldChar w:fldCharType="begin"/>
        </w:r>
        <w:r w:rsidRPr="00382214">
          <w:rPr>
            <w:rFonts w:ascii="Times New Roman" w:hAnsi="Times New Roman" w:cs="Times New Roman"/>
          </w:rPr>
          <w:instrText>PAGE   \* MERGEFORMAT</w:instrText>
        </w:r>
        <w:r w:rsidRPr="00382214">
          <w:rPr>
            <w:rFonts w:ascii="Times New Roman" w:hAnsi="Times New Roman" w:cs="Times New Roman"/>
          </w:rPr>
          <w:fldChar w:fldCharType="separate"/>
        </w:r>
        <w:r w:rsidR="00FF1F84">
          <w:rPr>
            <w:rFonts w:ascii="Times New Roman" w:hAnsi="Times New Roman" w:cs="Times New Roman"/>
            <w:noProof/>
          </w:rPr>
          <w:t>4</w:t>
        </w:r>
        <w:r w:rsidRPr="00382214">
          <w:rPr>
            <w:rFonts w:ascii="Times New Roman" w:hAnsi="Times New Roman" w:cs="Times New Roman"/>
          </w:rPr>
          <w:fldChar w:fldCharType="end"/>
        </w:r>
      </w:p>
    </w:sdtContent>
  </w:sdt>
  <w:p w14:paraId="026D02ED" w14:textId="77777777" w:rsidR="000C6CC1" w:rsidRDefault="000C6C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A8C6F7" w14:textId="77777777" w:rsidR="00F76184" w:rsidRDefault="00F76184" w:rsidP="000C6CC1">
      <w:pPr>
        <w:spacing w:after="0" w:line="240" w:lineRule="auto"/>
      </w:pPr>
      <w:r>
        <w:separator/>
      </w:r>
    </w:p>
  </w:footnote>
  <w:footnote w:type="continuationSeparator" w:id="0">
    <w:p w14:paraId="4448E8F9" w14:textId="77777777" w:rsidR="00F76184" w:rsidRDefault="00F76184" w:rsidP="000C6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91B0E"/>
    <w:multiLevelType w:val="hybridMultilevel"/>
    <w:tmpl w:val="3B6E6A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934C0"/>
    <w:multiLevelType w:val="hybridMultilevel"/>
    <w:tmpl w:val="0CF21A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B07A3"/>
    <w:multiLevelType w:val="hybridMultilevel"/>
    <w:tmpl w:val="4224D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BD3286"/>
    <w:multiLevelType w:val="hybridMultilevel"/>
    <w:tmpl w:val="1BD64C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F3"/>
    <w:rsid w:val="00031083"/>
    <w:rsid w:val="00031CDF"/>
    <w:rsid w:val="0004603D"/>
    <w:rsid w:val="000545A1"/>
    <w:rsid w:val="000758B1"/>
    <w:rsid w:val="00090390"/>
    <w:rsid w:val="000938BA"/>
    <w:rsid w:val="000949B9"/>
    <w:rsid w:val="00094EA1"/>
    <w:rsid w:val="00095F17"/>
    <w:rsid w:val="000A04CA"/>
    <w:rsid w:val="000A1F2C"/>
    <w:rsid w:val="000C6CC1"/>
    <w:rsid w:val="000D38C5"/>
    <w:rsid w:val="000E1BE7"/>
    <w:rsid w:val="00103CF1"/>
    <w:rsid w:val="00113AD3"/>
    <w:rsid w:val="001214CE"/>
    <w:rsid w:val="0017026D"/>
    <w:rsid w:val="00195444"/>
    <w:rsid w:val="001B172E"/>
    <w:rsid w:val="001B291B"/>
    <w:rsid w:val="001F17EE"/>
    <w:rsid w:val="0020128A"/>
    <w:rsid w:val="00201BC5"/>
    <w:rsid w:val="0020461F"/>
    <w:rsid w:val="00207EB0"/>
    <w:rsid w:val="002234A9"/>
    <w:rsid w:val="002471B4"/>
    <w:rsid w:val="002813B0"/>
    <w:rsid w:val="002958E3"/>
    <w:rsid w:val="002B200B"/>
    <w:rsid w:val="002E76BD"/>
    <w:rsid w:val="00307BBB"/>
    <w:rsid w:val="003344BB"/>
    <w:rsid w:val="00355AD6"/>
    <w:rsid w:val="00376FEA"/>
    <w:rsid w:val="003816A5"/>
    <w:rsid w:val="00381FCD"/>
    <w:rsid w:val="00382214"/>
    <w:rsid w:val="003C08F1"/>
    <w:rsid w:val="003C6D78"/>
    <w:rsid w:val="003D57AC"/>
    <w:rsid w:val="00407071"/>
    <w:rsid w:val="00410DA7"/>
    <w:rsid w:val="00433619"/>
    <w:rsid w:val="00444327"/>
    <w:rsid w:val="004B4AFF"/>
    <w:rsid w:val="004E1EB3"/>
    <w:rsid w:val="004E7F96"/>
    <w:rsid w:val="0053242A"/>
    <w:rsid w:val="0055224F"/>
    <w:rsid w:val="00570267"/>
    <w:rsid w:val="00693DD0"/>
    <w:rsid w:val="006C1CB8"/>
    <w:rsid w:val="007A3609"/>
    <w:rsid w:val="007A57BB"/>
    <w:rsid w:val="00860299"/>
    <w:rsid w:val="008660A9"/>
    <w:rsid w:val="00891697"/>
    <w:rsid w:val="008A0442"/>
    <w:rsid w:val="008A3B94"/>
    <w:rsid w:val="008F6B8D"/>
    <w:rsid w:val="00901DEF"/>
    <w:rsid w:val="00903AA5"/>
    <w:rsid w:val="00946B63"/>
    <w:rsid w:val="009476E5"/>
    <w:rsid w:val="00951B87"/>
    <w:rsid w:val="00983A20"/>
    <w:rsid w:val="009A2E70"/>
    <w:rsid w:val="009F74EF"/>
    <w:rsid w:val="00A42AAA"/>
    <w:rsid w:val="00A72A0A"/>
    <w:rsid w:val="00A91567"/>
    <w:rsid w:val="00A95AD0"/>
    <w:rsid w:val="00AC3AAB"/>
    <w:rsid w:val="00B275ED"/>
    <w:rsid w:val="00B352B4"/>
    <w:rsid w:val="00B4370D"/>
    <w:rsid w:val="00B65E51"/>
    <w:rsid w:val="00B74BDA"/>
    <w:rsid w:val="00BA5341"/>
    <w:rsid w:val="00BE0524"/>
    <w:rsid w:val="00BE7EF3"/>
    <w:rsid w:val="00BF0668"/>
    <w:rsid w:val="00C04561"/>
    <w:rsid w:val="00C134A1"/>
    <w:rsid w:val="00C3329E"/>
    <w:rsid w:val="00C67399"/>
    <w:rsid w:val="00C939B6"/>
    <w:rsid w:val="00CC2D17"/>
    <w:rsid w:val="00CE0073"/>
    <w:rsid w:val="00CF193A"/>
    <w:rsid w:val="00CF51D9"/>
    <w:rsid w:val="00D374C1"/>
    <w:rsid w:val="00D5446C"/>
    <w:rsid w:val="00D75CD7"/>
    <w:rsid w:val="00D76F29"/>
    <w:rsid w:val="00D82FF3"/>
    <w:rsid w:val="00DA322E"/>
    <w:rsid w:val="00DF6D5E"/>
    <w:rsid w:val="00EA0F34"/>
    <w:rsid w:val="00EB598E"/>
    <w:rsid w:val="00EC3085"/>
    <w:rsid w:val="00ED5F77"/>
    <w:rsid w:val="00EF06DA"/>
    <w:rsid w:val="00F43AB2"/>
    <w:rsid w:val="00F5490A"/>
    <w:rsid w:val="00F70DE0"/>
    <w:rsid w:val="00F76184"/>
    <w:rsid w:val="00FA3BC2"/>
    <w:rsid w:val="00FF1F84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88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BC2"/>
    <w:pPr>
      <w:ind w:left="720"/>
      <w:contextualSpacing/>
    </w:pPr>
  </w:style>
  <w:style w:type="table" w:styleId="Tabelacomgrade">
    <w:name w:val="Table Grid"/>
    <w:basedOn w:val="Tabelanormal"/>
    <w:uiPriority w:val="59"/>
    <w:rsid w:val="00AC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7BBB"/>
    <w:rPr>
      <w:color w:val="808080"/>
    </w:rPr>
  </w:style>
  <w:style w:type="character" w:styleId="Hyperlink">
    <w:name w:val="Hyperlink"/>
    <w:basedOn w:val="Fontepargpadro"/>
    <w:uiPriority w:val="99"/>
    <w:unhideWhenUsed/>
    <w:rsid w:val="008660A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1"/>
  </w:style>
  <w:style w:type="paragraph" w:styleId="Rodap">
    <w:name w:val="footer"/>
    <w:basedOn w:val="Normal"/>
    <w:link w:val="RodapChar"/>
    <w:uiPriority w:val="99"/>
    <w:unhideWhenUsed/>
    <w:rsid w:val="000C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3BC2"/>
    <w:pPr>
      <w:ind w:left="720"/>
      <w:contextualSpacing/>
    </w:pPr>
  </w:style>
  <w:style w:type="table" w:styleId="Tabelacomgrade">
    <w:name w:val="Table Grid"/>
    <w:basedOn w:val="Tabelanormal"/>
    <w:uiPriority w:val="59"/>
    <w:rsid w:val="00AC3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307BBB"/>
    <w:rPr>
      <w:color w:val="808080"/>
    </w:rPr>
  </w:style>
  <w:style w:type="character" w:styleId="Hyperlink">
    <w:name w:val="Hyperlink"/>
    <w:basedOn w:val="Fontepargpadro"/>
    <w:uiPriority w:val="99"/>
    <w:unhideWhenUsed/>
    <w:rsid w:val="008660A9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C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1"/>
  </w:style>
  <w:style w:type="paragraph" w:styleId="Rodap">
    <w:name w:val="footer"/>
    <w:basedOn w:val="Normal"/>
    <w:link w:val="RodapChar"/>
    <w:uiPriority w:val="99"/>
    <w:unhideWhenUsed/>
    <w:rsid w:val="000C6C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88C18-F649-4B68-883E-8CFA82735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1978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Santi</dc:creator>
  <cp:lastModifiedBy>Eder Candido de Caxias</cp:lastModifiedBy>
  <cp:revision>2</cp:revision>
  <cp:lastPrinted>2021-09-01T17:25:00Z</cp:lastPrinted>
  <dcterms:created xsi:type="dcterms:W3CDTF">2021-09-01T17:27:00Z</dcterms:created>
  <dcterms:modified xsi:type="dcterms:W3CDTF">2021-09-01T17:27:00Z</dcterms:modified>
</cp:coreProperties>
</file>