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EB" w:rsidRPr="004933EB" w:rsidRDefault="008C7BE5" w:rsidP="004933EB">
      <w:pPr>
        <w:jc w:val="center"/>
        <w:rPr>
          <w:rFonts w:asciiTheme="minorHAnsi" w:hAnsiTheme="minorHAnsi" w:cstheme="minorHAnsi"/>
          <w:b/>
          <w:bCs/>
          <w:color w:val="000000"/>
        </w:rPr>
      </w:pPr>
      <w:r>
        <w:rPr>
          <w:rFonts w:asciiTheme="minorHAnsi" w:hAnsiTheme="minorHAnsi" w:cstheme="minorHAnsi"/>
          <w:b/>
          <w:bCs/>
          <w:color w:val="000000"/>
        </w:rPr>
        <w:t>PREGÃO ELETRÔNICO Nº 001</w:t>
      </w:r>
      <w:r w:rsidR="004933EB" w:rsidRPr="004933EB">
        <w:rPr>
          <w:rFonts w:asciiTheme="minorHAnsi" w:hAnsiTheme="minorHAnsi" w:cstheme="minorHAnsi"/>
          <w:b/>
          <w:bCs/>
          <w:color w:val="000000"/>
        </w:rPr>
        <w:t>/2020-SECOM</w:t>
      </w:r>
    </w:p>
    <w:p w:rsidR="004933EB" w:rsidRDefault="004933EB" w:rsidP="004933EB">
      <w:pPr>
        <w:jc w:val="center"/>
        <w:rPr>
          <w:rFonts w:asciiTheme="minorHAnsi" w:hAnsiTheme="minorHAnsi" w:cstheme="minorHAnsi"/>
          <w:bCs/>
          <w:color w:val="000000"/>
        </w:rPr>
      </w:pPr>
    </w:p>
    <w:p w:rsidR="004933EB" w:rsidRDefault="008C7BE5" w:rsidP="004933EB">
      <w:pPr>
        <w:jc w:val="center"/>
        <w:rPr>
          <w:rFonts w:asciiTheme="minorHAnsi" w:hAnsiTheme="minorHAnsi" w:cstheme="minorHAnsi"/>
          <w:bCs/>
          <w:color w:val="000000"/>
        </w:rPr>
      </w:pPr>
      <w:r>
        <w:rPr>
          <w:rFonts w:asciiTheme="minorHAnsi" w:hAnsiTheme="minorHAnsi" w:cstheme="minorHAnsi"/>
          <w:bCs/>
          <w:color w:val="000000"/>
        </w:rPr>
        <w:t>ESCLARECIMENTO Nº 2</w:t>
      </w:r>
    </w:p>
    <w:p w:rsidR="004933EB" w:rsidRDefault="004933EB" w:rsidP="004933EB">
      <w:pPr>
        <w:jc w:val="center"/>
        <w:rPr>
          <w:rFonts w:asciiTheme="minorHAnsi" w:hAnsiTheme="minorHAnsi" w:cstheme="minorHAnsi"/>
          <w:bCs/>
          <w:color w:val="000000"/>
        </w:rPr>
      </w:pPr>
    </w:p>
    <w:p w:rsidR="008C7BE5" w:rsidRDefault="008C7BE5" w:rsidP="008C7BE5">
      <w:pPr>
        <w:pStyle w:val="NormalWeb"/>
        <w:jc w:val="both"/>
        <w:rPr>
          <w:color w:val="000000"/>
        </w:rPr>
      </w:pPr>
      <w:proofErr w:type="gramStart"/>
      <w:r>
        <w:rPr>
          <w:rFonts w:ascii="Verdana" w:hAnsi="Verdana"/>
          <w:color w:val="000000"/>
          <w:sz w:val="20"/>
          <w:szCs w:val="20"/>
        </w:rPr>
        <w:t>a) Q</w:t>
      </w:r>
      <w:r>
        <w:rPr>
          <w:rFonts w:ascii="Verdana" w:hAnsi="Verdana"/>
          <w:color w:val="000000"/>
          <w:sz w:val="20"/>
          <w:szCs w:val="20"/>
        </w:rPr>
        <w:t>uantas</w:t>
      </w:r>
      <w:proofErr w:type="gramEnd"/>
      <w:r>
        <w:rPr>
          <w:rFonts w:ascii="Verdana" w:hAnsi="Verdana"/>
          <w:color w:val="000000"/>
          <w:sz w:val="20"/>
          <w:szCs w:val="20"/>
        </w:rPr>
        <w:t xml:space="preserve"> agências serão contratadas?</w:t>
      </w:r>
    </w:p>
    <w:p w:rsidR="008C7BE5" w:rsidRDefault="008C7BE5" w:rsidP="008C7BE5">
      <w:pPr>
        <w:pStyle w:val="NormalWeb"/>
        <w:jc w:val="both"/>
        <w:rPr>
          <w:color w:val="000000"/>
        </w:rPr>
      </w:pPr>
      <w:r>
        <w:rPr>
          <w:rFonts w:ascii="Verdana" w:hAnsi="Verdana"/>
          <w:color w:val="0000FF"/>
          <w:sz w:val="20"/>
          <w:szCs w:val="20"/>
        </w:rPr>
        <w:t xml:space="preserve">Resposta: </w:t>
      </w:r>
      <w:r>
        <w:rPr>
          <w:rFonts w:ascii="Verdana" w:hAnsi="Verdana"/>
          <w:color w:val="0000FF"/>
          <w:sz w:val="20"/>
          <w:szCs w:val="20"/>
        </w:rPr>
        <w:t>Conforme segregação do objeto, cada um dos itens poderá ser adjudicado a uma licitante.</w:t>
      </w:r>
    </w:p>
    <w:p w:rsidR="008C7BE5" w:rsidRDefault="008C7BE5" w:rsidP="008C7BE5">
      <w:pPr>
        <w:pStyle w:val="NormalWeb"/>
        <w:jc w:val="both"/>
        <w:rPr>
          <w:color w:val="000000"/>
        </w:rPr>
      </w:pPr>
      <w:proofErr w:type="gramStart"/>
      <w:r>
        <w:rPr>
          <w:rFonts w:ascii="Verdana" w:hAnsi="Verdana"/>
          <w:color w:val="000000"/>
          <w:sz w:val="20"/>
          <w:szCs w:val="20"/>
        </w:rPr>
        <w:t>b) O</w:t>
      </w:r>
      <w:r>
        <w:rPr>
          <w:rFonts w:ascii="Verdana" w:hAnsi="Verdana"/>
          <w:color w:val="000000"/>
          <w:sz w:val="20"/>
          <w:szCs w:val="20"/>
        </w:rPr>
        <w:t>s</w:t>
      </w:r>
      <w:proofErr w:type="gramEnd"/>
      <w:r>
        <w:rPr>
          <w:rFonts w:ascii="Verdana" w:hAnsi="Verdana"/>
          <w:color w:val="000000"/>
          <w:sz w:val="20"/>
          <w:szCs w:val="20"/>
        </w:rPr>
        <w:t xml:space="preserve"> atestados apresentados podem ser de contratos que ainda estão em execução ou apenas de contratos finalizados? </w:t>
      </w:r>
    </w:p>
    <w:p w:rsidR="008C7BE5" w:rsidRDefault="008C7BE5" w:rsidP="008C7BE5">
      <w:pPr>
        <w:pStyle w:val="NormalWeb"/>
        <w:jc w:val="both"/>
        <w:rPr>
          <w:color w:val="000000"/>
        </w:rPr>
      </w:pPr>
      <w:r>
        <w:rPr>
          <w:rFonts w:ascii="Verdana" w:hAnsi="Verdana"/>
          <w:color w:val="0000FF"/>
          <w:sz w:val="20"/>
          <w:szCs w:val="20"/>
        </w:rPr>
        <w:t xml:space="preserve">Resposta: </w:t>
      </w:r>
      <w:r>
        <w:rPr>
          <w:rFonts w:ascii="Verdana" w:hAnsi="Verdana"/>
          <w:color w:val="0000FF"/>
          <w:sz w:val="20"/>
          <w:szCs w:val="20"/>
        </w:rPr>
        <w:t>Conforme entendimento extraído do subitem 9.11.1 do Edital, os comprovantes a serem apresentados podem corresponder a contratos em execução ou encerrados.</w:t>
      </w:r>
    </w:p>
    <w:p w:rsidR="008C7BE5" w:rsidRDefault="008C7BE5" w:rsidP="008C7BE5">
      <w:pPr>
        <w:pStyle w:val="NormalWeb"/>
        <w:jc w:val="both"/>
        <w:rPr>
          <w:color w:val="000000"/>
        </w:rPr>
      </w:pPr>
      <w:r>
        <w:rPr>
          <w:color w:val="0000FF"/>
          <w:sz w:val="20"/>
          <w:szCs w:val="20"/>
        </w:rPr>
        <w:t>"</w:t>
      </w:r>
      <w:r>
        <w:rPr>
          <w:i/>
          <w:iCs/>
          <w:color w:val="0000FF"/>
          <w:sz w:val="20"/>
          <w:szCs w:val="20"/>
        </w:rPr>
        <w:t>9</w:t>
      </w:r>
      <w:r>
        <w:rPr>
          <w:rFonts w:ascii="Verdana" w:hAnsi="Verdana"/>
          <w:i/>
          <w:iCs/>
          <w:color w:val="0000FF"/>
          <w:sz w:val="20"/>
          <w:szCs w:val="20"/>
        </w:rPr>
        <w:t xml:space="preserve">.11.1 Comprovante de que </w:t>
      </w:r>
      <w:r>
        <w:rPr>
          <w:rFonts w:ascii="Verdana" w:hAnsi="Verdana"/>
          <w:b/>
          <w:bCs/>
          <w:i/>
          <w:iCs/>
          <w:color w:val="0000FF"/>
          <w:sz w:val="20"/>
          <w:szCs w:val="20"/>
          <w:u w:val="single"/>
        </w:rPr>
        <w:t>executa/executou</w:t>
      </w:r>
      <w:r>
        <w:rPr>
          <w:rFonts w:ascii="Verdana" w:hAnsi="Verdana"/>
          <w:i/>
          <w:iCs/>
          <w:color w:val="0000FF"/>
          <w:sz w:val="20"/>
          <w:szCs w:val="20"/>
        </w:rPr>
        <w:t xml:space="preserve"> serviços de comunicação digital, de porte compatível em características, quantidades e prazos e especificidade dos serviços previstos nessa contratação, cujas atividades sejam iguais ou similares, às descritas nos Anexos II e III (Tabelas de Produtos e Serviços), de acordo com o item ao qual está concorrendo, preferencialmente nos últimos 4 anos.</w:t>
      </w:r>
      <w:r>
        <w:rPr>
          <w:rFonts w:ascii="Verdana" w:hAnsi="Verdana"/>
          <w:color w:val="0000FF"/>
          <w:sz w:val="20"/>
          <w:szCs w:val="20"/>
        </w:rPr>
        <w:t>"</w:t>
      </w:r>
    </w:p>
    <w:p w:rsidR="008C7BE5" w:rsidRDefault="008C7BE5" w:rsidP="008C7BE5">
      <w:pPr>
        <w:pStyle w:val="NormalWeb"/>
        <w:jc w:val="both"/>
        <w:rPr>
          <w:color w:val="000000"/>
        </w:rPr>
      </w:pPr>
      <w:proofErr w:type="gramStart"/>
      <w:r>
        <w:rPr>
          <w:rFonts w:ascii="Verdana" w:hAnsi="Verdana"/>
          <w:color w:val="000000"/>
          <w:sz w:val="20"/>
          <w:szCs w:val="20"/>
        </w:rPr>
        <w:t>c) Qual</w:t>
      </w:r>
      <w:proofErr w:type="gramEnd"/>
      <w:r>
        <w:rPr>
          <w:rFonts w:ascii="Verdana" w:hAnsi="Verdana"/>
          <w:color w:val="000000"/>
          <w:sz w:val="20"/>
          <w:szCs w:val="20"/>
        </w:rPr>
        <w:t xml:space="preserve"> o prazo mínimo dos atestados?</w:t>
      </w:r>
    </w:p>
    <w:p w:rsidR="008C7BE5" w:rsidRDefault="008C7BE5" w:rsidP="008C7BE5">
      <w:pPr>
        <w:pStyle w:val="NormalWeb"/>
        <w:jc w:val="both"/>
        <w:rPr>
          <w:color w:val="000000"/>
        </w:rPr>
      </w:pPr>
      <w:r>
        <w:rPr>
          <w:rFonts w:ascii="Verdana" w:hAnsi="Verdana"/>
          <w:color w:val="0000FF"/>
          <w:sz w:val="20"/>
          <w:szCs w:val="20"/>
        </w:rPr>
        <w:t xml:space="preserve">Resposta: Conforme subitem 9.11.1 do Edital os comprovantes devem se referir, preferencialmente, </w:t>
      </w:r>
      <w:proofErr w:type="gramStart"/>
      <w:r>
        <w:rPr>
          <w:rFonts w:ascii="Verdana" w:hAnsi="Verdana"/>
          <w:color w:val="0000FF"/>
          <w:sz w:val="20"/>
          <w:szCs w:val="20"/>
        </w:rPr>
        <w:t>à</w:t>
      </w:r>
      <w:proofErr w:type="gramEnd"/>
      <w:r>
        <w:rPr>
          <w:rFonts w:ascii="Verdana" w:hAnsi="Verdana"/>
          <w:color w:val="0000FF"/>
          <w:sz w:val="20"/>
          <w:szCs w:val="20"/>
        </w:rPr>
        <w:t xml:space="preserve"> execuções ocorridas nos últimos 4 anos.</w:t>
      </w:r>
    </w:p>
    <w:p w:rsidR="008C7BE5" w:rsidRDefault="008C7BE5" w:rsidP="008C7BE5">
      <w:pPr>
        <w:pStyle w:val="NormalWeb"/>
        <w:jc w:val="both"/>
        <w:rPr>
          <w:color w:val="000000"/>
        </w:rPr>
      </w:pPr>
      <w:r>
        <w:rPr>
          <w:rFonts w:ascii="Verdana" w:hAnsi="Verdana"/>
          <w:color w:val="0000FF"/>
          <w:sz w:val="20"/>
          <w:szCs w:val="20"/>
        </w:rPr>
        <w:t xml:space="preserve">Nos termos do subitem 20.7.2 do Termo de Referência: </w:t>
      </w:r>
      <w:r>
        <w:rPr>
          <w:rFonts w:ascii="Verdana" w:hAnsi="Verdana"/>
          <w:i/>
          <w:iCs/>
          <w:color w:val="0000FF"/>
          <w:sz w:val="20"/>
          <w:szCs w:val="20"/>
        </w:rPr>
        <w:t>"</w:t>
      </w:r>
      <w:r>
        <w:rPr>
          <w:rFonts w:ascii="Calibri" w:hAnsi="Calibri" w:cs="Calibri"/>
          <w:i/>
          <w:iCs/>
          <w:color w:val="0000FF"/>
        </w:rPr>
        <w:t>Destaca-se que a referência de intervalo de tempo (de 2017 aos dias atuais) para os atestados comprobatórios serve-se do fato de a comunicação digital e suas ramificações serem atividades inerentes a um mercado que evolui muito rapidamente não sendo interessante, do ponto de vista da comunicação, não estar alinhada a essa metamorfose, o que poderia inclusive comprometer o posicionamento das mensagens de governo, seu alcance e seu impacto. Assim, atestado anteriores a 2017 podem refletir uma realidade de práticas em comunicação já bastante distante das que são possíveis nos últimos anos"</w:t>
      </w:r>
    </w:p>
    <w:p w:rsidR="008C7BE5" w:rsidRDefault="008C7BE5" w:rsidP="008C7BE5">
      <w:pPr>
        <w:pStyle w:val="NormalWeb"/>
        <w:jc w:val="both"/>
        <w:rPr>
          <w:color w:val="000000"/>
        </w:rPr>
      </w:pPr>
      <w:proofErr w:type="gramStart"/>
      <w:r>
        <w:rPr>
          <w:rFonts w:ascii="Verdana" w:hAnsi="Verdana"/>
          <w:color w:val="000000"/>
          <w:sz w:val="20"/>
          <w:szCs w:val="20"/>
        </w:rPr>
        <w:t>d) É</w:t>
      </w:r>
      <w:proofErr w:type="gramEnd"/>
      <w:r>
        <w:rPr>
          <w:rFonts w:ascii="Verdana" w:hAnsi="Verdana"/>
          <w:color w:val="000000"/>
          <w:sz w:val="20"/>
          <w:szCs w:val="20"/>
        </w:rPr>
        <w:t xml:space="preserve"> necessário assinatura digital ou reconhecimento de firma nos atestados?</w:t>
      </w:r>
    </w:p>
    <w:p w:rsidR="008C7BE5" w:rsidRDefault="008C7BE5" w:rsidP="008C7BE5">
      <w:pPr>
        <w:pStyle w:val="NormalWeb"/>
        <w:jc w:val="both"/>
        <w:rPr>
          <w:color w:val="000000"/>
        </w:rPr>
      </w:pPr>
      <w:r>
        <w:rPr>
          <w:rFonts w:ascii="Verdana" w:hAnsi="Verdana"/>
          <w:color w:val="0000FF"/>
          <w:sz w:val="20"/>
          <w:szCs w:val="20"/>
        </w:rPr>
        <w:t>Resposta: As formas de apresentação e comprovação das informações constantes dos atestados, são as dispostas no subitem 9.11.2 e seguintes do Edital.</w:t>
      </w:r>
    </w:p>
    <w:p w:rsidR="008C7BE5" w:rsidRDefault="008C7BE5" w:rsidP="008C7BE5">
      <w:pPr>
        <w:pStyle w:val="NormalWeb"/>
        <w:jc w:val="both"/>
        <w:rPr>
          <w:color w:val="000000"/>
        </w:rPr>
      </w:pPr>
      <w:proofErr w:type="gramStart"/>
      <w:r>
        <w:rPr>
          <w:rFonts w:ascii="Verdana" w:hAnsi="Verdana"/>
          <w:color w:val="000000"/>
          <w:sz w:val="20"/>
          <w:szCs w:val="20"/>
        </w:rPr>
        <w:t>e) Qual</w:t>
      </w:r>
      <w:proofErr w:type="gramEnd"/>
      <w:r>
        <w:rPr>
          <w:rFonts w:ascii="Verdana" w:hAnsi="Verdana"/>
          <w:color w:val="000000"/>
          <w:sz w:val="20"/>
          <w:szCs w:val="20"/>
        </w:rPr>
        <w:t xml:space="preserve"> a quantidade de atestados para cada item?</w:t>
      </w:r>
    </w:p>
    <w:p w:rsidR="008C7BE5" w:rsidRDefault="008C7BE5" w:rsidP="008C7BE5">
      <w:pPr>
        <w:pStyle w:val="NormalWeb"/>
        <w:jc w:val="both"/>
        <w:rPr>
          <w:color w:val="000000"/>
        </w:rPr>
      </w:pPr>
      <w:r>
        <w:rPr>
          <w:rFonts w:ascii="Verdana" w:hAnsi="Verdana"/>
          <w:color w:val="0000FF"/>
          <w:sz w:val="20"/>
          <w:szCs w:val="20"/>
        </w:rPr>
        <w:t>Não há estabelecimento de quantitativo máximo de atestados. Contudo a licitante de modo a comprovar as exigências, deve observar, especialmente neste caso, o que estabelece os subitens 9.11.1.2 e 9.11.1.5.  </w:t>
      </w:r>
    </w:p>
    <w:p w:rsidR="008C7BE5" w:rsidRDefault="008C7BE5" w:rsidP="008C7BE5">
      <w:pPr>
        <w:pStyle w:val="NormalWeb"/>
        <w:jc w:val="both"/>
        <w:rPr>
          <w:color w:val="000000"/>
        </w:rPr>
      </w:pPr>
      <w:proofErr w:type="gramStart"/>
      <w:r>
        <w:rPr>
          <w:rFonts w:ascii="Verdana" w:hAnsi="Verdana"/>
          <w:color w:val="000000"/>
          <w:sz w:val="20"/>
          <w:szCs w:val="20"/>
        </w:rPr>
        <w:t>f) Será</w:t>
      </w:r>
      <w:proofErr w:type="gramEnd"/>
      <w:r>
        <w:rPr>
          <w:rFonts w:ascii="Verdana" w:hAnsi="Verdana"/>
          <w:color w:val="000000"/>
          <w:sz w:val="20"/>
          <w:szCs w:val="20"/>
        </w:rPr>
        <w:t xml:space="preserve"> aceito somatório de atestados para comprovação dos 50%?</w:t>
      </w:r>
    </w:p>
    <w:p w:rsidR="008C7BE5" w:rsidRDefault="008C7BE5" w:rsidP="008C7BE5">
      <w:pPr>
        <w:pStyle w:val="NormalWeb"/>
        <w:jc w:val="both"/>
        <w:rPr>
          <w:color w:val="000000"/>
        </w:rPr>
      </w:pPr>
      <w:r>
        <w:rPr>
          <w:rFonts w:ascii="Verdana" w:hAnsi="Verdana"/>
          <w:color w:val="0000FF"/>
          <w:sz w:val="20"/>
          <w:szCs w:val="20"/>
        </w:rPr>
        <w:t>Não há vedação ao somatório de atestados.</w:t>
      </w:r>
    </w:p>
    <w:p w:rsidR="00C67949" w:rsidRDefault="001B61AA" w:rsidP="008C7BE5">
      <w:pPr>
        <w:jc w:val="center"/>
        <w:rPr>
          <w:rFonts w:asciiTheme="minorHAnsi" w:hAnsiTheme="minorHAnsi" w:cstheme="minorHAnsi"/>
        </w:rPr>
      </w:pPr>
    </w:p>
    <w:p w:rsidR="008C7BE5" w:rsidRDefault="008C7BE5" w:rsidP="008C7BE5">
      <w:pPr>
        <w:jc w:val="center"/>
        <w:rPr>
          <w:rFonts w:asciiTheme="minorHAnsi" w:hAnsiTheme="minorHAnsi" w:cstheme="minorHAnsi"/>
        </w:rPr>
      </w:pPr>
    </w:p>
    <w:p w:rsidR="008C7BE5" w:rsidRDefault="008C7BE5" w:rsidP="008C7BE5">
      <w:pPr>
        <w:jc w:val="center"/>
        <w:rPr>
          <w:rFonts w:asciiTheme="minorHAnsi" w:hAnsiTheme="minorHAnsi" w:cstheme="minorHAnsi"/>
        </w:rPr>
      </w:pPr>
    </w:p>
    <w:p w:rsidR="008C7BE5" w:rsidRDefault="008C7BE5" w:rsidP="008C7BE5">
      <w:pPr>
        <w:jc w:val="center"/>
        <w:rPr>
          <w:rFonts w:asciiTheme="minorHAnsi" w:hAnsiTheme="minorHAnsi" w:cstheme="minorHAnsi"/>
          <w:bCs/>
          <w:color w:val="000000"/>
        </w:rPr>
      </w:pPr>
      <w:r>
        <w:rPr>
          <w:rFonts w:asciiTheme="minorHAnsi" w:hAnsiTheme="minorHAnsi" w:cstheme="minorHAnsi"/>
          <w:bCs/>
          <w:color w:val="000000"/>
        </w:rPr>
        <w:lastRenderedPageBreak/>
        <w:t>ESCLARECIMENTO Nº 3</w:t>
      </w:r>
    </w:p>
    <w:p w:rsidR="008C7BE5" w:rsidRDefault="008C7BE5" w:rsidP="008C7BE5">
      <w:pPr>
        <w:jc w:val="center"/>
        <w:rPr>
          <w:rFonts w:asciiTheme="minorHAnsi" w:hAnsiTheme="minorHAnsi" w:cstheme="minorHAnsi"/>
          <w:bCs/>
          <w:color w:val="000000"/>
        </w:rPr>
      </w:pPr>
    </w:p>
    <w:p w:rsidR="008C7BE5" w:rsidRDefault="008C7BE5" w:rsidP="008C7BE5">
      <w:pPr>
        <w:jc w:val="both"/>
        <w:rPr>
          <w:rFonts w:asciiTheme="minorHAnsi" w:hAnsiTheme="minorHAnsi" w:cstheme="minorHAnsi"/>
        </w:rPr>
      </w:pPr>
    </w:p>
    <w:p w:rsidR="008C7BE5" w:rsidRDefault="008C7BE5" w:rsidP="008C7BE5">
      <w:pPr>
        <w:jc w:val="both"/>
        <w:rPr>
          <w:rFonts w:asciiTheme="minorHAnsi" w:hAnsiTheme="minorHAnsi" w:cstheme="minorHAnsi"/>
        </w:rPr>
      </w:pPr>
    </w:p>
    <w:p w:rsidR="008C7BE5" w:rsidRDefault="008C7BE5" w:rsidP="008C7BE5">
      <w:pPr>
        <w:jc w:val="both"/>
        <w:rPr>
          <w:color w:val="000000"/>
        </w:rPr>
      </w:pPr>
      <w:r>
        <w:rPr>
          <w:color w:val="000000"/>
        </w:rPr>
        <w:t>Quanto ao item 7.2.1, que afirma em que será desclassificada a proposta que identifique o licitante, questiona-se: </w:t>
      </w:r>
      <w:proofErr w:type="gramStart"/>
      <w:r>
        <w:rPr>
          <w:color w:val="000000"/>
        </w:rPr>
        <w:t> Nos</w:t>
      </w:r>
      <w:proofErr w:type="gramEnd"/>
      <w:r>
        <w:rPr>
          <w:color w:val="000000"/>
        </w:rPr>
        <w:t xml:space="preserve"> itens 5.1.1.5, 5.1.1.6 e 5.1.1.7 falam que a proposta técnica deverá ter identificação da empresa. Neste caso, o que devemos considerar?</w:t>
      </w:r>
    </w:p>
    <w:p w:rsidR="00F910AD" w:rsidRPr="00F910AD" w:rsidRDefault="008C7BE5" w:rsidP="00F910AD">
      <w:pPr>
        <w:jc w:val="both"/>
        <w:rPr>
          <w:color w:val="3333FF"/>
          <w:sz w:val="22"/>
          <w:szCs w:val="22"/>
          <w:lang w:eastAsia="en-US"/>
        </w:rPr>
      </w:pPr>
      <w:r>
        <w:rPr>
          <w:color w:val="0000FF"/>
        </w:rPr>
        <w:t xml:space="preserve">Resposta: </w:t>
      </w:r>
      <w:r>
        <w:rPr>
          <w:color w:val="0000FF"/>
        </w:rPr>
        <w:t xml:space="preserve">Esclarecemos que os itens </w:t>
      </w:r>
      <w:proofErr w:type="gramStart"/>
      <w:r>
        <w:rPr>
          <w:color w:val="0000FF"/>
        </w:rPr>
        <w:t>referem-se</w:t>
      </w:r>
      <w:proofErr w:type="gramEnd"/>
      <w:r>
        <w:rPr>
          <w:color w:val="0000FF"/>
        </w:rPr>
        <w:t xml:space="preserve"> a momentos distintos do certame.</w:t>
      </w:r>
      <w:r w:rsidR="00F910AD">
        <w:rPr>
          <w:color w:val="0000FF"/>
        </w:rPr>
        <w:t xml:space="preserve"> </w:t>
      </w:r>
      <w:r w:rsidR="00F910AD" w:rsidRPr="00F910AD">
        <w:rPr>
          <w:color w:val="3333FF"/>
          <w:sz w:val="22"/>
          <w:szCs w:val="22"/>
          <w:lang w:eastAsia="en-US"/>
        </w:rPr>
        <w:t>I</w:t>
      </w:r>
      <w:r w:rsidR="00F910AD" w:rsidRPr="00F910AD">
        <w:rPr>
          <w:color w:val="3333FF"/>
          <w:sz w:val="22"/>
          <w:szCs w:val="22"/>
          <w:lang w:eastAsia="en-US"/>
        </w:rPr>
        <w:t xml:space="preserve">nformo que a proposta apresentada quando do item 5, somente será disponibilizada após o envio de lances, conforme subitem 5.9 do edital. Transcrevemos: </w:t>
      </w:r>
    </w:p>
    <w:p w:rsidR="00F910AD" w:rsidRPr="00F910AD" w:rsidRDefault="00F910AD" w:rsidP="00F910AD">
      <w:pPr>
        <w:spacing w:before="120" w:after="120" w:line="276" w:lineRule="auto"/>
        <w:jc w:val="both"/>
        <w:rPr>
          <w:color w:val="3333FF"/>
        </w:rPr>
      </w:pPr>
      <w:proofErr w:type="gramStart"/>
      <w:r w:rsidRPr="00F910AD">
        <w:rPr>
          <w:color w:val="3333FF"/>
        </w:rPr>
        <w:t>5.9 Os</w:t>
      </w:r>
      <w:proofErr w:type="gramEnd"/>
      <w:r w:rsidRPr="00F910AD">
        <w:rPr>
          <w:color w:val="3333FF"/>
        </w:rPr>
        <w:t xml:space="preserve"> documentos que compõem a proposta e a habilitação do licitante melhor classificado somente serão disponibilizados para avaliação do pregoeiro e para acesso público após o encerramento do envio de lances.</w:t>
      </w:r>
    </w:p>
    <w:p w:rsidR="00F910AD" w:rsidRPr="00F910AD" w:rsidRDefault="00F910AD" w:rsidP="00F910AD">
      <w:pPr>
        <w:rPr>
          <w:color w:val="3333FF"/>
          <w:sz w:val="22"/>
          <w:szCs w:val="22"/>
          <w:lang w:eastAsia="en-US"/>
        </w:rPr>
      </w:pPr>
      <w:r w:rsidRPr="00F910AD">
        <w:rPr>
          <w:color w:val="3333FF"/>
          <w:sz w:val="22"/>
          <w:szCs w:val="22"/>
          <w:lang w:eastAsia="en-US"/>
        </w:rPr>
        <w:t xml:space="preserve">Em relação à previsão do contido no subitem 7.2.1, esclareço </w:t>
      </w:r>
      <w:proofErr w:type="gramStart"/>
      <w:r w:rsidRPr="00F910AD">
        <w:rPr>
          <w:color w:val="3333FF"/>
          <w:sz w:val="22"/>
          <w:szCs w:val="22"/>
          <w:lang w:eastAsia="en-US"/>
        </w:rPr>
        <w:t>que  refere</w:t>
      </w:r>
      <w:proofErr w:type="gramEnd"/>
      <w:r w:rsidRPr="00F910AD">
        <w:rPr>
          <w:color w:val="3333FF"/>
          <w:sz w:val="22"/>
          <w:szCs w:val="22"/>
          <w:lang w:eastAsia="en-US"/>
        </w:rPr>
        <w:t>-se ao preenchimento da proposta no sistema eletrônico nos termos do item 6 do edital.  Transcrevemos:</w:t>
      </w:r>
    </w:p>
    <w:p w:rsidR="00F910AD" w:rsidRPr="00F910AD" w:rsidRDefault="00F910AD" w:rsidP="00F910AD">
      <w:pPr>
        <w:pStyle w:val="Nivel01"/>
        <w:numPr>
          <w:ilvl w:val="0"/>
          <w:numId w:val="0"/>
        </w:numPr>
        <w:shd w:val="clear" w:color="auto" w:fill="D9D9D9"/>
        <w:spacing w:before="120"/>
        <w:ind w:right="0"/>
        <w:jc w:val="center"/>
        <w:rPr>
          <w:rFonts w:ascii="Times New Roman" w:hAnsi="Times New Roman" w:cs="Times New Roman"/>
          <w:color w:val="3333FF"/>
          <w:sz w:val="20"/>
          <w:szCs w:val="20"/>
          <w:lang w:eastAsia="pt-BR"/>
        </w:rPr>
      </w:pPr>
      <w:r w:rsidRPr="00F910AD">
        <w:rPr>
          <w:rFonts w:ascii="Times New Roman" w:hAnsi="Times New Roman" w:cs="Times New Roman"/>
          <w:color w:val="3333FF"/>
          <w:sz w:val="20"/>
          <w:szCs w:val="20"/>
        </w:rPr>
        <w:t>6. DO PREENCHIMENTO DA PROPOSTA</w:t>
      </w:r>
    </w:p>
    <w:p w:rsidR="00F910AD" w:rsidRPr="00F910AD" w:rsidRDefault="00F910AD" w:rsidP="00F910AD">
      <w:pPr>
        <w:spacing w:before="120"/>
        <w:jc w:val="both"/>
        <w:rPr>
          <w:color w:val="3333FF"/>
          <w:sz w:val="20"/>
          <w:szCs w:val="20"/>
        </w:rPr>
      </w:pPr>
      <w:r w:rsidRPr="00F910AD">
        <w:rPr>
          <w:color w:val="3333FF"/>
          <w:sz w:val="20"/>
          <w:szCs w:val="20"/>
        </w:rPr>
        <w:t>6.1 O licitante deverá enviar sua proposta mediante o preenchimento, no sistema eletrônico, dos seguintes campos:</w:t>
      </w:r>
    </w:p>
    <w:p w:rsidR="00F910AD" w:rsidRPr="00F910AD" w:rsidRDefault="00F910AD" w:rsidP="00F910AD">
      <w:pPr>
        <w:autoSpaceDE w:val="0"/>
        <w:snapToGrid w:val="0"/>
        <w:spacing w:before="120"/>
        <w:ind w:left="284"/>
        <w:jc w:val="both"/>
        <w:rPr>
          <w:color w:val="3333FF"/>
          <w:sz w:val="20"/>
          <w:szCs w:val="20"/>
        </w:rPr>
      </w:pPr>
      <w:proofErr w:type="gramStart"/>
      <w:r w:rsidRPr="00F910AD">
        <w:rPr>
          <w:color w:val="3333FF"/>
          <w:sz w:val="20"/>
          <w:szCs w:val="20"/>
        </w:rPr>
        <w:t>6.1.1 valor</w:t>
      </w:r>
      <w:proofErr w:type="gramEnd"/>
      <w:r w:rsidRPr="00F910AD">
        <w:rPr>
          <w:color w:val="3333FF"/>
          <w:sz w:val="20"/>
          <w:szCs w:val="20"/>
        </w:rPr>
        <w:t xml:space="preserve"> unitário e total do item; </w:t>
      </w:r>
    </w:p>
    <w:p w:rsidR="00F910AD" w:rsidRPr="00F910AD" w:rsidRDefault="00F910AD" w:rsidP="00F910AD">
      <w:pPr>
        <w:autoSpaceDE w:val="0"/>
        <w:snapToGrid w:val="0"/>
        <w:spacing w:before="120"/>
        <w:ind w:left="284"/>
        <w:jc w:val="both"/>
        <w:rPr>
          <w:strike/>
          <w:color w:val="3333FF"/>
          <w:sz w:val="20"/>
          <w:szCs w:val="20"/>
        </w:rPr>
      </w:pPr>
      <w:proofErr w:type="gramStart"/>
      <w:r w:rsidRPr="00F910AD">
        <w:rPr>
          <w:color w:val="3333FF"/>
          <w:sz w:val="20"/>
          <w:szCs w:val="20"/>
        </w:rPr>
        <w:t>6.1.2 descrição</w:t>
      </w:r>
      <w:proofErr w:type="gramEnd"/>
      <w:r w:rsidRPr="00F910AD">
        <w:rPr>
          <w:color w:val="3333FF"/>
          <w:sz w:val="20"/>
          <w:szCs w:val="20"/>
        </w:rPr>
        <w:t xml:space="preserve"> do objeto.</w:t>
      </w:r>
    </w:p>
    <w:p w:rsidR="00F910AD" w:rsidRPr="00F910AD" w:rsidRDefault="00F910AD" w:rsidP="00F910AD">
      <w:pPr>
        <w:spacing w:before="120"/>
        <w:jc w:val="both"/>
        <w:rPr>
          <w:color w:val="3333FF"/>
          <w:sz w:val="20"/>
          <w:szCs w:val="20"/>
        </w:rPr>
      </w:pPr>
      <w:r w:rsidRPr="00F910AD">
        <w:rPr>
          <w:color w:val="3333FF"/>
          <w:sz w:val="20"/>
          <w:szCs w:val="20"/>
        </w:rPr>
        <w:t xml:space="preserve">6.2 Todas as especificações do objeto contidas na proposta vinculam a Contratada. </w:t>
      </w:r>
    </w:p>
    <w:p w:rsidR="00F910AD" w:rsidRPr="00F910AD" w:rsidRDefault="00F910AD" w:rsidP="00F910AD">
      <w:pPr>
        <w:spacing w:before="120"/>
        <w:jc w:val="both"/>
        <w:rPr>
          <w:color w:val="3333FF"/>
          <w:sz w:val="20"/>
          <w:szCs w:val="20"/>
        </w:rPr>
      </w:pPr>
      <w:proofErr w:type="gramStart"/>
      <w:r w:rsidRPr="00F910AD">
        <w:rPr>
          <w:color w:val="3333FF"/>
          <w:sz w:val="20"/>
          <w:szCs w:val="20"/>
        </w:rPr>
        <w:t>6.3 Nos</w:t>
      </w:r>
      <w:proofErr w:type="gramEnd"/>
      <w:r w:rsidRPr="00F910AD">
        <w:rPr>
          <w:color w:val="3333FF"/>
          <w:sz w:val="20"/>
          <w:szCs w:val="20"/>
        </w:rPr>
        <w:t xml:space="preserve">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F910AD" w:rsidRPr="00F910AD" w:rsidRDefault="00F910AD" w:rsidP="00F910AD">
      <w:pPr>
        <w:autoSpaceDE w:val="0"/>
        <w:snapToGrid w:val="0"/>
        <w:spacing w:before="120"/>
        <w:ind w:left="284"/>
        <w:jc w:val="both"/>
        <w:rPr>
          <w:color w:val="3333FF"/>
          <w:sz w:val="20"/>
          <w:szCs w:val="20"/>
        </w:rPr>
      </w:pPr>
      <w:r w:rsidRPr="00F910AD">
        <w:rPr>
          <w:color w:val="3333FF"/>
          <w:sz w:val="20"/>
          <w:szCs w:val="20"/>
        </w:rPr>
        <w:t xml:space="preserve">6.3.1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 </w:t>
      </w:r>
    </w:p>
    <w:p w:rsidR="00F910AD" w:rsidRPr="00F910AD" w:rsidRDefault="00F910AD" w:rsidP="00F910AD">
      <w:pPr>
        <w:autoSpaceDE w:val="0"/>
        <w:snapToGrid w:val="0"/>
        <w:spacing w:before="120"/>
        <w:ind w:left="284"/>
        <w:jc w:val="both"/>
        <w:rPr>
          <w:color w:val="3333FF"/>
          <w:sz w:val="20"/>
          <w:szCs w:val="20"/>
        </w:rPr>
      </w:pPr>
      <w:r w:rsidRPr="00F910AD">
        <w:rPr>
          <w:color w:val="3333FF"/>
          <w:sz w:val="20"/>
          <w:szCs w:val="20"/>
        </w:rPr>
        <w:t>6.3.2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05/2017);</w:t>
      </w:r>
    </w:p>
    <w:p w:rsidR="00F910AD" w:rsidRPr="00F910AD" w:rsidRDefault="00F910AD" w:rsidP="00F910AD">
      <w:pPr>
        <w:spacing w:before="120"/>
        <w:jc w:val="both"/>
        <w:rPr>
          <w:color w:val="3333FF"/>
          <w:sz w:val="20"/>
          <w:szCs w:val="20"/>
        </w:rPr>
      </w:pPr>
      <w:r w:rsidRPr="00F910AD">
        <w:rPr>
          <w:color w:val="3333FF"/>
          <w:sz w:val="20"/>
          <w:szCs w:val="20"/>
        </w:rPr>
        <w:t>6.4 A empresa é a única responsável pela cotação correta dos encargos tributários. Em caso de erro ou cotação incompatível com o regime tributário a que se submete, serão adotadas as orientações a seguir:</w:t>
      </w:r>
    </w:p>
    <w:p w:rsidR="00F910AD" w:rsidRPr="00F910AD" w:rsidRDefault="00F910AD" w:rsidP="00F910AD">
      <w:pPr>
        <w:spacing w:before="120"/>
        <w:ind w:left="284"/>
        <w:jc w:val="both"/>
        <w:rPr>
          <w:color w:val="3333FF"/>
          <w:sz w:val="20"/>
          <w:szCs w:val="20"/>
        </w:rPr>
      </w:pPr>
      <w:proofErr w:type="gramStart"/>
      <w:r w:rsidRPr="00F910AD">
        <w:rPr>
          <w:color w:val="3333FF"/>
          <w:sz w:val="20"/>
          <w:szCs w:val="20"/>
        </w:rPr>
        <w:t>6.4.1 cotação</w:t>
      </w:r>
      <w:proofErr w:type="gramEnd"/>
      <w:r w:rsidRPr="00F910AD">
        <w:rPr>
          <w:color w:val="3333FF"/>
          <w:sz w:val="20"/>
          <w:szCs w:val="20"/>
        </w:rPr>
        <w:t xml:space="preserve"> de percentual menor que o adequado: o percentual será mantido durante toda a execução contratual;</w:t>
      </w:r>
    </w:p>
    <w:p w:rsidR="00F910AD" w:rsidRPr="00F910AD" w:rsidRDefault="00F910AD" w:rsidP="00F910AD">
      <w:pPr>
        <w:spacing w:before="120"/>
        <w:ind w:left="284"/>
        <w:jc w:val="both"/>
        <w:rPr>
          <w:color w:val="3333FF"/>
          <w:sz w:val="20"/>
          <w:szCs w:val="20"/>
        </w:rPr>
      </w:pPr>
      <w:proofErr w:type="gramStart"/>
      <w:r w:rsidRPr="00F910AD">
        <w:rPr>
          <w:color w:val="3333FF"/>
          <w:sz w:val="20"/>
          <w:szCs w:val="20"/>
        </w:rPr>
        <w:t>6.4.2 cotação</w:t>
      </w:r>
      <w:proofErr w:type="gramEnd"/>
      <w:r w:rsidRPr="00F910AD">
        <w:rPr>
          <w:color w:val="3333FF"/>
          <w:sz w:val="20"/>
          <w:szCs w:val="20"/>
        </w:rPr>
        <w:t xml:space="preserve"> de percentual maior que o adequado: o excesso será suprimido, unilateralmente, da planilha e haverá glosa, quando do pagamento, e/ou redução, quando da repactuação, para fins de total ressarcimento do débito.</w:t>
      </w:r>
    </w:p>
    <w:p w:rsidR="00F910AD" w:rsidRPr="00F910AD" w:rsidRDefault="00F910AD" w:rsidP="00F910AD">
      <w:pPr>
        <w:spacing w:before="120"/>
        <w:jc w:val="both"/>
        <w:rPr>
          <w:color w:val="3333FF"/>
          <w:sz w:val="20"/>
          <w:szCs w:val="20"/>
        </w:rPr>
      </w:pPr>
      <w:proofErr w:type="gramStart"/>
      <w:r w:rsidRPr="00F910AD">
        <w:rPr>
          <w:color w:val="3333FF"/>
          <w:sz w:val="20"/>
          <w:szCs w:val="20"/>
        </w:rPr>
        <w:t>6.5 Se</w:t>
      </w:r>
      <w:proofErr w:type="gramEnd"/>
      <w:r w:rsidRPr="00F910AD">
        <w:rPr>
          <w:color w:val="3333FF"/>
          <w:sz w:val="20"/>
          <w:szCs w:val="20"/>
        </w:rPr>
        <w:t xml:space="preserv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F910AD" w:rsidRPr="00F910AD" w:rsidRDefault="00F910AD" w:rsidP="00F910AD">
      <w:pPr>
        <w:spacing w:before="120"/>
        <w:jc w:val="both"/>
        <w:rPr>
          <w:color w:val="3333FF"/>
          <w:sz w:val="20"/>
          <w:szCs w:val="20"/>
        </w:rPr>
      </w:pPr>
      <w:r w:rsidRPr="00F910AD">
        <w:rPr>
          <w:color w:val="3333FF"/>
          <w:sz w:val="20"/>
          <w:szCs w:val="20"/>
        </w:rPr>
        <w:t>6.6 Independentemente do percentual de tributo inserido na planilha, no pagamento dos serviços, serão retidos na fonte os percentuais estabelecidos na legislação vigente.</w:t>
      </w:r>
    </w:p>
    <w:p w:rsidR="00F910AD" w:rsidRPr="00F910AD" w:rsidRDefault="00F910AD" w:rsidP="00F910AD">
      <w:pPr>
        <w:spacing w:before="120"/>
        <w:jc w:val="both"/>
        <w:rPr>
          <w:color w:val="3333FF"/>
          <w:sz w:val="20"/>
          <w:szCs w:val="20"/>
        </w:rPr>
      </w:pPr>
      <w:r w:rsidRPr="00F910AD">
        <w:rPr>
          <w:color w:val="3333FF"/>
          <w:sz w:val="20"/>
          <w:szCs w:val="20"/>
        </w:rPr>
        <w:t xml:space="preserve">6.7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w:t>
      </w:r>
      <w:r w:rsidRPr="00F910AD">
        <w:rPr>
          <w:color w:val="3333FF"/>
          <w:sz w:val="20"/>
          <w:szCs w:val="20"/>
        </w:rPr>
        <w:lastRenderedPageBreak/>
        <w:t>utensílios necessários, em quantidades e qualidades adequadas à perfeita execução contratual, promovendo, quando requerido, sua substituição.</w:t>
      </w:r>
    </w:p>
    <w:p w:rsidR="00F910AD" w:rsidRPr="00F910AD" w:rsidRDefault="00F910AD" w:rsidP="00F910AD">
      <w:pPr>
        <w:spacing w:before="120"/>
        <w:jc w:val="both"/>
        <w:rPr>
          <w:color w:val="3333FF"/>
          <w:sz w:val="20"/>
          <w:szCs w:val="20"/>
        </w:rPr>
      </w:pPr>
      <w:proofErr w:type="gramStart"/>
      <w:r w:rsidRPr="00F910AD">
        <w:rPr>
          <w:color w:val="3333FF"/>
          <w:sz w:val="20"/>
          <w:szCs w:val="20"/>
        </w:rPr>
        <w:t>6.8 Os</w:t>
      </w:r>
      <w:proofErr w:type="gramEnd"/>
      <w:r w:rsidRPr="00F910AD">
        <w:rPr>
          <w:color w:val="3333FF"/>
          <w:sz w:val="20"/>
          <w:szCs w:val="20"/>
        </w:rPr>
        <w:t xml:space="preserve"> preços ofertados, tanto na proposta inicial, quanto na etapa de lances, serão de exclusiva responsabilidade do licitante, não lhe assistindo o direito de pleitear qualquer alteração, sob alegação de erro, omissão ou qualquer outro pretexto.</w:t>
      </w:r>
    </w:p>
    <w:p w:rsidR="00F910AD" w:rsidRPr="00F910AD" w:rsidRDefault="00F910AD" w:rsidP="00F910AD">
      <w:pPr>
        <w:spacing w:before="120"/>
        <w:jc w:val="both"/>
        <w:rPr>
          <w:color w:val="3333FF"/>
          <w:sz w:val="20"/>
          <w:szCs w:val="20"/>
        </w:rPr>
      </w:pPr>
      <w:r w:rsidRPr="00F910AD">
        <w:rPr>
          <w:color w:val="3333FF"/>
          <w:sz w:val="20"/>
          <w:szCs w:val="20"/>
        </w:rPr>
        <w:t>6.9 O prazo de validade da proposta será de 60 (sessenta) dias, a contar da data de abertura da sessão pública.</w:t>
      </w:r>
    </w:p>
    <w:p w:rsidR="00F910AD" w:rsidRPr="00F910AD" w:rsidRDefault="00F910AD" w:rsidP="00F910AD">
      <w:pPr>
        <w:spacing w:before="120"/>
        <w:jc w:val="both"/>
        <w:rPr>
          <w:color w:val="3333FF"/>
          <w:sz w:val="20"/>
          <w:szCs w:val="20"/>
        </w:rPr>
      </w:pPr>
      <w:proofErr w:type="gramStart"/>
      <w:r w:rsidRPr="00F910AD">
        <w:rPr>
          <w:color w:val="3333FF"/>
          <w:sz w:val="20"/>
          <w:szCs w:val="20"/>
        </w:rPr>
        <w:t>6.10 Os</w:t>
      </w:r>
      <w:proofErr w:type="gramEnd"/>
      <w:r w:rsidRPr="00F910AD">
        <w:rPr>
          <w:color w:val="3333FF"/>
          <w:sz w:val="20"/>
          <w:szCs w:val="20"/>
        </w:rPr>
        <w:t xml:space="preserve"> licitantes devem respeitar os preços máximos estabelecidos nas normas de regência de contratações públicas federais, quando participarem de licitações públicas.</w:t>
      </w:r>
    </w:p>
    <w:p w:rsidR="00F910AD" w:rsidRPr="00F910AD" w:rsidRDefault="00F910AD" w:rsidP="00F910AD">
      <w:pPr>
        <w:spacing w:before="120"/>
        <w:ind w:left="284"/>
        <w:jc w:val="both"/>
        <w:rPr>
          <w:color w:val="3333FF"/>
          <w:sz w:val="20"/>
          <w:szCs w:val="20"/>
          <w:lang w:eastAsia="en-US"/>
        </w:rPr>
      </w:pPr>
      <w:r w:rsidRPr="00F910AD">
        <w:rPr>
          <w:color w:val="3333FF"/>
          <w:sz w:val="20"/>
          <w:szCs w:val="20"/>
        </w:rPr>
        <w:t xml:space="preserve">6.10.1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910AD">
        <w:rPr>
          <w:color w:val="3333FF"/>
          <w:sz w:val="20"/>
          <w:szCs w:val="20"/>
        </w:rPr>
        <w:t>sobrepreço</w:t>
      </w:r>
      <w:proofErr w:type="spellEnd"/>
      <w:r w:rsidRPr="00F910AD">
        <w:rPr>
          <w:color w:val="3333FF"/>
          <w:sz w:val="20"/>
          <w:szCs w:val="20"/>
        </w:rPr>
        <w:t xml:space="preserve"> na execução do contrato.</w:t>
      </w:r>
    </w:p>
    <w:p w:rsidR="00F910AD" w:rsidRPr="00F910AD" w:rsidRDefault="00F910AD" w:rsidP="00F910AD">
      <w:pPr>
        <w:rPr>
          <w:color w:val="3333FF"/>
        </w:rPr>
      </w:pPr>
    </w:p>
    <w:p w:rsidR="00F910AD" w:rsidRPr="00F910AD" w:rsidRDefault="00F910AD" w:rsidP="008C7BE5">
      <w:pPr>
        <w:jc w:val="both"/>
        <w:rPr>
          <w:color w:val="3333FF"/>
        </w:rPr>
      </w:pPr>
    </w:p>
    <w:p w:rsidR="008C7BE5" w:rsidRPr="00F910AD" w:rsidRDefault="008C7BE5" w:rsidP="008C7BE5">
      <w:pPr>
        <w:jc w:val="both"/>
      </w:pPr>
      <w:r w:rsidRPr="00F910AD">
        <w:rPr>
          <w:color w:val="3333FF"/>
        </w:rPr>
        <w:t> </w:t>
      </w:r>
      <w:r w:rsidRPr="00F910AD">
        <w:t>Como serão quantificados os atestados para o Item 2 apresentados com o total de Pontos de Função (PF), medida mais comum utilizadas para este tipo de contrato na esfera pública?</w:t>
      </w:r>
    </w:p>
    <w:p w:rsidR="008C7BE5" w:rsidRDefault="008C7BE5" w:rsidP="008C7BE5">
      <w:pPr>
        <w:jc w:val="both"/>
        <w:rPr>
          <w:color w:val="000000"/>
        </w:rPr>
      </w:pPr>
      <w:r w:rsidRPr="00F910AD">
        <w:rPr>
          <w:color w:val="3333FF"/>
        </w:rPr>
        <w:t xml:space="preserve">Resposta: </w:t>
      </w:r>
      <w:r w:rsidRPr="00F910AD">
        <w:rPr>
          <w:color w:val="3333FF"/>
        </w:rPr>
        <w:t>A avaliação dos comprovantes apresentados será realizada conforme disposição constante do subitem 9.11.1.4. As disposições constantes do subitem 9.11.1.6 constituem subsídios às licitantes, de modo que fazem referência às tecnologias utilizadas no mercado para o desenvolvimento de soluções de aprimoramento da comunicação digital, não havendo diferenciação para aferição do subitem 9.11.1.5, no que diz respeito às tecnologias utilizadas. Os atesta</w:t>
      </w:r>
      <w:r>
        <w:rPr>
          <w:color w:val="0000FF"/>
        </w:rPr>
        <w:t xml:space="preserve">dos devem comprovar que a licitante possui experiência em desenvolvimento e gestão e base de dados, webservices, Visual Business </w:t>
      </w:r>
      <w:proofErr w:type="spellStart"/>
      <w:r>
        <w:rPr>
          <w:color w:val="0000FF"/>
        </w:rPr>
        <w:t>Intelligence</w:t>
      </w:r>
      <w:proofErr w:type="spellEnd"/>
      <w:r>
        <w:rPr>
          <w:color w:val="0000FF"/>
        </w:rPr>
        <w:t>, e implementação de unidade de atendimento virtual (</w:t>
      </w:r>
      <w:proofErr w:type="spellStart"/>
      <w:r>
        <w:rPr>
          <w:color w:val="0000FF"/>
        </w:rPr>
        <w:t>chatbot</w:t>
      </w:r>
      <w:proofErr w:type="spellEnd"/>
      <w:r>
        <w:rPr>
          <w:color w:val="0000FF"/>
        </w:rPr>
        <w:t>), estando tais atividades e ferramentas associadas às entregas referentes às alíneas "a", "b", "c" e "d" do item 9.11.1.4.</w:t>
      </w:r>
    </w:p>
    <w:p w:rsidR="008C7BE5" w:rsidRDefault="008C7BE5" w:rsidP="008C7BE5">
      <w:pPr>
        <w:jc w:val="both"/>
        <w:rPr>
          <w:rFonts w:asciiTheme="minorHAnsi" w:hAnsiTheme="minorHAnsi" w:cstheme="minorHAnsi"/>
        </w:rPr>
      </w:pPr>
    </w:p>
    <w:p w:rsidR="008C7BE5" w:rsidRDefault="008C7BE5" w:rsidP="008C7BE5">
      <w:pPr>
        <w:jc w:val="both"/>
        <w:rPr>
          <w:rFonts w:asciiTheme="minorHAnsi" w:hAnsiTheme="minorHAnsi" w:cstheme="minorHAnsi"/>
        </w:rPr>
      </w:pPr>
    </w:p>
    <w:p w:rsidR="008C7BE5" w:rsidRDefault="008C7BE5" w:rsidP="008C7BE5">
      <w:pPr>
        <w:jc w:val="both"/>
        <w:rPr>
          <w:rFonts w:asciiTheme="minorHAnsi" w:hAnsiTheme="minorHAnsi" w:cstheme="minorHAnsi"/>
        </w:rPr>
      </w:pPr>
    </w:p>
    <w:p w:rsidR="008C7BE5" w:rsidRDefault="00F910AD" w:rsidP="00F910AD">
      <w:pPr>
        <w:jc w:val="center"/>
        <w:rPr>
          <w:rFonts w:asciiTheme="minorHAnsi" w:hAnsiTheme="minorHAnsi" w:cstheme="minorHAnsi"/>
        </w:rPr>
      </w:pPr>
      <w:r>
        <w:rPr>
          <w:rFonts w:asciiTheme="minorHAnsi" w:hAnsiTheme="minorHAnsi" w:cstheme="minorHAnsi"/>
        </w:rPr>
        <w:t xml:space="preserve">ESCLARECIMENTO 4 </w:t>
      </w:r>
    </w:p>
    <w:p w:rsidR="009A6D6F" w:rsidRDefault="009A6D6F" w:rsidP="008C7BE5">
      <w:pPr>
        <w:jc w:val="both"/>
        <w:rPr>
          <w:rFonts w:asciiTheme="minorHAnsi" w:hAnsiTheme="minorHAnsi" w:cstheme="minorHAnsi"/>
        </w:rPr>
      </w:pPr>
    </w:p>
    <w:p w:rsidR="009A6D6F" w:rsidRPr="00F910AD" w:rsidRDefault="009A6D6F" w:rsidP="009A6D6F">
      <w:pPr>
        <w:pStyle w:val="NormalWeb"/>
        <w:jc w:val="both"/>
        <w:rPr>
          <w:color w:val="000000"/>
        </w:rPr>
      </w:pPr>
      <w:r>
        <w:rPr>
          <w:rFonts w:ascii="Verdana" w:hAnsi="Verdana"/>
          <w:color w:val="000000"/>
          <w:sz w:val="20"/>
          <w:szCs w:val="20"/>
        </w:rPr>
        <w:t>a) O item 7.1.2 prevê que será desclassificada a proposta que identifique o licitante, porém o</w:t>
      </w:r>
      <w:r>
        <w:rPr>
          <w:rStyle w:val="Forte"/>
          <w:rFonts w:ascii="Verdana" w:hAnsi="Verdana"/>
          <w:color w:val="000000"/>
          <w:sz w:val="20"/>
          <w:szCs w:val="20"/>
          <w:u w:val="single"/>
        </w:rPr>
        <w:t xml:space="preserve"> item 5.1.1.5 (DA APRESENTAÇÃO DA PROPOSTA E DOS DOCUMENTOS DE HABILITAÇÃO)</w:t>
      </w:r>
      <w:r>
        <w:rPr>
          <w:rFonts w:ascii="Verdana" w:hAnsi="Verdana"/>
          <w:color w:val="000000"/>
          <w:sz w:val="20"/>
          <w:szCs w:val="20"/>
        </w:rPr>
        <w:t xml:space="preserve"> e diante prevê que a licitante informe em sua proposta inicial dados que identificaram a mesma. Como proceder já que se contradizem? A proposta inicial poderá conter os dados da licitante?</w:t>
      </w:r>
    </w:p>
    <w:p w:rsidR="00F910AD" w:rsidRPr="00F910AD" w:rsidRDefault="009A6D6F" w:rsidP="00F910AD">
      <w:pPr>
        <w:pStyle w:val="NormalWeb"/>
        <w:jc w:val="both"/>
        <w:rPr>
          <w:color w:val="3333FF"/>
          <w:lang w:eastAsia="en-US"/>
        </w:rPr>
      </w:pPr>
      <w:r w:rsidRPr="00F910AD">
        <w:rPr>
          <w:color w:val="0000FF"/>
        </w:rPr>
        <w:t xml:space="preserve">Esclarecemos que os itens </w:t>
      </w:r>
      <w:proofErr w:type="gramStart"/>
      <w:r w:rsidRPr="00F910AD">
        <w:rPr>
          <w:color w:val="0000FF"/>
        </w:rPr>
        <w:t>referem-se</w:t>
      </w:r>
      <w:proofErr w:type="gramEnd"/>
      <w:r w:rsidRPr="00F910AD">
        <w:rPr>
          <w:color w:val="0000FF"/>
        </w:rPr>
        <w:t xml:space="preserve"> a momentos distintos do certame.</w:t>
      </w:r>
      <w:r w:rsidRPr="00F910AD">
        <w:rPr>
          <w:rFonts w:ascii="Verdana" w:hAnsi="Verdana"/>
          <w:color w:val="000000"/>
        </w:rPr>
        <w:t> </w:t>
      </w:r>
      <w:r w:rsidR="00F910AD" w:rsidRPr="00F910AD">
        <w:rPr>
          <w:color w:val="3333FF"/>
          <w:lang w:eastAsia="en-US"/>
        </w:rPr>
        <w:t xml:space="preserve">Informo que a proposta apresentada quando do item 5, somente será disponibilizada após o envio de lances, conforme subitem 5.9 do edital. Transcrevemos: </w:t>
      </w:r>
    </w:p>
    <w:p w:rsidR="00F910AD" w:rsidRPr="00F910AD" w:rsidRDefault="00F910AD" w:rsidP="00F910AD">
      <w:pPr>
        <w:spacing w:before="120" w:after="120" w:line="276" w:lineRule="auto"/>
        <w:jc w:val="both"/>
        <w:rPr>
          <w:color w:val="3333FF"/>
        </w:rPr>
      </w:pPr>
      <w:proofErr w:type="gramStart"/>
      <w:r w:rsidRPr="00F910AD">
        <w:rPr>
          <w:color w:val="3333FF"/>
        </w:rPr>
        <w:t>5.9 Os</w:t>
      </w:r>
      <w:proofErr w:type="gramEnd"/>
      <w:r w:rsidRPr="00F910AD">
        <w:rPr>
          <w:color w:val="3333FF"/>
        </w:rPr>
        <w:t xml:space="preserve"> documentos que compõem a proposta e a habilitação do licitante melhor classificado somente serão disponibilizados para avaliação do pregoeiro e para acesso público após o encerramento do envio de lances.</w:t>
      </w:r>
    </w:p>
    <w:p w:rsidR="00F910AD" w:rsidRPr="00F910AD" w:rsidRDefault="00F910AD" w:rsidP="00F910AD">
      <w:pPr>
        <w:jc w:val="both"/>
        <w:rPr>
          <w:color w:val="3333FF"/>
          <w:lang w:eastAsia="en-US"/>
        </w:rPr>
      </w:pPr>
      <w:r w:rsidRPr="00F910AD">
        <w:rPr>
          <w:color w:val="3333FF"/>
          <w:lang w:eastAsia="en-US"/>
        </w:rPr>
        <w:t xml:space="preserve">Em relação à previsão do contido no subitem 7.2.1, esclareço </w:t>
      </w:r>
      <w:proofErr w:type="gramStart"/>
      <w:r w:rsidRPr="00F910AD">
        <w:rPr>
          <w:color w:val="3333FF"/>
          <w:lang w:eastAsia="en-US"/>
        </w:rPr>
        <w:t>que  refere</w:t>
      </w:r>
      <w:proofErr w:type="gramEnd"/>
      <w:r w:rsidRPr="00F910AD">
        <w:rPr>
          <w:color w:val="3333FF"/>
          <w:lang w:eastAsia="en-US"/>
        </w:rPr>
        <w:t>-se ao preenchimento da proposta no sistema eletrônico nos termos do item 6 do edital.  Transcrevemos:</w:t>
      </w:r>
    </w:p>
    <w:p w:rsidR="00F910AD" w:rsidRPr="00F910AD" w:rsidRDefault="00F910AD" w:rsidP="00F910AD">
      <w:pPr>
        <w:pStyle w:val="Nivel01"/>
        <w:numPr>
          <w:ilvl w:val="0"/>
          <w:numId w:val="0"/>
        </w:numPr>
        <w:shd w:val="clear" w:color="auto" w:fill="D9D9D9"/>
        <w:spacing w:before="120"/>
        <w:ind w:right="0"/>
        <w:jc w:val="center"/>
        <w:rPr>
          <w:rFonts w:ascii="Times New Roman" w:hAnsi="Times New Roman" w:cs="Times New Roman"/>
          <w:color w:val="3333FF"/>
          <w:sz w:val="20"/>
          <w:szCs w:val="20"/>
          <w:lang w:eastAsia="pt-BR"/>
        </w:rPr>
      </w:pPr>
      <w:r w:rsidRPr="00F910AD">
        <w:rPr>
          <w:rFonts w:ascii="Times New Roman" w:hAnsi="Times New Roman" w:cs="Times New Roman"/>
          <w:color w:val="3333FF"/>
          <w:sz w:val="20"/>
          <w:szCs w:val="20"/>
        </w:rPr>
        <w:lastRenderedPageBreak/>
        <w:t>6. DO PREENCHIMENTO DA PROPOSTA</w:t>
      </w:r>
    </w:p>
    <w:p w:rsidR="00F910AD" w:rsidRPr="00F910AD" w:rsidRDefault="00F910AD" w:rsidP="00F910AD">
      <w:pPr>
        <w:spacing w:before="120"/>
        <w:jc w:val="both"/>
        <w:rPr>
          <w:color w:val="3333FF"/>
          <w:sz w:val="20"/>
          <w:szCs w:val="20"/>
        </w:rPr>
      </w:pPr>
      <w:r w:rsidRPr="00F910AD">
        <w:rPr>
          <w:color w:val="3333FF"/>
          <w:sz w:val="20"/>
          <w:szCs w:val="20"/>
        </w:rPr>
        <w:t>6.1 O licitante deverá enviar sua proposta mediante o preenchimento, no sistema eletrônico, dos seguintes campos:</w:t>
      </w:r>
    </w:p>
    <w:p w:rsidR="00F910AD" w:rsidRPr="00F910AD" w:rsidRDefault="00F910AD" w:rsidP="00F910AD">
      <w:pPr>
        <w:autoSpaceDE w:val="0"/>
        <w:snapToGrid w:val="0"/>
        <w:spacing w:before="120"/>
        <w:ind w:left="284"/>
        <w:jc w:val="both"/>
        <w:rPr>
          <w:color w:val="3333FF"/>
          <w:sz w:val="20"/>
          <w:szCs w:val="20"/>
        </w:rPr>
      </w:pPr>
      <w:proofErr w:type="gramStart"/>
      <w:r w:rsidRPr="00F910AD">
        <w:rPr>
          <w:color w:val="3333FF"/>
          <w:sz w:val="20"/>
          <w:szCs w:val="20"/>
        </w:rPr>
        <w:t>6.1.1 valor</w:t>
      </w:r>
      <w:proofErr w:type="gramEnd"/>
      <w:r w:rsidRPr="00F910AD">
        <w:rPr>
          <w:color w:val="3333FF"/>
          <w:sz w:val="20"/>
          <w:szCs w:val="20"/>
        </w:rPr>
        <w:t xml:space="preserve"> unitário e total do item; </w:t>
      </w:r>
    </w:p>
    <w:p w:rsidR="00F910AD" w:rsidRPr="00F910AD" w:rsidRDefault="00F910AD" w:rsidP="00F910AD">
      <w:pPr>
        <w:autoSpaceDE w:val="0"/>
        <w:snapToGrid w:val="0"/>
        <w:spacing w:before="120"/>
        <w:ind w:left="284"/>
        <w:jc w:val="both"/>
        <w:rPr>
          <w:strike/>
          <w:color w:val="3333FF"/>
          <w:sz w:val="20"/>
          <w:szCs w:val="20"/>
        </w:rPr>
      </w:pPr>
      <w:proofErr w:type="gramStart"/>
      <w:r w:rsidRPr="00F910AD">
        <w:rPr>
          <w:color w:val="3333FF"/>
          <w:sz w:val="20"/>
          <w:szCs w:val="20"/>
        </w:rPr>
        <w:t>6.1.2 descrição</w:t>
      </w:r>
      <w:proofErr w:type="gramEnd"/>
      <w:r w:rsidRPr="00F910AD">
        <w:rPr>
          <w:color w:val="3333FF"/>
          <w:sz w:val="20"/>
          <w:szCs w:val="20"/>
        </w:rPr>
        <w:t xml:space="preserve"> do objeto.</w:t>
      </w:r>
    </w:p>
    <w:p w:rsidR="00F910AD" w:rsidRPr="00F910AD" w:rsidRDefault="00F910AD" w:rsidP="00F910AD">
      <w:pPr>
        <w:spacing w:before="120"/>
        <w:jc w:val="both"/>
        <w:rPr>
          <w:color w:val="3333FF"/>
          <w:sz w:val="20"/>
          <w:szCs w:val="20"/>
        </w:rPr>
      </w:pPr>
      <w:r w:rsidRPr="00F910AD">
        <w:rPr>
          <w:color w:val="3333FF"/>
          <w:sz w:val="20"/>
          <w:szCs w:val="20"/>
        </w:rPr>
        <w:t xml:space="preserve">6.2 Todas as especificações do objeto contidas na proposta vinculam a Contratada. </w:t>
      </w:r>
    </w:p>
    <w:p w:rsidR="00F910AD" w:rsidRPr="00F910AD" w:rsidRDefault="00F910AD" w:rsidP="00F910AD">
      <w:pPr>
        <w:spacing w:before="120"/>
        <w:jc w:val="both"/>
        <w:rPr>
          <w:color w:val="3333FF"/>
          <w:sz w:val="20"/>
          <w:szCs w:val="20"/>
        </w:rPr>
      </w:pPr>
      <w:proofErr w:type="gramStart"/>
      <w:r w:rsidRPr="00F910AD">
        <w:rPr>
          <w:color w:val="3333FF"/>
          <w:sz w:val="20"/>
          <w:szCs w:val="20"/>
        </w:rPr>
        <w:t>6.3 Nos</w:t>
      </w:r>
      <w:proofErr w:type="gramEnd"/>
      <w:r w:rsidRPr="00F910AD">
        <w:rPr>
          <w:color w:val="3333FF"/>
          <w:sz w:val="20"/>
          <w:szCs w:val="20"/>
        </w:rPr>
        <w:t xml:space="preserve">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rsidR="00F910AD" w:rsidRPr="00F910AD" w:rsidRDefault="00F910AD" w:rsidP="00F910AD">
      <w:pPr>
        <w:autoSpaceDE w:val="0"/>
        <w:snapToGrid w:val="0"/>
        <w:spacing w:before="120"/>
        <w:ind w:left="284"/>
        <w:jc w:val="both"/>
        <w:rPr>
          <w:color w:val="3333FF"/>
          <w:sz w:val="20"/>
          <w:szCs w:val="20"/>
        </w:rPr>
      </w:pPr>
      <w:r w:rsidRPr="00F910AD">
        <w:rPr>
          <w:color w:val="3333FF"/>
          <w:sz w:val="20"/>
          <w:szCs w:val="20"/>
        </w:rPr>
        <w:t xml:space="preserve">6.3.1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 </w:t>
      </w:r>
    </w:p>
    <w:p w:rsidR="00F910AD" w:rsidRPr="00F910AD" w:rsidRDefault="00F910AD" w:rsidP="00F910AD">
      <w:pPr>
        <w:autoSpaceDE w:val="0"/>
        <w:snapToGrid w:val="0"/>
        <w:spacing w:before="120"/>
        <w:ind w:left="284"/>
        <w:jc w:val="both"/>
        <w:rPr>
          <w:color w:val="3333FF"/>
          <w:sz w:val="20"/>
          <w:szCs w:val="20"/>
        </w:rPr>
      </w:pPr>
      <w:r w:rsidRPr="00F910AD">
        <w:rPr>
          <w:color w:val="3333FF"/>
          <w:sz w:val="20"/>
          <w:szCs w:val="20"/>
        </w:rPr>
        <w:t>6.3.2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05/2017);</w:t>
      </w:r>
    </w:p>
    <w:p w:rsidR="00F910AD" w:rsidRPr="00F910AD" w:rsidRDefault="00F910AD" w:rsidP="00F910AD">
      <w:pPr>
        <w:spacing w:before="120"/>
        <w:jc w:val="both"/>
        <w:rPr>
          <w:color w:val="3333FF"/>
          <w:sz w:val="20"/>
          <w:szCs w:val="20"/>
        </w:rPr>
      </w:pPr>
      <w:r w:rsidRPr="00F910AD">
        <w:rPr>
          <w:color w:val="3333FF"/>
          <w:sz w:val="20"/>
          <w:szCs w:val="20"/>
        </w:rPr>
        <w:t>6.4 A empresa é a única responsável pela cotação correta dos encargos tributários. Em caso de erro ou cotação incompatível com o regime tributário a que se submete, serão adotadas as orientações a seguir:</w:t>
      </w:r>
    </w:p>
    <w:p w:rsidR="00F910AD" w:rsidRPr="00F910AD" w:rsidRDefault="00F910AD" w:rsidP="00F910AD">
      <w:pPr>
        <w:spacing w:before="120"/>
        <w:ind w:left="284"/>
        <w:jc w:val="both"/>
        <w:rPr>
          <w:color w:val="3333FF"/>
          <w:sz w:val="20"/>
          <w:szCs w:val="20"/>
        </w:rPr>
      </w:pPr>
      <w:proofErr w:type="gramStart"/>
      <w:r w:rsidRPr="00F910AD">
        <w:rPr>
          <w:color w:val="3333FF"/>
          <w:sz w:val="20"/>
          <w:szCs w:val="20"/>
        </w:rPr>
        <w:t>6.4.1 cotação</w:t>
      </w:r>
      <w:proofErr w:type="gramEnd"/>
      <w:r w:rsidRPr="00F910AD">
        <w:rPr>
          <w:color w:val="3333FF"/>
          <w:sz w:val="20"/>
          <w:szCs w:val="20"/>
        </w:rPr>
        <w:t xml:space="preserve"> de percentual menor que o adequado: o percentual será mantido durante toda a execução contratual;</w:t>
      </w:r>
    </w:p>
    <w:p w:rsidR="00F910AD" w:rsidRPr="00F910AD" w:rsidRDefault="00F910AD" w:rsidP="00F910AD">
      <w:pPr>
        <w:spacing w:before="120"/>
        <w:ind w:left="284"/>
        <w:jc w:val="both"/>
        <w:rPr>
          <w:color w:val="3333FF"/>
          <w:sz w:val="20"/>
          <w:szCs w:val="20"/>
        </w:rPr>
      </w:pPr>
      <w:proofErr w:type="gramStart"/>
      <w:r w:rsidRPr="00F910AD">
        <w:rPr>
          <w:color w:val="3333FF"/>
          <w:sz w:val="20"/>
          <w:szCs w:val="20"/>
        </w:rPr>
        <w:t>6.4.2 cotação</w:t>
      </w:r>
      <w:proofErr w:type="gramEnd"/>
      <w:r w:rsidRPr="00F910AD">
        <w:rPr>
          <w:color w:val="3333FF"/>
          <w:sz w:val="20"/>
          <w:szCs w:val="20"/>
        </w:rPr>
        <w:t xml:space="preserve"> de percentual maior que o adequado: o excesso será suprimido, unilateralmente, da planilha e haverá glosa, quando do pagamento, e/ou redução, quando da repactuação, para fins de total ressarcimento do débito.</w:t>
      </w:r>
    </w:p>
    <w:p w:rsidR="00F910AD" w:rsidRPr="00F910AD" w:rsidRDefault="00F910AD" w:rsidP="00F910AD">
      <w:pPr>
        <w:spacing w:before="120"/>
        <w:jc w:val="both"/>
        <w:rPr>
          <w:color w:val="3333FF"/>
          <w:sz w:val="20"/>
          <w:szCs w:val="20"/>
        </w:rPr>
      </w:pPr>
      <w:proofErr w:type="gramStart"/>
      <w:r w:rsidRPr="00F910AD">
        <w:rPr>
          <w:color w:val="3333FF"/>
          <w:sz w:val="20"/>
          <w:szCs w:val="20"/>
        </w:rPr>
        <w:t>6.5 Se</w:t>
      </w:r>
      <w:proofErr w:type="gramEnd"/>
      <w:r w:rsidRPr="00F910AD">
        <w:rPr>
          <w:color w:val="3333FF"/>
          <w:sz w:val="20"/>
          <w:szCs w:val="20"/>
        </w:rPr>
        <w:t xml:space="preserv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F910AD" w:rsidRPr="00F910AD" w:rsidRDefault="00F910AD" w:rsidP="00F910AD">
      <w:pPr>
        <w:spacing w:before="120"/>
        <w:jc w:val="both"/>
        <w:rPr>
          <w:color w:val="3333FF"/>
          <w:sz w:val="20"/>
          <w:szCs w:val="20"/>
        </w:rPr>
      </w:pPr>
      <w:r w:rsidRPr="00F910AD">
        <w:rPr>
          <w:color w:val="3333FF"/>
          <w:sz w:val="20"/>
          <w:szCs w:val="20"/>
        </w:rPr>
        <w:t>6.6 Independentemente do percentual de tributo inserido na planilha, no pagamento dos serviços, serão retidos na fonte os percentuais estabelecidos na legislação vigente.</w:t>
      </w:r>
    </w:p>
    <w:p w:rsidR="00F910AD" w:rsidRPr="00F910AD" w:rsidRDefault="00F910AD" w:rsidP="00F910AD">
      <w:pPr>
        <w:spacing w:before="120"/>
        <w:jc w:val="both"/>
        <w:rPr>
          <w:color w:val="3333FF"/>
          <w:sz w:val="20"/>
          <w:szCs w:val="20"/>
        </w:rPr>
      </w:pPr>
      <w:r w:rsidRPr="00F910AD">
        <w:rPr>
          <w:color w:val="3333FF"/>
          <w:sz w:val="20"/>
          <w:szCs w:val="20"/>
        </w:rPr>
        <w:t>6.7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F910AD" w:rsidRPr="00F910AD" w:rsidRDefault="00F910AD" w:rsidP="00F910AD">
      <w:pPr>
        <w:spacing w:before="120"/>
        <w:jc w:val="both"/>
        <w:rPr>
          <w:color w:val="3333FF"/>
          <w:sz w:val="20"/>
          <w:szCs w:val="20"/>
        </w:rPr>
      </w:pPr>
      <w:proofErr w:type="gramStart"/>
      <w:r w:rsidRPr="00F910AD">
        <w:rPr>
          <w:color w:val="3333FF"/>
          <w:sz w:val="20"/>
          <w:szCs w:val="20"/>
        </w:rPr>
        <w:t>6.8 Os</w:t>
      </w:r>
      <w:proofErr w:type="gramEnd"/>
      <w:r w:rsidRPr="00F910AD">
        <w:rPr>
          <w:color w:val="3333FF"/>
          <w:sz w:val="20"/>
          <w:szCs w:val="20"/>
        </w:rPr>
        <w:t xml:space="preserve"> preços ofertados, tanto na proposta inicial, quanto na etapa de lances, serão de exclusiva responsabilidade do licitante, não lhe assistindo o direito de pleitear qualquer alteração, sob alegação de erro, omissão ou qualquer outro pretexto.</w:t>
      </w:r>
    </w:p>
    <w:p w:rsidR="00F910AD" w:rsidRPr="00F910AD" w:rsidRDefault="00F910AD" w:rsidP="00F910AD">
      <w:pPr>
        <w:spacing w:before="120"/>
        <w:jc w:val="both"/>
        <w:rPr>
          <w:color w:val="3333FF"/>
          <w:sz w:val="20"/>
          <w:szCs w:val="20"/>
        </w:rPr>
      </w:pPr>
      <w:r w:rsidRPr="00F910AD">
        <w:rPr>
          <w:color w:val="3333FF"/>
          <w:sz w:val="20"/>
          <w:szCs w:val="20"/>
        </w:rPr>
        <w:t>6.9 O prazo de validade da proposta será de 60 (sessenta) dias, a contar da data de abertura da sessão pública.</w:t>
      </w:r>
    </w:p>
    <w:p w:rsidR="00F910AD" w:rsidRPr="00F910AD" w:rsidRDefault="00F910AD" w:rsidP="00F910AD">
      <w:pPr>
        <w:spacing w:before="120"/>
        <w:jc w:val="both"/>
        <w:rPr>
          <w:color w:val="3333FF"/>
          <w:sz w:val="20"/>
          <w:szCs w:val="20"/>
        </w:rPr>
      </w:pPr>
      <w:proofErr w:type="gramStart"/>
      <w:r w:rsidRPr="00F910AD">
        <w:rPr>
          <w:color w:val="3333FF"/>
          <w:sz w:val="20"/>
          <w:szCs w:val="20"/>
        </w:rPr>
        <w:t>6.10 Os</w:t>
      </w:r>
      <w:proofErr w:type="gramEnd"/>
      <w:r w:rsidRPr="00F910AD">
        <w:rPr>
          <w:color w:val="3333FF"/>
          <w:sz w:val="20"/>
          <w:szCs w:val="20"/>
        </w:rPr>
        <w:t xml:space="preserve"> licitantes devem respeitar os preços máximos estabelecidos nas normas de regência de contratações públicas federais, quando participarem de licitações públicas.</w:t>
      </w:r>
    </w:p>
    <w:p w:rsidR="00F910AD" w:rsidRPr="00F910AD" w:rsidRDefault="00F910AD" w:rsidP="00F910AD">
      <w:pPr>
        <w:spacing w:before="120"/>
        <w:ind w:left="284"/>
        <w:jc w:val="both"/>
        <w:rPr>
          <w:color w:val="3333FF"/>
          <w:sz w:val="20"/>
          <w:szCs w:val="20"/>
          <w:lang w:eastAsia="en-US"/>
        </w:rPr>
      </w:pPr>
      <w:r w:rsidRPr="00F910AD">
        <w:rPr>
          <w:color w:val="3333FF"/>
          <w:sz w:val="20"/>
          <w:szCs w:val="20"/>
        </w:rPr>
        <w:t xml:space="preserve">6.10.1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910AD">
        <w:rPr>
          <w:color w:val="3333FF"/>
          <w:sz w:val="20"/>
          <w:szCs w:val="20"/>
        </w:rPr>
        <w:t>sobrepreço</w:t>
      </w:r>
      <w:proofErr w:type="spellEnd"/>
      <w:r w:rsidRPr="00F910AD">
        <w:rPr>
          <w:color w:val="3333FF"/>
          <w:sz w:val="20"/>
          <w:szCs w:val="20"/>
        </w:rPr>
        <w:t xml:space="preserve"> na execução do contrato.</w:t>
      </w:r>
    </w:p>
    <w:p w:rsidR="00F910AD" w:rsidRPr="00F910AD" w:rsidRDefault="00F910AD" w:rsidP="00F910AD">
      <w:pPr>
        <w:rPr>
          <w:color w:val="3333FF"/>
        </w:rPr>
      </w:pPr>
    </w:p>
    <w:p w:rsidR="00F910AD" w:rsidRPr="00F910AD" w:rsidRDefault="00F910AD" w:rsidP="00F910AD">
      <w:pPr>
        <w:jc w:val="both"/>
        <w:rPr>
          <w:color w:val="3333FF"/>
        </w:rPr>
      </w:pPr>
      <w:bookmarkStart w:id="0" w:name="_GoBack"/>
      <w:bookmarkEnd w:id="0"/>
    </w:p>
    <w:sectPr w:rsidR="00F910AD" w:rsidRPr="00F910AD" w:rsidSect="004933EB">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83A6E284"/>
    <w:lvl w:ilvl="0">
      <w:start w:val="1"/>
      <w:numFmt w:val="decimal"/>
      <w:pStyle w:val="Nivel01"/>
      <w:lvlText w:val="%1."/>
      <w:lvlJc w:val="left"/>
      <w:pPr>
        <w:ind w:left="644" w:hanging="360"/>
      </w:pPr>
      <w:rPr>
        <w:rFonts w:ascii="Arial" w:eastAsia="MS Gothic" w:hAnsi="Arial" w:cs="Arial"/>
        <w:b w:val="0"/>
      </w:rPr>
    </w:lvl>
    <w:lvl w:ilvl="1">
      <w:start w:val="1"/>
      <w:numFmt w:val="decimal"/>
      <w:lvlText w:val="%1.%2."/>
      <w:lvlJc w:val="left"/>
      <w:pPr>
        <w:ind w:left="6528" w:hanging="432"/>
      </w:pPr>
      <w:rPr>
        <w:b w:val="0"/>
        <w:color w:val="auto"/>
      </w:rPr>
    </w:lvl>
    <w:lvl w:ilvl="2">
      <w:start w:val="1"/>
      <w:numFmt w:val="decimal"/>
      <w:lvlText w:val="%1.%2.%3."/>
      <w:lvlJc w:val="left"/>
      <w:pPr>
        <w:ind w:left="1355" w:hanging="504"/>
      </w:pPr>
      <w:rPr>
        <w:b w:val="0"/>
        <w:color w:val="auto"/>
      </w:rPr>
    </w:lvl>
    <w:lvl w:ilvl="3">
      <w:start w:val="1"/>
      <w:numFmt w:val="decimal"/>
      <w:lvlText w:val="%1.%2.%3.%4."/>
      <w:lvlJc w:val="left"/>
      <w:pPr>
        <w:ind w:left="320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D3"/>
    <w:rsid w:val="000068A2"/>
    <w:rsid w:val="001830D3"/>
    <w:rsid w:val="004933EB"/>
    <w:rsid w:val="005A04B5"/>
    <w:rsid w:val="008C7BE5"/>
    <w:rsid w:val="009A6D6F"/>
    <w:rsid w:val="00F91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C932"/>
  <w15:chartTrackingRefBased/>
  <w15:docId w15:val="{B3FE3A2A-758A-48BD-B627-D4341870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3EB"/>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C7BE5"/>
    <w:pPr>
      <w:spacing w:before="100" w:beforeAutospacing="1" w:after="100" w:afterAutospacing="1"/>
    </w:pPr>
  </w:style>
  <w:style w:type="character" w:customStyle="1" w:styleId="highlight">
    <w:name w:val="highlight"/>
    <w:basedOn w:val="Fontepargpadro"/>
    <w:rsid w:val="009A6D6F"/>
  </w:style>
  <w:style w:type="character" w:styleId="Forte">
    <w:name w:val="Strong"/>
    <w:basedOn w:val="Fontepargpadro"/>
    <w:uiPriority w:val="22"/>
    <w:qFormat/>
    <w:rsid w:val="009A6D6F"/>
    <w:rPr>
      <w:b/>
      <w:bCs/>
    </w:rPr>
  </w:style>
  <w:style w:type="character" w:styleId="nfase">
    <w:name w:val="Emphasis"/>
    <w:basedOn w:val="Fontepargpadro"/>
    <w:uiPriority w:val="20"/>
    <w:qFormat/>
    <w:rsid w:val="009A6D6F"/>
    <w:rPr>
      <w:i/>
      <w:iCs/>
    </w:rPr>
  </w:style>
  <w:style w:type="character" w:customStyle="1" w:styleId="Nivel01Char">
    <w:name w:val="Nivel 01 Char"/>
    <w:basedOn w:val="Fontepargpadro"/>
    <w:link w:val="Nivel01"/>
    <w:locked/>
    <w:rsid w:val="00F910AD"/>
    <w:rPr>
      <w:rFonts w:ascii="Arial" w:hAnsi="Arial" w:cs="Arial"/>
      <w:b/>
      <w:bCs/>
      <w:color w:val="000000"/>
    </w:rPr>
  </w:style>
  <w:style w:type="paragraph" w:customStyle="1" w:styleId="Nivel01">
    <w:name w:val="Nivel 01"/>
    <w:basedOn w:val="Normal"/>
    <w:link w:val="Nivel01Char"/>
    <w:rsid w:val="00F910AD"/>
    <w:pPr>
      <w:keepNext/>
      <w:numPr>
        <w:numId w:val="1"/>
      </w:numPr>
      <w:spacing w:before="480" w:after="120" w:line="276" w:lineRule="auto"/>
      <w:ind w:right="-15"/>
      <w:jc w:val="both"/>
    </w:pPr>
    <w:rPr>
      <w:rFonts w:ascii="Arial" w:hAnsi="Arial" w:cs="Arial"/>
      <w:b/>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57097">
      <w:bodyDiv w:val="1"/>
      <w:marLeft w:val="0"/>
      <w:marRight w:val="0"/>
      <w:marTop w:val="0"/>
      <w:marBottom w:val="0"/>
      <w:divBdr>
        <w:top w:val="none" w:sz="0" w:space="0" w:color="auto"/>
        <w:left w:val="none" w:sz="0" w:space="0" w:color="auto"/>
        <w:bottom w:val="none" w:sz="0" w:space="0" w:color="auto"/>
        <w:right w:val="none" w:sz="0" w:space="0" w:color="auto"/>
      </w:divBdr>
    </w:div>
    <w:div w:id="698093293">
      <w:bodyDiv w:val="1"/>
      <w:marLeft w:val="0"/>
      <w:marRight w:val="0"/>
      <w:marTop w:val="0"/>
      <w:marBottom w:val="0"/>
      <w:divBdr>
        <w:top w:val="none" w:sz="0" w:space="0" w:color="auto"/>
        <w:left w:val="none" w:sz="0" w:space="0" w:color="auto"/>
        <w:bottom w:val="none" w:sz="0" w:space="0" w:color="auto"/>
        <w:right w:val="none" w:sz="0" w:space="0" w:color="auto"/>
      </w:divBdr>
    </w:div>
    <w:div w:id="952247642">
      <w:bodyDiv w:val="1"/>
      <w:marLeft w:val="0"/>
      <w:marRight w:val="0"/>
      <w:marTop w:val="0"/>
      <w:marBottom w:val="0"/>
      <w:divBdr>
        <w:top w:val="none" w:sz="0" w:space="0" w:color="auto"/>
        <w:left w:val="none" w:sz="0" w:space="0" w:color="auto"/>
        <w:bottom w:val="none" w:sz="0" w:space="0" w:color="auto"/>
        <w:right w:val="none" w:sz="0" w:space="0" w:color="auto"/>
      </w:divBdr>
    </w:div>
    <w:div w:id="1064913120">
      <w:bodyDiv w:val="1"/>
      <w:marLeft w:val="0"/>
      <w:marRight w:val="0"/>
      <w:marTop w:val="0"/>
      <w:marBottom w:val="0"/>
      <w:divBdr>
        <w:top w:val="none" w:sz="0" w:space="0" w:color="auto"/>
        <w:left w:val="none" w:sz="0" w:space="0" w:color="auto"/>
        <w:bottom w:val="none" w:sz="0" w:space="0" w:color="auto"/>
        <w:right w:val="none" w:sz="0" w:space="0" w:color="auto"/>
      </w:divBdr>
    </w:div>
    <w:div w:id="13191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2144</Words>
  <Characters>11582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Vesper Cristina Bandeira Cardelino</dc:creator>
  <cp:keywords/>
  <dc:description/>
  <cp:lastModifiedBy>Vesper Cristina Bandeira Cardelino</cp:lastModifiedBy>
  <cp:revision>2</cp:revision>
  <dcterms:created xsi:type="dcterms:W3CDTF">2020-09-18T22:40:00Z</dcterms:created>
  <dcterms:modified xsi:type="dcterms:W3CDTF">2020-09-18T22:40:00Z</dcterms:modified>
</cp:coreProperties>
</file>