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8B5" w:rsidRPr="00F928B5" w:rsidRDefault="00F928B5" w:rsidP="00F928B5">
      <w:pPr>
        <w:spacing w:after="0" w:line="276" w:lineRule="auto"/>
        <w:contextualSpacing/>
        <w:jc w:val="center"/>
        <w:rPr>
          <w:rFonts w:ascii="Bahnschrift" w:eastAsia="Times New Roman" w:hAnsi="Bahnschrift" w:cs="Times New Roman"/>
          <w:b/>
          <w:color w:val="1F3864" w:themeColor="accent5" w:themeShade="80"/>
          <w:sz w:val="32"/>
          <w:szCs w:val="32"/>
        </w:rPr>
      </w:pPr>
      <w:r w:rsidRPr="00F928B5">
        <w:rPr>
          <w:rFonts w:ascii="Bahnschrift" w:eastAsia="Times New Roman" w:hAnsi="Bahnschrift" w:cs="Times New Roman"/>
          <w:b/>
          <w:color w:val="1F3864" w:themeColor="accent5" w:themeShade="80"/>
          <w:sz w:val="32"/>
          <w:szCs w:val="32"/>
        </w:rPr>
        <w:t>CRITÉRIOS PARA ORÇAMENTAÇÃO</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t>O método utilizado para orçar as ações na revisão do Plano Diretor de Tecnologia da Informação e Comunicação - PDTIC 2020-2023 da CAPES, em 2021, foi o seguinte: d</w:t>
      </w:r>
      <w:bookmarkStart w:id="0" w:name="_GoBack"/>
      <w:bookmarkEnd w:id="0"/>
      <w:r w:rsidRPr="00F928B5">
        <w:rPr>
          <w:rFonts w:ascii="Bahnschrift Light" w:eastAsia="Times New Roman" w:hAnsi="Bahnschrift Light" w:cs="Times New Roman"/>
          <w:color w:val="3B3838" w:themeColor="background2" w:themeShade="40"/>
          <w:sz w:val="24"/>
          <w:szCs w:val="24"/>
        </w:rPr>
        <w:t xml:space="preserve">eu-se através do </w:t>
      </w:r>
      <w:r w:rsidRPr="00F928B5">
        <w:rPr>
          <w:rFonts w:ascii="Bahnschrift Light" w:eastAsia="Times New Roman" w:hAnsi="Bahnschrift Light" w:cs="Times New Roman"/>
          <w:b/>
          <w:bCs/>
          <w:color w:val="3B3838" w:themeColor="background2" w:themeShade="40"/>
          <w:sz w:val="24"/>
          <w:szCs w:val="24"/>
        </w:rPr>
        <w:t>rateio ou soma</w:t>
      </w:r>
      <w:r w:rsidRPr="00F928B5">
        <w:rPr>
          <w:rFonts w:ascii="Bahnschrift Light" w:eastAsia="Times New Roman" w:hAnsi="Bahnschrift Light" w:cs="Times New Roman"/>
          <w:color w:val="3B3838" w:themeColor="background2" w:themeShade="40"/>
          <w:sz w:val="24"/>
          <w:szCs w:val="24"/>
        </w:rPr>
        <w:t xml:space="preserve">, conforme o caso, dos itens de despesa de cada ação. Esses itens foram categorizados por </w:t>
      </w:r>
      <w:r w:rsidRPr="00F928B5">
        <w:rPr>
          <w:rFonts w:ascii="Bahnschrift Light" w:eastAsia="Times New Roman" w:hAnsi="Bahnschrift Light" w:cs="Times New Roman"/>
          <w:i/>
          <w:iCs/>
          <w:color w:val="3B3838" w:themeColor="background2" w:themeShade="40"/>
          <w:sz w:val="24"/>
          <w:szCs w:val="24"/>
        </w:rPr>
        <w:t>hardware, software</w:t>
      </w:r>
      <w:r w:rsidRPr="00F928B5">
        <w:rPr>
          <w:rFonts w:ascii="Bahnschrift Light" w:eastAsia="Times New Roman" w:hAnsi="Bahnschrift Light" w:cs="Times New Roman"/>
          <w:color w:val="3B3838" w:themeColor="background2" w:themeShade="40"/>
          <w:sz w:val="24"/>
          <w:szCs w:val="24"/>
        </w:rPr>
        <w:t>, serviços de TIC e pessoal de TIC, como consta do ANEXO - Plano Orçamentário, baseados no cadastro das ações, realizado pelas unidades demandantes de TIC e na análise técnica da DTI.</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numPr>
          <w:ilvl w:val="0"/>
          <w:numId w:val="1"/>
        </w:numPr>
        <w:spacing w:after="0" w:line="276" w:lineRule="auto"/>
        <w:ind w:left="284" w:hanging="284"/>
        <w:contextualSpacing/>
        <w:rPr>
          <w:rFonts w:ascii="Bahnschrift Light" w:eastAsia="Times New Roman" w:hAnsi="Bahnschrift Light" w:cs="Times New Roman"/>
          <w:b/>
          <w:bCs/>
          <w:color w:val="1F3864" w:themeColor="accent5" w:themeShade="80"/>
          <w:sz w:val="24"/>
          <w:szCs w:val="24"/>
        </w:rPr>
      </w:pPr>
      <w:r w:rsidRPr="00F928B5">
        <w:rPr>
          <w:rFonts w:ascii="Bahnschrift Light" w:eastAsia="Times New Roman" w:hAnsi="Bahnschrift Light" w:cs="Times New Roman"/>
          <w:b/>
          <w:bCs/>
          <w:color w:val="1F3864" w:themeColor="accent5" w:themeShade="80"/>
          <w:sz w:val="24"/>
          <w:szCs w:val="24"/>
        </w:rPr>
        <w:t xml:space="preserve">Categoria: </w:t>
      </w:r>
      <w:r w:rsidRPr="00F928B5">
        <w:rPr>
          <w:rFonts w:ascii="Bahnschrift Light" w:eastAsia="Times New Roman" w:hAnsi="Bahnschrift Light" w:cs="Times New Roman"/>
          <w:b/>
          <w:bCs/>
          <w:i/>
          <w:iCs/>
          <w:color w:val="1F3864" w:themeColor="accent5" w:themeShade="80"/>
          <w:sz w:val="24"/>
          <w:szCs w:val="24"/>
        </w:rPr>
        <w:t>Hardware</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t xml:space="preserve">O montante previsto para a categoria </w:t>
      </w:r>
      <w:r w:rsidRPr="00F928B5">
        <w:rPr>
          <w:rFonts w:ascii="Bahnschrift Light" w:eastAsia="Times New Roman" w:hAnsi="Bahnschrift Light" w:cs="Times New Roman"/>
          <w:i/>
          <w:iCs/>
          <w:color w:val="3B3838" w:themeColor="background2" w:themeShade="40"/>
          <w:sz w:val="24"/>
          <w:szCs w:val="24"/>
        </w:rPr>
        <w:t>hardware</w:t>
      </w:r>
      <w:r w:rsidRPr="00F928B5">
        <w:rPr>
          <w:rFonts w:ascii="Bahnschrift Light" w:eastAsia="Times New Roman" w:hAnsi="Bahnschrift Light" w:cs="Times New Roman"/>
          <w:color w:val="3B3838" w:themeColor="background2" w:themeShade="40"/>
          <w:sz w:val="24"/>
          <w:szCs w:val="24"/>
        </w:rPr>
        <w:t xml:space="preserve"> contempla o valor estimado de cada item da despesa </w:t>
      </w:r>
      <w:r w:rsidRPr="00F928B5">
        <w:rPr>
          <w:rFonts w:ascii="Bahnschrift Light" w:eastAsia="Times New Roman" w:hAnsi="Bahnschrift Light" w:cs="Times New Roman"/>
          <w:i/>
          <w:iCs/>
          <w:color w:val="3B3838" w:themeColor="background2" w:themeShade="40"/>
          <w:sz w:val="24"/>
          <w:szCs w:val="24"/>
        </w:rPr>
        <w:t>hardware</w:t>
      </w:r>
      <w:r w:rsidRPr="00F928B5">
        <w:rPr>
          <w:rFonts w:ascii="Bahnschrift Light" w:eastAsia="Times New Roman" w:hAnsi="Bahnschrift Light" w:cs="Times New Roman"/>
          <w:color w:val="3B3838" w:themeColor="background2" w:themeShade="40"/>
          <w:sz w:val="24"/>
          <w:szCs w:val="24"/>
        </w:rPr>
        <w:t xml:space="preserve"> prevista para a ação em questão. Os custos são distribuídos por semestres, previstos dentro dos prazos das ações. Para os tipos de </w:t>
      </w:r>
      <w:r w:rsidRPr="00F928B5">
        <w:rPr>
          <w:rFonts w:ascii="Bahnschrift Light" w:eastAsia="Times New Roman" w:hAnsi="Bahnschrift Light" w:cs="Times New Roman"/>
          <w:i/>
          <w:iCs/>
          <w:color w:val="3B3838" w:themeColor="background2" w:themeShade="40"/>
          <w:sz w:val="24"/>
          <w:szCs w:val="24"/>
        </w:rPr>
        <w:t>hardwares</w:t>
      </w:r>
      <w:r w:rsidRPr="00F928B5">
        <w:rPr>
          <w:rFonts w:ascii="Bahnschrift Light" w:eastAsia="Times New Roman" w:hAnsi="Bahnschrift Light" w:cs="Times New Roman"/>
          <w:color w:val="3B3838" w:themeColor="background2" w:themeShade="40"/>
          <w:sz w:val="24"/>
          <w:szCs w:val="24"/>
        </w:rPr>
        <w:t xml:space="preserve"> que contribuem com mais de uma ação do PDTIC ocorre o rateio do valor. </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2111E8">
      <w:pPr>
        <w:numPr>
          <w:ilvl w:val="0"/>
          <w:numId w:val="1"/>
        </w:numPr>
        <w:spacing w:after="0" w:line="276" w:lineRule="auto"/>
        <w:ind w:left="284" w:hanging="284"/>
        <w:contextualSpacing/>
        <w:rPr>
          <w:rFonts w:ascii="Bahnschrift Light" w:eastAsia="Times New Roman" w:hAnsi="Bahnschrift Light" w:cs="Times New Roman"/>
          <w:b/>
          <w:bCs/>
          <w:color w:val="1F3864" w:themeColor="accent5" w:themeShade="80"/>
          <w:sz w:val="24"/>
          <w:szCs w:val="24"/>
        </w:rPr>
      </w:pPr>
      <w:r w:rsidRPr="00F928B5">
        <w:rPr>
          <w:rFonts w:ascii="Bahnschrift Light" w:eastAsia="Times New Roman" w:hAnsi="Bahnschrift Light" w:cs="Times New Roman"/>
          <w:b/>
          <w:bCs/>
          <w:color w:val="1F3864" w:themeColor="accent5" w:themeShade="80"/>
          <w:sz w:val="24"/>
          <w:szCs w:val="24"/>
        </w:rPr>
        <w:t>Categoria: Software</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t xml:space="preserve">O montante previsto para a categoria </w:t>
      </w:r>
      <w:r w:rsidRPr="00F928B5">
        <w:rPr>
          <w:rFonts w:ascii="Bahnschrift Light" w:eastAsia="Times New Roman" w:hAnsi="Bahnschrift Light" w:cs="Times New Roman"/>
          <w:i/>
          <w:iCs/>
          <w:color w:val="3B3838" w:themeColor="background2" w:themeShade="40"/>
          <w:sz w:val="24"/>
          <w:szCs w:val="24"/>
        </w:rPr>
        <w:t>software</w:t>
      </w:r>
      <w:r w:rsidRPr="00F928B5">
        <w:rPr>
          <w:rFonts w:ascii="Bahnschrift Light" w:eastAsia="Times New Roman" w:hAnsi="Bahnschrift Light" w:cs="Times New Roman"/>
          <w:color w:val="3B3838" w:themeColor="background2" w:themeShade="40"/>
          <w:sz w:val="24"/>
          <w:szCs w:val="24"/>
        </w:rPr>
        <w:t xml:space="preserve"> contempla o valor estimado de cada item da despesa </w:t>
      </w:r>
      <w:r w:rsidRPr="00F928B5">
        <w:rPr>
          <w:rFonts w:ascii="Bahnschrift Light" w:eastAsia="Times New Roman" w:hAnsi="Bahnschrift Light" w:cs="Times New Roman"/>
          <w:i/>
          <w:iCs/>
          <w:color w:val="3B3838" w:themeColor="background2" w:themeShade="40"/>
          <w:sz w:val="24"/>
          <w:szCs w:val="24"/>
        </w:rPr>
        <w:t xml:space="preserve">software </w:t>
      </w:r>
      <w:r w:rsidRPr="00F928B5">
        <w:rPr>
          <w:rFonts w:ascii="Bahnschrift Light" w:eastAsia="Times New Roman" w:hAnsi="Bahnschrift Light" w:cs="Times New Roman"/>
          <w:color w:val="3B3838" w:themeColor="background2" w:themeShade="40"/>
          <w:sz w:val="24"/>
          <w:szCs w:val="24"/>
        </w:rPr>
        <w:t xml:space="preserve">prevista para a ação em questão. Os custos são distribuídos por semestres, previstos dentro dos prazos das ações. Para os tipos de </w:t>
      </w:r>
      <w:r w:rsidRPr="00F928B5">
        <w:rPr>
          <w:rFonts w:ascii="Bahnschrift Light" w:eastAsia="Times New Roman" w:hAnsi="Bahnschrift Light" w:cs="Times New Roman"/>
          <w:i/>
          <w:iCs/>
          <w:color w:val="3B3838" w:themeColor="background2" w:themeShade="40"/>
          <w:sz w:val="24"/>
          <w:szCs w:val="24"/>
        </w:rPr>
        <w:t>softwares</w:t>
      </w:r>
      <w:r w:rsidRPr="00F928B5">
        <w:rPr>
          <w:rFonts w:ascii="Bahnschrift Light" w:eastAsia="Times New Roman" w:hAnsi="Bahnschrift Light" w:cs="Times New Roman"/>
          <w:color w:val="3B3838" w:themeColor="background2" w:themeShade="40"/>
          <w:sz w:val="24"/>
          <w:szCs w:val="24"/>
        </w:rPr>
        <w:t xml:space="preserve"> que contribuem com mais de uma ação do PDTIC, ocorre o rateio do valor.</w:t>
      </w:r>
    </w:p>
    <w:p w:rsidR="00F928B5" w:rsidRPr="00F928B5" w:rsidRDefault="00F928B5" w:rsidP="00F928B5">
      <w:pPr>
        <w:spacing w:after="0" w:line="276" w:lineRule="auto"/>
        <w:jc w:val="both"/>
        <w:rPr>
          <w:rFonts w:ascii="Bahnschrift Light" w:eastAsia="Times New Roman" w:hAnsi="Bahnschrift Light" w:cs="Times New Roman"/>
          <w:b/>
          <w:bCs/>
          <w:color w:val="3B3838" w:themeColor="background2" w:themeShade="40"/>
          <w:sz w:val="24"/>
          <w:szCs w:val="24"/>
        </w:rPr>
      </w:pPr>
    </w:p>
    <w:p w:rsidR="00F928B5" w:rsidRPr="00F928B5" w:rsidRDefault="00F928B5" w:rsidP="002111E8">
      <w:pPr>
        <w:numPr>
          <w:ilvl w:val="0"/>
          <w:numId w:val="1"/>
        </w:numPr>
        <w:spacing w:after="0" w:line="276" w:lineRule="auto"/>
        <w:ind w:left="284" w:hanging="284"/>
        <w:contextualSpacing/>
        <w:rPr>
          <w:rFonts w:ascii="Bahnschrift Light" w:eastAsia="Times New Roman" w:hAnsi="Bahnschrift Light" w:cs="Times New Roman"/>
          <w:b/>
          <w:bCs/>
          <w:color w:val="1F3864" w:themeColor="accent5" w:themeShade="80"/>
          <w:sz w:val="24"/>
          <w:szCs w:val="24"/>
        </w:rPr>
      </w:pPr>
      <w:r w:rsidRPr="00F928B5">
        <w:rPr>
          <w:rFonts w:ascii="Bahnschrift Light" w:eastAsia="Times New Roman" w:hAnsi="Bahnschrift Light" w:cs="Times New Roman"/>
          <w:b/>
          <w:bCs/>
          <w:color w:val="1F3864" w:themeColor="accent5" w:themeShade="80"/>
          <w:sz w:val="24"/>
          <w:szCs w:val="24"/>
        </w:rPr>
        <w:t>Categoria: Serviço de TIC</w:t>
      </w:r>
      <w:r w:rsidRPr="00F928B5">
        <w:rPr>
          <w:rFonts w:ascii="Bahnschrift Light" w:eastAsia="Times New Roman" w:hAnsi="Bahnschrift Light" w:cs="Times New Roman"/>
          <w:b/>
          <w:bCs/>
          <w:color w:val="1F3864" w:themeColor="accent5" w:themeShade="80"/>
          <w:sz w:val="24"/>
          <w:szCs w:val="24"/>
        </w:rPr>
        <w:tab/>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br/>
        <w:t xml:space="preserve">Para realizar o cálculo do montante previsto para a categoria serviços de TIC, são levantados os tipos de serviços associados a cada ação (itens de despesa). Os custos são distribuídos por semestres, previstos dentro dos prazos das ações. Para os tipos de serviços que contribuem com mais de uma ação do PDTIC ocorre o rateio do valor.  </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2111E8">
      <w:pPr>
        <w:numPr>
          <w:ilvl w:val="0"/>
          <w:numId w:val="1"/>
        </w:numPr>
        <w:spacing w:after="0" w:line="276" w:lineRule="auto"/>
        <w:ind w:left="284" w:hanging="284"/>
        <w:contextualSpacing/>
        <w:rPr>
          <w:rFonts w:ascii="Bahnschrift Light" w:eastAsia="Times New Roman" w:hAnsi="Bahnschrift Light" w:cs="Times New Roman"/>
          <w:b/>
          <w:bCs/>
          <w:color w:val="1F3864" w:themeColor="accent5" w:themeShade="80"/>
          <w:sz w:val="24"/>
          <w:szCs w:val="24"/>
        </w:rPr>
      </w:pPr>
      <w:r w:rsidRPr="00F928B5">
        <w:rPr>
          <w:rFonts w:ascii="Bahnschrift Light" w:eastAsia="Times New Roman" w:hAnsi="Bahnschrift Light" w:cs="Times New Roman"/>
          <w:b/>
          <w:bCs/>
          <w:color w:val="1F3864" w:themeColor="accent5" w:themeShade="80"/>
          <w:sz w:val="24"/>
          <w:szCs w:val="24"/>
        </w:rPr>
        <w:t>Categoria: Pessoal de TIC</w:t>
      </w:r>
    </w:p>
    <w:p w:rsidR="00F928B5" w:rsidRPr="00F928B5" w:rsidRDefault="00F928B5" w:rsidP="00F928B5">
      <w:pPr>
        <w:spacing w:after="0" w:line="276" w:lineRule="auto"/>
        <w:contextualSpacing/>
        <w:jc w:val="both"/>
        <w:rPr>
          <w:rFonts w:ascii="Bahnschrift Light" w:eastAsia="Times New Roman" w:hAnsi="Bahnschrift Light" w:cs="Times New Roman"/>
          <w:b/>
          <w:bCs/>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t xml:space="preserve">Para realizar o cálculo do montante previsto para a categoria pessoal de TIC, são levantados os tipos de cargo/posto associados a cada ação (itens de despesa). Os custos são distribuídos por semestres, previstos dentro dos prazos das ações. Para os tipos de cargo/posto que contribuem com mais de uma ação do PDTIC ocorre o rateio do valor. </w:t>
      </w:r>
    </w:p>
    <w:p w:rsidR="00F928B5" w:rsidRPr="00F928B5" w:rsidRDefault="00F928B5" w:rsidP="002111E8">
      <w:pPr>
        <w:numPr>
          <w:ilvl w:val="0"/>
          <w:numId w:val="1"/>
        </w:numPr>
        <w:spacing w:after="0" w:line="276" w:lineRule="auto"/>
        <w:ind w:left="284" w:hanging="284"/>
        <w:contextualSpacing/>
        <w:rPr>
          <w:rFonts w:ascii="Bahnschrift Light" w:eastAsia="Times New Roman" w:hAnsi="Bahnschrift Light" w:cs="Times New Roman"/>
          <w:b/>
          <w:bCs/>
          <w:color w:val="1F3864" w:themeColor="accent5" w:themeShade="80"/>
          <w:sz w:val="24"/>
          <w:szCs w:val="24"/>
        </w:rPr>
      </w:pPr>
      <w:r w:rsidRPr="00F928B5">
        <w:rPr>
          <w:rFonts w:ascii="Bahnschrift Light" w:eastAsia="Times New Roman" w:hAnsi="Bahnschrift Light" w:cs="Times New Roman"/>
          <w:b/>
          <w:bCs/>
          <w:color w:val="1F3864" w:themeColor="accent5" w:themeShade="80"/>
          <w:sz w:val="24"/>
          <w:szCs w:val="24"/>
        </w:rPr>
        <w:lastRenderedPageBreak/>
        <w:t>Fontes do Orçamento</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t xml:space="preserve">Se o </w:t>
      </w:r>
      <w:r w:rsidRPr="00F928B5">
        <w:rPr>
          <w:rFonts w:ascii="Bahnschrift Light" w:eastAsia="Times New Roman" w:hAnsi="Bahnschrift Light" w:cs="Times New Roman"/>
          <w:i/>
          <w:iCs/>
          <w:color w:val="3B3838" w:themeColor="background2" w:themeShade="40"/>
          <w:sz w:val="24"/>
          <w:szCs w:val="24"/>
        </w:rPr>
        <w:t>hardware</w:t>
      </w:r>
      <w:r w:rsidRPr="00F928B5">
        <w:rPr>
          <w:rFonts w:ascii="Bahnschrift Light" w:eastAsia="Times New Roman" w:hAnsi="Bahnschrift Light" w:cs="Times New Roman"/>
          <w:color w:val="3B3838" w:themeColor="background2" w:themeShade="40"/>
          <w:sz w:val="24"/>
          <w:szCs w:val="24"/>
        </w:rPr>
        <w:t xml:space="preserve">, </w:t>
      </w:r>
      <w:r w:rsidRPr="00F928B5">
        <w:rPr>
          <w:rFonts w:ascii="Bahnschrift Light" w:eastAsia="Times New Roman" w:hAnsi="Bahnschrift Light" w:cs="Times New Roman"/>
          <w:i/>
          <w:iCs/>
          <w:color w:val="3B3838" w:themeColor="background2" w:themeShade="40"/>
          <w:sz w:val="24"/>
          <w:szCs w:val="24"/>
        </w:rPr>
        <w:t>software</w:t>
      </w:r>
      <w:r w:rsidRPr="00F928B5">
        <w:rPr>
          <w:rFonts w:ascii="Bahnschrift Light" w:eastAsia="Times New Roman" w:hAnsi="Bahnschrift Light" w:cs="Times New Roman"/>
          <w:color w:val="3B3838" w:themeColor="background2" w:themeShade="40"/>
          <w:sz w:val="24"/>
          <w:szCs w:val="24"/>
        </w:rPr>
        <w:t xml:space="preserve">, serviço ou cargo/posto for contemplado em contrato vigente da CAPES, será considerado o quantitativo e o valor deste. </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color w:val="3B3838" w:themeColor="background2" w:themeShade="40"/>
          <w:sz w:val="24"/>
          <w:szCs w:val="24"/>
        </w:rPr>
        <w:t>Se não tiver contrato associado, ele será orçado pela DTI, por meio de contratações da Administração Pública, do Plano Anual de Compras de Tecnologia da Informação e Comunicação - PAC-TIC e outras fontes adequadas.</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b/>
          <w:bCs/>
          <w:color w:val="3B3838" w:themeColor="background2" w:themeShade="40"/>
          <w:sz w:val="24"/>
          <w:szCs w:val="24"/>
        </w:rPr>
        <w:t>Observação 1:</w:t>
      </w:r>
      <w:r w:rsidRPr="00F928B5">
        <w:rPr>
          <w:rFonts w:ascii="Bahnschrift Light" w:eastAsia="Times New Roman" w:hAnsi="Bahnschrift Light" w:cs="Times New Roman"/>
          <w:color w:val="3B3838" w:themeColor="background2" w:themeShade="40"/>
          <w:sz w:val="24"/>
          <w:szCs w:val="24"/>
        </w:rPr>
        <w:t xml:space="preserve"> Os custos podem sofrer alterações de acordo com o replanejamento das ações do PDTIC ou alteração nas fontes utilizadas como base para o orçamento. </w:t>
      </w: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p>
    <w:p w:rsidR="00F928B5" w:rsidRPr="00F928B5" w:rsidRDefault="00F928B5" w:rsidP="00F928B5">
      <w:pPr>
        <w:spacing w:after="0" w:line="276" w:lineRule="auto"/>
        <w:contextualSpacing/>
        <w:jc w:val="both"/>
        <w:rPr>
          <w:rFonts w:ascii="Bahnschrift Light" w:eastAsia="Times New Roman" w:hAnsi="Bahnschrift Light" w:cs="Times New Roman"/>
          <w:color w:val="3B3838" w:themeColor="background2" w:themeShade="40"/>
          <w:sz w:val="24"/>
          <w:szCs w:val="24"/>
        </w:rPr>
      </w:pPr>
      <w:r w:rsidRPr="00F928B5">
        <w:rPr>
          <w:rFonts w:ascii="Bahnschrift Light" w:eastAsia="Times New Roman" w:hAnsi="Bahnschrift Light" w:cs="Times New Roman"/>
          <w:b/>
          <w:bCs/>
          <w:color w:val="3B3838" w:themeColor="background2" w:themeShade="40"/>
          <w:sz w:val="24"/>
          <w:szCs w:val="24"/>
        </w:rPr>
        <w:t>Observação 2:</w:t>
      </w:r>
      <w:r w:rsidRPr="00F928B5">
        <w:rPr>
          <w:rFonts w:ascii="Bahnschrift Light" w:eastAsia="Times New Roman" w:hAnsi="Bahnschrift Light" w:cs="Times New Roman"/>
          <w:color w:val="3B3838" w:themeColor="background2" w:themeShade="40"/>
          <w:sz w:val="24"/>
          <w:szCs w:val="24"/>
        </w:rPr>
        <w:t xml:space="preserve"> O Plano Orçamentário </w:t>
      </w:r>
      <w:r w:rsidRPr="00F928B5">
        <w:rPr>
          <w:rFonts w:ascii="Bahnschrift Light" w:eastAsia="Times New Roman" w:hAnsi="Bahnschrift Light" w:cs="Times New Roman"/>
          <w:b/>
          <w:bCs/>
          <w:color w:val="3B3838" w:themeColor="background2" w:themeShade="40"/>
          <w:sz w:val="24"/>
          <w:szCs w:val="24"/>
        </w:rPr>
        <w:t>não considera</w:t>
      </w:r>
      <w:r w:rsidRPr="00F928B5">
        <w:rPr>
          <w:rFonts w:ascii="Bahnschrift Light" w:eastAsia="Times New Roman" w:hAnsi="Bahnschrift Light" w:cs="Times New Roman"/>
          <w:color w:val="3B3838" w:themeColor="background2" w:themeShade="40"/>
          <w:sz w:val="24"/>
          <w:szCs w:val="24"/>
        </w:rPr>
        <w:t xml:space="preserve"> despesas custeadas com orçamento não destinado à TIC da CAPES, porém, alguns itens de despesa associados a esses orçamentos externos foram identificados, embora não orçados (exemplo: contratos de serviço celebrados com a RNP e serviços realizados diretamente por servidores da CAPES).</w:t>
      </w:r>
    </w:p>
    <w:p w:rsidR="00895148" w:rsidRPr="00F928B5" w:rsidRDefault="001E641C" w:rsidP="00F928B5">
      <w:pPr>
        <w:rPr>
          <w:rFonts w:ascii="Bahnschrift Light" w:hAnsi="Bahnschrift Light"/>
        </w:rPr>
      </w:pPr>
    </w:p>
    <w:sectPr w:rsidR="00895148" w:rsidRPr="00F928B5" w:rsidSect="00F928B5">
      <w:headerReference w:type="default" r:id="rId7"/>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832" w:rsidRDefault="00EE4832" w:rsidP="00EE4832">
      <w:pPr>
        <w:spacing w:after="0" w:line="240" w:lineRule="auto"/>
      </w:pPr>
      <w:r>
        <w:separator/>
      </w:r>
    </w:p>
  </w:endnote>
  <w:endnote w:type="continuationSeparator" w:id="0">
    <w:p w:rsidR="00EE4832" w:rsidRDefault="00EE4832" w:rsidP="00EE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Overpass">
    <w:altName w:val="Courier New"/>
    <w:charset w:val="00"/>
    <w:family w:val="auto"/>
    <w:pitch w:val="variable"/>
    <w:sig w:usb0="00000007" w:usb1="0000002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832" w:rsidRDefault="00EE4832" w:rsidP="00EE4832">
      <w:pPr>
        <w:spacing w:after="0" w:line="240" w:lineRule="auto"/>
      </w:pPr>
      <w:r>
        <w:separator/>
      </w:r>
    </w:p>
  </w:footnote>
  <w:footnote w:type="continuationSeparator" w:id="0">
    <w:p w:rsidR="00EE4832" w:rsidRDefault="00EE4832" w:rsidP="00EE4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832" w:rsidRDefault="001E641C">
    <w:pPr>
      <w:pStyle w:val="Cabealho"/>
    </w:pPr>
    <w:r>
      <w:rPr>
        <w:noProof/>
        <w:lang w:eastAsia="pt-BR"/>
      </w:rPr>
      <w:drawing>
        <wp:anchor distT="0" distB="0" distL="114300" distR="114300" simplePos="0" relativeHeight="251663360" behindDoc="1" locked="0" layoutInCell="1" allowOverlap="1" wp14:anchorId="26BE3EBC" wp14:editId="6B797DF9">
          <wp:simplePos x="0" y="0"/>
          <wp:positionH relativeFrom="rightMargin">
            <wp:posOffset>144780</wp:posOffset>
          </wp:positionH>
          <wp:positionV relativeFrom="paragraph">
            <wp:posOffset>235585</wp:posOffset>
          </wp:positionV>
          <wp:extent cx="381635" cy="381000"/>
          <wp:effectExtent l="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logo-original-fundo-claro.jpg"/>
                  <pic:cNvPicPr/>
                </pic:nvPicPr>
                <pic:blipFill>
                  <a:blip r:embed="rId1">
                    <a:extLst>
                      <a:ext uri="{28A0092B-C50C-407E-A947-70E740481C1C}">
                        <a14:useLocalDpi xmlns:a14="http://schemas.microsoft.com/office/drawing/2010/main" val="0"/>
                      </a:ext>
                    </a:extLst>
                  </a:blip>
                  <a:stretch>
                    <a:fillRect/>
                  </a:stretch>
                </pic:blipFill>
                <pic:spPr>
                  <a:xfrm>
                    <a:off x="0" y="0"/>
                    <a:ext cx="381635" cy="381000"/>
                  </a:xfrm>
                  <a:prstGeom prst="rect">
                    <a:avLst/>
                  </a:prstGeom>
                </pic:spPr>
              </pic:pic>
            </a:graphicData>
          </a:graphic>
          <wp14:sizeRelH relativeFrom="margin">
            <wp14:pctWidth>0</wp14:pctWidth>
          </wp14:sizeRelH>
          <wp14:sizeRelV relativeFrom="margin">
            <wp14:pctHeight>0</wp14:pctHeight>
          </wp14:sizeRelV>
        </wp:anchor>
      </w:drawing>
    </w:r>
    <w:r w:rsidR="00EE4832">
      <w:rPr>
        <w:noProof/>
        <w:lang w:eastAsia="pt-BR"/>
      </w:rPr>
      <mc:AlternateContent>
        <mc:Choice Requires="wps">
          <w:drawing>
            <wp:anchor distT="0" distB="0" distL="114300" distR="114300" simplePos="0" relativeHeight="251661312" behindDoc="0" locked="0" layoutInCell="1" allowOverlap="1" wp14:anchorId="08D15695" wp14:editId="61F33DCF">
              <wp:simplePos x="0" y="0"/>
              <wp:positionH relativeFrom="page">
                <wp:posOffset>107950</wp:posOffset>
              </wp:positionH>
              <wp:positionV relativeFrom="topMargin">
                <wp:posOffset>198120</wp:posOffset>
              </wp:positionV>
              <wp:extent cx="2487295" cy="665480"/>
              <wp:effectExtent l="0" t="0" r="0" b="1270"/>
              <wp:wrapNone/>
              <wp:docPr id="16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295" cy="665480"/>
                      </a:xfrm>
                      <a:prstGeom prst="rect">
                        <a:avLst/>
                      </a:prstGeom>
                      <a:noFill/>
                      <a:ln w="9525">
                        <a:noFill/>
                        <a:miter lim="800000"/>
                        <a:headEnd/>
                        <a:tailEnd/>
                      </a:ln>
                    </wps:spPr>
                    <wps:txbx>
                      <w:txbxContent>
                        <w:p w:rsidR="00EE4832" w:rsidRPr="00DA31B9" w:rsidRDefault="00EE4832" w:rsidP="00EE4832">
                          <w:pPr>
                            <w:rPr>
                              <w:rFonts w:ascii="Overpass" w:hAnsi="Overpass"/>
                              <w:b/>
                              <w:color w:val="FFFFFF" w:themeColor="background1"/>
                            </w:rPr>
                          </w:pPr>
                          <w:r w:rsidRPr="006B6EF0">
                            <w:rPr>
                              <w:rFonts w:cstheme="minorHAnsi"/>
                              <w:b/>
                              <w:color w:val="FFFFFF" w:themeColor="background1"/>
                            </w:rPr>
                            <w:t xml:space="preserve">PDTIC </w:t>
                          </w:r>
                          <w:proofErr w:type="gramStart"/>
                          <w:r w:rsidRPr="006B6EF0">
                            <w:rPr>
                              <w:rFonts w:cstheme="minorHAnsi"/>
                              <w:b/>
                              <w:color w:val="FFFFFF" w:themeColor="background1"/>
                            </w:rPr>
                            <w:t>2020</w:t>
                          </w:r>
                          <w:r>
                            <w:rPr>
                              <w:rFonts w:ascii="Overpass" w:hAnsi="Overpass"/>
                              <w:b/>
                              <w:color w:val="FFFFFF" w:themeColor="background1"/>
                            </w:rPr>
                            <w:t xml:space="preserve"> </w:t>
                          </w:r>
                          <w:r>
                            <w:rPr>
                              <w:rFonts w:ascii="Overpass" w:hAnsi="Overpass"/>
                              <w:b/>
                              <w:bCs/>
                              <w:color w:val="FFFFFF" w:themeColor="background1"/>
                            </w:rPr>
                            <w:sym w:font="Wingdings 3" w:char="F067"/>
                          </w:r>
                          <w:r>
                            <w:rPr>
                              <w:rFonts w:ascii="Overpass" w:hAnsi="Overpass"/>
                              <w:b/>
                              <w:bCs/>
                              <w:color w:val="FFFFFF" w:themeColor="background1"/>
                            </w:rPr>
                            <w:t xml:space="preserve"> </w:t>
                          </w:r>
                          <w:r w:rsidRPr="006B6EF0">
                            <w:rPr>
                              <w:rFonts w:cstheme="minorHAnsi"/>
                              <w:b/>
                              <w:color w:val="FFFFFF" w:themeColor="background1"/>
                            </w:rPr>
                            <w:t>2023</w:t>
                          </w:r>
                          <w:proofErr w:type="gramEnd"/>
                          <w:r w:rsidRPr="00A35E89">
                            <w:rPr>
                              <w:rFonts w:ascii="Overpass" w:hAnsi="Overpass"/>
                              <w:color w:val="FFFFFF" w:themeColor="background1"/>
                            </w:rPr>
                            <w:br/>
                          </w:r>
                          <w:r w:rsidRPr="006B6EF0">
                            <w:rPr>
                              <w:rFonts w:cstheme="minorHAnsi"/>
                              <w:color w:val="FFFFFF" w:themeColor="background1"/>
                              <w:sz w:val="20"/>
                            </w:rPr>
                            <w:t xml:space="preserve">Plano Diretor de Tecnologia </w:t>
                          </w:r>
                          <w:r w:rsidRPr="006B6EF0">
                            <w:rPr>
                              <w:rFonts w:cstheme="minorHAnsi"/>
                              <w:color w:val="FFFFFF" w:themeColor="background1"/>
                              <w:sz w:val="20"/>
                            </w:rPr>
                            <w:br/>
                            <w:t>da Informação e Comunicação</w:t>
                          </w:r>
                        </w:p>
                        <w:p w:rsidR="00EE4832" w:rsidRPr="00DC5B0C" w:rsidRDefault="00EE4832" w:rsidP="00EE4832">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15695" id="_x0000_t202" coordsize="21600,21600" o:spt="202" path="m,l,21600r21600,l21600,xe">
              <v:stroke joinstyle="miter"/>
              <v:path gradientshapeok="t" o:connecttype="rect"/>
            </v:shapetype>
            <v:shape id="Caixa de Texto 2" o:spid="_x0000_s1026" type="#_x0000_t202" style="position:absolute;margin-left:8.5pt;margin-top:15.6pt;width:195.85pt;height:5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" filled="f" stroked="f">
              <v:textbox>
                <w:txbxContent>
                  <w:p w:rsidR="00EE4832" w:rsidRPr="00DA31B9" w:rsidRDefault="00EE4832" w:rsidP="00EE4832">
                    <w:pPr>
                      <w:rPr>
                        <w:rFonts w:ascii="Overpass" w:hAnsi="Overpass"/>
                        <w:b/>
                        <w:color w:val="FFFFFF" w:themeColor="background1"/>
                      </w:rPr>
                    </w:pPr>
                    <w:r w:rsidRPr="006B6EF0">
                      <w:rPr>
                        <w:rFonts w:cstheme="minorHAnsi"/>
                        <w:b/>
                        <w:color w:val="FFFFFF" w:themeColor="background1"/>
                      </w:rPr>
                      <w:t xml:space="preserve">PDTIC </w:t>
                    </w:r>
                    <w:proofErr w:type="gramStart"/>
                    <w:r w:rsidRPr="006B6EF0">
                      <w:rPr>
                        <w:rFonts w:cstheme="minorHAnsi"/>
                        <w:b/>
                        <w:color w:val="FFFFFF" w:themeColor="background1"/>
                      </w:rPr>
                      <w:t>2020</w:t>
                    </w:r>
                    <w:r>
                      <w:rPr>
                        <w:rFonts w:ascii="Overpass" w:hAnsi="Overpass"/>
                        <w:b/>
                        <w:color w:val="FFFFFF" w:themeColor="background1"/>
                      </w:rPr>
                      <w:t xml:space="preserve"> </w:t>
                    </w:r>
                    <w:r>
                      <w:rPr>
                        <w:rFonts w:ascii="Overpass" w:hAnsi="Overpass"/>
                        <w:b/>
                        <w:bCs/>
                        <w:color w:val="FFFFFF" w:themeColor="background1"/>
                      </w:rPr>
                      <w:sym w:font="Wingdings 3" w:char="F067"/>
                    </w:r>
                    <w:r>
                      <w:rPr>
                        <w:rFonts w:ascii="Overpass" w:hAnsi="Overpass"/>
                        <w:b/>
                        <w:bCs/>
                        <w:color w:val="FFFFFF" w:themeColor="background1"/>
                      </w:rPr>
                      <w:t xml:space="preserve"> </w:t>
                    </w:r>
                    <w:r w:rsidRPr="006B6EF0">
                      <w:rPr>
                        <w:rFonts w:cstheme="minorHAnsi"/>
                        <w:b/>
                        <w:color w:val="FFFFFF" w:themeColor="background1"/>
                      </w:rPr>
                      <w:t>2023</w:t>
                    </w:r>
                    <w:proofErr w:type="gramEnd"/>
                    <w:r w:rsidRPr="00A35E89">
                      <w:rPr>
                        <w:rFonts w:ascii="Overpass" w:hAnsi="Overpass"/>
                        <w:color w:val="FFFFFF" w:themeColor="background1"/>
                      </w:rPr>
                      <w:br/>
                    </w:r>
                    <w:r w:rsidRPr="006B6EF0">
                      <w:rPr>
                        <w:rFonts w:cstheme="minorHAnsi"/>
                        <w:color w:val="FFFFFF" w:themeColor="background1"/>
                        <w:sz w:val="20"/>
                      </w:rPr>
                      <w:t xml:space="preserve">Plano Diretor de Tecnologia </w:t>
                    </w:r>
                    <w:r w:rsidRPr="006B6EF0">
                      <w:rPr>
                        <w:rFonts w:cstheme="minorHAnsi"/>
                        <w:color w:val="FFFFFF" w:themeColor="background1"/>
                        <w:sz w:val="20"/>
                      </w:rPr>
                      <w:br/>
                      <w:t>da Informação e Comunicação</w:t>
                    </w:r>
                  </w:p>
                  <w:p w:rsidR="00EE4832" w:rsidRPr="00DC5B0C" w:rsidRDefault="00EE4832" w:rsidP="00EE4832">
                    <w:pPr>
                      <w:rPr>
                        <w:color w:val="FF0000"/>
                      </w:rPr>
                    </w:pPr>
                  </w:p>
                </w:txbxContent>
              </v:textbox>
              <w10:wrap anchorx="page" anchory="margin"/>
            </v:shape>
          </w:pict>
        </mc:Fallback>
      </mc:AlternateContent>
    </w:r>
    <w:r w:rsidR="00EE4832">
      <w:rPr>
        <w:noProof/>
        <w:lang w:eastAsia="pt-BR"/>
      </w:rPr>
      <w:drawing>
        <wp:anchor distT="0" distB="0" distL="114300" distR="114300" simplePos="0" relativeHeight="251659264" behindDoc="1" locked="0" layoutInCell="1" allowOverlap="1" wp14:anchorId="4974B468" wp14:editId="1D39C709">
          <wp:simplePos x="0" y="0"/>
          <wp:positionH relativeFrom="page">
            <wp:align>left</wp:align>
          </wp:positionH>
          <wp:positionV relativeFrom="page">
            <wp:align>top</wp:align>
          </wp:positionV>
          <wp:extent cx="10714714" cy="1433779"/>
          <wp:effectExtent l="0" t="0" r="0" b="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o4.png"/>
                  <pic:cNvPicPr/>
                </pic:nvPicPr>
                <pic:blipFill>
                  <a:blip r:embed="rId2">
                    <a:extLst>
                      <a:ext uri="{28A0092B-C50C-407E-A947-70E740481C1C}">
                        <a14:useLocalDpi xmlns:a14="http://schemas.microsoft.com/office/drawing/2010/main" val="0"/>
                      </a:ext>
                    </a:extLst>
                  </a:blip>
                  <a:stretch>
                    <a:fillRect/>
                  </a:stretch>
                </pic:blipFill>
                <pic:spPr>
                  <a:xfrm>
                    <a:off x="0" y="0"/>
                    <a:ext cx="10714714" cy="14337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02E3D"/>
    <w:multiLevelType w:val="multilevel"/>
    <w:tmpl w:val="AB3ED478"/>
    <w:lvl w:ilvl="0">
      <w:start w:val="1"/>
      <w:numFmt w:val="decimal"/>
      <w:lvlText w:val="%1."/>
      <w:lvlJc w:val="left"/>
      <w:pPr>
        <w:ind w:left="360" w:hanging="360"/>
      </w:pPr>
      <w:rPr>
        <w:rFonts w:cs="Times New Roman"/>
        <w:color w:val="1F3864" w:themeColor="accent5" w:themeShade="8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32"/>
    <w:rsid w:val="001E641C"/>
    <w:rsid w:val="002111E8"/>
    <w:rsid w:val="00B25323"/>
    <w:rsid w:val="00B52F83"/>
    <w:rsid w:val="00EE4832"/>
    <w:rsid w:val="00F92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770BE37-E8C3-4D34-8F76-51C054CB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48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832"/>
  </w:style>
  <w:style w:type="paragraph" w:styleId="Rodap">
    <w:name w:val="footer"/>
    <w:basedOn w:val="Normal"/>
    <w:link w:val="RodapChar"/>
    <w:uiPriority w:val="99"/>
    <w:unhideWhenUsed/>
    <w:rsid w:val="00EE4832"/>
    <w:pPr>
      <w:tabs>
        <w:tab w:val="center" w:pos="4252"/>
        <w:tab w:val="right" w:pos="8504"/>
      </w:tabs>
      <w:spacing w:after="0" w:line="240" w:lineRule="auto"/>
    </w:pPr>
  </w:style>
  <w:style w:type="character" w:customStyle="1" w:styleId="RodapChar">
    <w:name w:val="Rodapé Char"/>
    <w:basedOn w:val="Fontepargpadro"/>
    <w:link w:val="Rodap"/>
    <w:uiPriority w:val="99"/>
    <w:rsid w:val="00EE4832"/>
  </w:style>
  <w:style w:type="paragraph" w:styleId="PargrafodaLista">
    <w:name w:val="List Paragraph"/>
    <w:basedOn w:val="Normal"/>
    <w:uiPriority w:val="34"/>
    <w:qFormat/>
    <w:rsid w:val="00F928B5"/>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2375</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Gontijo Passos</dc:creator>
  <cp:keywords/>
  <dc:description/>
  <cp:lastModifiedBy>Kenia Gontijo Passos</cp:lastModifiedBy>
  <cp:revision>4</cp:revision>
  <dcterms:created xsi:type="dcterms:W3CDTF">2021-12-09T23:53:00Z</dcterms:created>
  <dcterms:modified xsi:type="dcterms:W3CDTF">2021-12-10T00:29:00Z</dcterms:modified>
</cp:coreProperties>
</file>