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795DF" w14:textId="77777777" w:rsidR="00045125" w:rsidRPr="007E6311" w:rsidRDefault="00045125" w:rsidP="004E0165">
      <w:pPr>
        <w:suppressLineNumber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F5385A" w14:textId="77777777" w:rsidR="00B86F50" w:rsidRPr="007E6311" w:rsidRDefault="00B86F50" w:rsidP="004E0165">
      <w:pPr>
        <w:suppressLineNumbers/>
        <w:jc w:val="center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7E6311">
        <w:rPr>
          <w:noProof/>
          <w:sz w:val="24"/>
          <w:szCs w:val="24"/>
          <w:lang w:eastAsia="pt-BR"/>
        </w:rPr>
        <w:drawing>
          <wp:inline distT="0" distB="0" distL="0" distR="0" wp14:anchorId="488AC2BD" wp14:editId="0E5DA681">
            <wp:extent cx="1026795" cy="949325"/>
            <wp:effectExtent l="0" t="0" r="1905" b="3175"/>
            <wp:docPr id="2" name="Imagem 2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D80C" w14:textId="77777777" w:rsidR="00B86F50" w:rsidRPr="007E6311" w:rsidRDefault="00B86F50" w:rsidP="004E0165">
      <w:pPr>
        <w:suppressLineNumbers/>
        <w:jc w:val="center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</w:p>
    <w:p w14:paraId="421C9F7C" w14:textId="77777777" w:rsidR="00B86F50" w:rsidRPr="007E6311" w:rsidRDefault="00B86F50" w:rsidP="004E0165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6311">
        <w:rPr>
          <w:rStyle w:val="fontstyle01"/>
          <w:rFonts w:ascii="Arial" w:hAnsi="Arial" w:cs="Arial"/>
          <w:color w:val="000000" w:themeColor="text1"/>
          <w:sz w:val="24"/>
          <w:szCs w:val="24"/>
        </w:rPr>
        <w:t>Coordenação de Aperfeiçoamento de Pessoal de Nível Superior</w:t>
      </w:r>
      <w:r w:rsidRPr="007E631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E6311">
        <w:rPr>
          <w:rStyle w:val="fontstyle21"/>
          <w:rFonts w:ascii="Arial" w:hAnsi="Arial" w:cs="Arial"/>
          <w:color w:val="000000" w:themeColor="text1"/>
          <w:sz w:val="24"/>
          <w:szCs w:val="24"/>
        </w:rPr>
        <w:t>Coordenação Executiva dos Órgãos Colegiados</w:t>
      </w:r>
      <w:r w:rsidRPr="007E6311">
        <w:rPr>
          <w:rFonts w:ascii="Arial" w:hAnsi="Arial" w:cs="Arial"/>
          <w:color w:val="000000" w:themeColor="text1"/>
          <w:sz w:val="24"/>
          <w:szCs w:val="24"/>
        </w:rPr>
        <w:br/>
      </w:r>
      <w:r w:rsidRPr="007E6311">
        <w:rPr>
          <w:rStyle w:val="fontstyle01"/>
          <w:rFonts w:ascii="Arial" w:hAnsi="Arial" w:cs="Arial"/>
          <w:color w:val="000000" w:themeColor="text1"/>
          <w:sz w:val="24"/>
          <w:szCs w:val="24"/>
        </w:rPr>
        <w:t>Conselho Técnico Científico da Educação Superior</w:t>
      </w:r>
      <w:r w:rsidRPr="007E6311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E6311">
        <w:rPr>
          <w:rFonts w:ascii="Arial" w:hAnsi="Arial" w:cs="Arial"/>
          <w:b/>
          <w:bCs/>
          <w:sz w:val="24"/>
          <w:szCs w:val="24"/>
        </w:rPr>
        <w:t>Ata da 208ª Reunião Ordinária</w:t>
      </w:r>
    </w:p>
    <w:p w14:paraId="5F1F357B" w14:textId="77777777" w:rsidR="00B86F50" w:rsidRPr="007E6311" w:rsidRDefault="00B86F50" w:rsidP="004E0165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6311">
        <w:rPr>
          <w:rFonts w:ascii="Arial" w:hAnsi="Arial" w:cs="Arial"/>
          <w:sz w:val="24"/>
          <w:szCs w:val="24"/>
        </w:rPr>
        <w:t>14 e 15 de setembro de 2021</w:t>
      </w:r>
    </w:p>
    <w:p w14:paraId="789007DE" w14:textId="4B539CEE" w:rsidR="00B86F50" w:rsidRPr="007E6311" w:rsidRDefault="00B86F50" w:rsidP="004E0165">
      <w:pPr>
        <w:suppressLineNumbers/>
        <w:jc w:val="center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</w:p>
    <w:p w14:paraId="46C9950B" w14:textId="5307D890" w:rsidR="00045125" w:rsidRPr="007E6311" w:rsidRDefault="00045125" w:rsidP="00B86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6311">
        <w:rPr>
          <w:rFonts w:ascii="Arial" w:hAnsi="Arial" w:cs="Arial"/>
          <w:sz w:val="24"/>
          <w:szCs w:val="24"/>
        </w:rPr>
        <w:t xml:space="preserve">Nos dias 14 e 15 do mês de setembro de 2021, realizou-se por videoconferência, via plataforma Teams, a Ducentésima Oitava Reunião Ordinária do Conselho Técnico-Científico da Educação Superior (CTC-ES), sob a Presidência do Diretor de Avaliação, Prof. Flávio Anastácio de Oliveira Camargo, e com a presença </w:t>
      </w:r>
      <w:proofErr w:type="gramStart"/>
      <w:r w:rsidRPr="007E6311">
        <w:rPr>
          <w:rFonts w:ascii="Arial" w:hAnsi="Arial" w:cs="Arial"/>
          <w:sz w:val="24"/>
          <w:szCs w:val="24"/>
        </w:rPr>
        <w:t>dos(</w:t>
      </w:r>
      <w:proofErr w:type="gramEnd"/>
      <w:r w:rsidRPr="007E6311">
        <w:rPr>
          <w:rFonts w:ascii="Arial" w:hAnsi="Arial" w:cs="Arial"/>
          <w:sz w:val="24"/>
          <w:szCs w:val="24"/>
        </w:rPr>
        <w:t xml:space="preserve">as) seguintes conselheiros(as): </w:t>
      </w:r>
      <w:r w:rsidRPr="007E6311">
        <w:rPr>
          <w:rFonts w:ascii="Arial" w:hAnsi="Arial" w:cs="Arial"/>
          <w:i/>
          <w:iCs/>
          <w:sz w:val="24"/>
          <w:szCs w:val="24"/>
        </w:rPr>
        <w:t>Profa. Adelaide Faljoni-Alario, Coordenadora da área Interdisciplinar; Profa. Adriana Moreira Amado, Coordenadora da área de Economia; Prof. Adriano Lisboa Monteiro, Coordenador da área de Química; Profa. Altair Antoninha Del Bel Cury, Coordenadora da área de Odontologia; Prof. André Pereira Reinert Tokarski, representante da ANPG; Prof. Antonio Eduardo Martinelli, Coordenador da área de Materiais; Prof. Bernardo Lessa Horta, Coordenador da área de Saúde Coletiva; Profa. Denise Freitas, Coordenadora da área de Medicina III; Prof. Edson Fernando Dalmonte, Coordenador da área de Comunicação e Informação; Prof. Flávio Augusto Senra Ribeiro, Coordenador da área de Ciências da Religião e Teologia; Profa. Germana Maria Araújo Sales, Coordenadora da área de Linguística e Literatura; Prof. José Roberto Mineo, Coordenador da área de Ciências Biológicas III; Prof. Luís Manuel Rebelo Fernandes, Coordenador da área de Ciência Política e Relações Internacionais; Prof. Luiz Carlos Federizzi, Coordenador da área de Ciências Agrárias I; Prof. Paulo Jorge Parreira dos Santos, Coordenador da área de Biodiversidade; Prof. Reinaldo Giudici, Coordenador da área de Engenharias II; Prof. Robert Evan Verhine, Coordenador da Área de Educação; Prof. Rômulo Dante Orrico Filho, Coordenador da área de Engenharias I; Prof. Ronaldo Lopes Oliveira, Coordenador da área de Zootecnia e Recursos Pesqueiros; Prof. Tercio Ambrizzi, Coordenador da Área de Geociências</w:t>
      </w:r>
      <w:r w:rsidR="00B86F50" w:rsidRPr="007E6311">
        <w:rPr>
          <w:rFonts w:ascii="Arial" w:hAnsi="Arial" w:cs="Arial"/>
          <w:sz w:val="24"/>
          <w:szCs w:val="24"/>
        </w:rPr>
        <w:t xml:space="preserve">. </w:t>
      </w:r>
      <w:r w:rsidRPr="007E6311">
        <w:rPr>
          <w:rFonts w:ascii="Arial" w:hAnsi="Arial" w:cs="Arial"/>
          <w:sz w:val="24"/>
          <w:szCs w:val="24"/>
        </w:rPr>
        <w:t xml:space="preserve">Todos os membros dos Colégios puderam participar da reunião, na condição de ouvintes, em virtude do caráter público da reunião. </w:t>
      </w:r>
      <w:r w:rsidRPr="007E6311">
        <w:rPr>
          <w:rFonts w:ascii="Arial" w:hAnsi="Arial" w:cs="Arial"/>
          <w:b/>
          <w:sz w:val="24"/>
          <w:szCs w:val="24"/>
          <w:u w:val="single"/>
        </w:rPr>
        <w:t>Abertura</w:t>
      </w:r>
      <w:r w:rsidRPr="007E6311">
        <w:rPr>
          <w:rFonts w:ascii="Arial" w:hAnsi="Arial" w:cs="Arial"/>
          <w:sz w:val="24"/>
          <w:szCs w:val="24"/>
        </w:rPr>
        <w:t xml:space="preserve">: Prof. Flávio Anastácio de Oliveira Camargo iniciou a reunião às 9h dando boas-vindas aos presentes e agradecendo a participação de todos. Apresentou os pontos de pauta (a) Aprovação da ata da 207ª reunião do CTC-ES; (b) Considerações sobre o Qualis; (c) Definição do calendário; e (d) Relato sobre a última reunião do Conselho Superior. </w:t>
      </w:r>
      <w:r w:rsidRPr="007E6311">
        <w:rPr>
          <w:rFonts w:ascii="Arial" w:hAnsi="Arial" w:cs="Arial"/>
          <w:b/>
          <w:sz w:val="24"/>
          <w:szCs w:val="24"/>
          <w:u w:val="single"/>
        </w:rPr>
        <w:t>Aprovação da ata da 207ª reunião do CTC-ES</w:t>
      </w:r>
      <w:r w:rsidRPr="007E6311">
        <w:rPr>
          <w:rFonts w:ascii="Arial" w:hAnsi="Arial" w:cs="Arial"/>
          <w:sz w:val="24"/>
          <w:szCs w:val="24"/>
        </w:rPr>
        <w:t xml:space="preserve">: Decidiu-se que a aprovação desta ata ocorreria na próxima reunião do Conselho. </w:t>
      </w:r>
      <w:r w:rsidRPr="007E6311">
        <w:rPr>
          <w:rFonts w:ascii="Arial" w:hAnsi="Arial" w:cs="Arial"/>
          <w:b/>
          <w:sz w:val="24"/>
          <w:szCs w:val="24"/>
          <w:u w:val="single"/>
        </w:rPr>
        <w:t>Reunião do Conselho Superior:</w:t>
      </w:r>
      <w:r w:rsidRPr="007E6311">
        <w:rPr>
          <w:rFonts w:ascii="Arial" w:hAnsi="Arial" w:cs="Arial"/>
          <w:sz w:val="24"/>
          <w:szCs w:val="24"/>
        </w:rPr>
        <w:t xml:space="preserve"> Prof. Flávio esclareceu que a reunião ocorrida focou na necessidade de regularização da composição do CTC-ES.</w:t>
      </w:r>
      <w:r w:rsidR="00B86F50" w:rsidRPr="007E6311">
        <w:rPr>
          <w:rFonts w:ascii="Arial" w:hAnsi="Arial" w:cs="Arial"/>
          <w:sz w:val="24"/>
          <w:szCs w:val="24"/>
        </w:rPr>
        <w:t xml:space="preserve"> </w:t>
      </w:r>
      <w:r w:rsidRPr="007E6311">
        <w:rPr>
          <w:rFonts w:ascii="Arial" w:hAnsi="Arial" w:cs="Arial"/>
          <w:sz w:val="24"/>
          <w:szCs w:val="24"/>
        </w:rPr>
        <w:t xml:space="preserve">Os conselheiros concordaram que seria urgente a realização de reunião com a Presidente da CAPES, para ciência dos encaminhamentos necessários. Sobre o assunto, Prof. Paulo Jorge Parreira dos Santos afirmou ainda que a invalidação da composição do CTC-ES impactaria em riscos aos processos e decisões até então já tomadas. Prof. Edson Fernando Dalmonte corroborou as colocações, no sentido da necessária manutenção da composição do CTC-ES e de todas as deliberações. Observou que este ponto na ata da última reunião do CTC-ES, estava muito vaga e pediu que fosse mais detalhada. Prof. Rômulo Dante Orrico Filho propôs que o primeiro ponto de pauta fosse a eleição do representante do CTC-ES no Conselho Superior. Externou também preocupação sobre o atraso na publicação do calendário atualizado da avaliação. Atendendo ao pedido dos presentes, Prof. Luis Manuel Rebelo Fernandes, </w:t>
      </w:r>
      <w:r w:rsidR="0034054E">
        <w:rPr>
          <w:rFonts w:ascii="Arial" w:hAnsi="Arial" w:cs="Arial"/>
          <w:sz w:val="24"/>
          <w:szCs w:val="24"/>
        </w:rPr>
        <w:t xml:space="preserve">que participou </w:t>
      </w:r>
      <w:r w:rsidRPr="007E6311">
        <w:rPr>
          <w:rFonts w:ascii="Arial" w:hAnsi="Arial" w:cs="Arial"/>
          <w:sz w:val="24"/>
          <w:szCs w:val="24"/>
        </w:rPr>
        <w:t xml:space="preserve">como </w:t>
      </w:r>
      <w:r w:rsidR="0034054E">
        <w:rPr>
          <w:rFonts w:ascii="Arial" w:hAnsi="Arial" w:cs="Arial"/>
          <w:sz w:val="24"/>
          <w:szCs w:val="24"/>
        </w:rPr>
        <w:t>ouvinte</w:t>
      </w:r>
      <w:r w:rsidR="0034054E" w:rsidRPr="007E6311">
        <w:rPr>
          <w:rFonts w:ascii="Arial" w:hAnsi="Arial" w:cs="Arial"/>
          <w:sz w:val="24"/>
          <w:szCs w:val="24"/>
        </w:rPr>
        <w:t xml:space="preserve"> </w:t>
      </w:r>
      <w:r w:rsidRPr="007E6311">
        <w:rPr>
          <w:rFonts w:ascii="Arial" w:hAnsi="Arial" w:cs="Arial"/>
          <w:sz w:val="24"/>
          <w:szCs w:val="24"/>
        </w:rPr>
        <w:t xml:space="preserve">da referida reunião do Conselho Superior, relatou que, em 2018, a justificativa para a ampliação da quantidade de membros do CTC-ES foi a expansão do Sistema Nacional de Pós-Graduação. Prof. Edson Fernando Dalmonte propôs que fosse feita a defesa do extra numérico da composição do CTC-ES, uma vez que 18 membros já não contemplariam a diversidade e dimensão do sistema. Após manifestações, Prof. Flávio Anastácio de Oliveira Camargo passou à leitura do documento elaborado pelo Colégio da Vida sobre o assunto e destacou: 1) A decisão de ampliação do número de representantes dos Colégios no CTC-ES foi tomada em gestão anterior e de boa-fé para atender aos princípios básicos da Administração Pública, como finalidade, proporcionalidade, interesse público e eficiência, todos amparados no Art. 2º da Lei nº 9.784, de 29 de janeiro de 1999; 2) O risco de modificação da composição do CTC-ES nesse momento seria, entre outros, o de um reconhecimento pela própria Capes de suposta ilegalidade, o que poderia ensejar processos jurídicos e recursos contra a Capes; 3) Os atos que, porventura, apresentem defeitos sanáveis poderiam ser convalidados pela própria Administração em momento posterior, segundo o Art. 55 da Lei n° 9.784, de 29 de janeiro de 1999. O Colégio de Ciências da Vida solicitou à Presidência da Capes e à Procuradoria Federal que envidassem todos os esforços para preservar, na íntegra, o trabalho realizado pelo CTC-ES no último quadriênio. Como proposta de encaminhamento, Prof. Flávio Anastácio de Oliveira Camargo convidaria a Presidente da Capes para a reunião do CTC-ES, a fim de obterem mais informações que auxiliassem na definição dos encaminhamentos. </w:t>
      </w:r>
      <w:r w:rsidRPr="007E6311">
        <w:rPr>
          <w:rFonts w:ascii="Arial" w:hAnsi="Arial" w:cs="Arial"/>
          <w:b/>
          <w:sz w:val="24"/>
          <w:szCs w:val="24"/>
          <w:u w:val="single"/>
        </w:rPr>
        <w:t>Pronunciamento da Presidência:</w:t>
      </w:r>
      <w:r w:rsidRPr="007E6311">
        <w:rPr>
          <w:rFonts w:ascii="Arial" w:hAnsi="Arial" w:cs="Arial"/>
          <w:sz w:val="24"/>
          <w:szCs w:val="24"/>
        </w:rPr>
        <w:t xml:space="preserve"> No período da tarde, Prof. Flávio Anastácio de Oliveira Camargo passou a palavra à Profa. Cláudia Mansani Queda de Toledo, Presidente da Capes, quem reiterou que qualquer ato da sua gestão tem como objetivo preservar o próprio CTC-ES, a Avaliação e a Capes. Noticiou que a Portaria a ser publicada reconhecerá a nulidade da designação dos membros do CTC-ES, mas proporá a imediata eleição do novo colegiado. Acrescentou que a Portaria reconhecerá a desconformidade com o Art. 21 do Estatuto da Capes e afirmou que o processo eleitoral será conduzido administrativamente pela Coordenação de Órgãos Colegiados da Capes (Cecol), de forma eletrônica e </w:t>
      </w:r>
      <w:r w:rsidR="0034054E">
        <w:rPr>
          <w:rFonts w:ascii="Arial" w:hAnsi="Arial" w:cs="Arial"/>
          <w:sz w:val="24"/>
          <w:szCs w:val="24"/>
        </w:rPr>
        <w:t>a cooperação</w:t>
      </w:r>
      <w:r w:rsidRPr="007E6311">
        <w:rPr>
          <w:rFonts w:ascii="Arial" w:hAnsi="Arial" w:cs="Arial"/>
          <w:sz w:val="24"/>
          <w:szCs w:val="24"/>
        </w:rPr>
        <w:t xml:space="preserve"> </w:t>
      </w:r>
      <w:r w:rsidR="0034054E">
        <w:rPr>
          <w:rFonts w:ascii="Arial" w:hAnsi="Arial" w:cs="Arial"/>
          <w:sz w:val="24"/>
          <w:szCs w:val="24"/>
        </w:rPr>
        <w:t xml:space="preserve">dos </w:t>
      </w:r>
      <w:r w:rsidRPr="007E6311">
        <w:rPr>
          <w:rFonts w:ascii="Arial" w:hAnsi="Arial" w:cs="Arial"/>
          <w:sz w:val="24"/>
          <w:szCs w:val="24"/>
        </w:rPr>
        <w:t xml:space="preserve">representantes dos Colégios. A Presidente citou ainda os pontos sensíveis em relação à Portaria do Qualis, salientando que toda e qualquer colocação sua tem por objetivo demonstrar o respeito à questão da </w:t>
      </w:r>
      <w:r w:rsidRPr="007E6311">
        <w:rPr>
          <w:rFonts w:ascii="Arial" w:hAnsi="Arial" w:cs="Arial"/>
          <w:sz w:val="24"/>
          <w:szCs w:val="24"/>
        </w:rPr>
        <w:lastRenderedPageBreak/>
        <w:t xml:space="preserve">anterioridade das regras. </w:t>
      </w:r>
      <w:r w:rsidR="0034054E" w:rsidRPr="004E0165">
        <w:rPr>
          <w:rFonts w:ascii="Arial" w:hAnsi="Arial" w:cs="Arial"/>
          <w:sz w:val="24"/>
          <w:szCs w:val="24"/>
        </w:rPr>
        <w:t xml:space="preserve">A presidência da Capes solicitou que </w:t>
      </w:r>
      <w:r w:rsidRPr="004E0165">
        <w:rPr>
          <w:rFonts w:ascii="Arial" w:hAnsi="Arial" w:cs="Arial"/>
          <w:sz w:val="24"/>
          <w:szCs w:val="24"/>
        </w:rPr>
        <w:t xml:space="preserve">o Sr. Guilherme Alcântara, da Procuradoria Federal (PF), </w:t>
      </w:r>
      <w:r w:rsidR="00355F73" w:rsidRPr="004E0165">
        <w:rPr>
          <w:rFonts w:ascii="Arial" w:hAnsi="Arial" w:cs="Arial"/>
          <w:sz w:val="24"/>
          <w:szCs w:val="24"/>
        </w:rPr>
        <w:t>se manifestasse</w:t>
      </w:r>
      <w:r w:rsidR="004E0165" w:rsidRPr="004E0165">
        <w:rPr>
          <w:rFonts w:ascii="Arial" w:hAnsi="Arial" w:cs="Arial"/>
          <w:sz w:val="24"/>
          <w:szCs w:val="24"/>
        </w:rPr>
        <w:t xml:space="preserve">, </w:t>
      </w:r>
      <w:r w:rsidR="00355F73" w:rsidRPr="004E0165">
        <w:rPr>
          <w:rFonts w:ascii="Arial" w:hAnsi="Arial" w:cs="Arial"/>
          <w:sz w:val="24"/>
          <w:szCs w:val="24"/>
        </w:rPr>
        <w:t>explic</w:t>
      </w:r>
      <w:r w:rsidR="004E0165" w:rsidRPr="004E0165">
        <w:rPr>
          <w:rFonts w:ascii="Arial" w:hAnsi="Arial" w:cs="Arial"/>
          <w:sz w:val="24"/>
          <w:szCs w:val="24"/>
        </w:rPr>
        <w:t xml:space="preserve">ando </w:t>
      </w:r>
      <w:r w:rsidR="00355F73" w:rsidRPr="004E0165">
        <w:rPr>
          <w:rFonts w:ascii="Arial" w:hAnsi="Arial" w:cs="Arial"/>
          <w:sz w:val="24"/>
          <w:szCs w:val="24"/>
        </w:rPr>
        <w:t xml:space="preserve">o teor </w:t>
      </w:r>
      <w:r w:rsidRPr="004E0165">
        <w:rPr>
          <w:rFonts w:ascii="Arial" w:hAnsi="Arial" w:cs="Arial"/>
          <w:sz w:val="24"/>
          <w:szCs w:val="24"/>
        </w:rPr>
        <w:t xml:space="preserve">do parecer que concluiu sobre a nulidade do ato de designação dos atuais membros do CTC-ES e </w:t>
      </w:r>
      <w:r w:rsidR="0034054E" w:rsidRPr="004E0165">
        <w:rPr>
          <w:rFonts w:ascii="Arial" w:hAnsi="Arial" w:cs="Arial"/>
          <w:sz w:val="24"/>
          <w:szCs w:val="24"/>
        </w:rPr>
        <w:t xml:space="preserve">também </w:t>
      </w:r>
      <w:r w:rsidRPr="004E0165">
        <w:rPr>
          <w:rFonts w:ascii="Arial" w:hAnsi="Arial" w:cs="Arial"/>
          <w:sz w:val="24"/>
          <w:szCs w:val="24"/>
        </w:rPr>
        <w:t xml:space="preserve">prestou esclarecimentos sobre a questão da anterioridade dos requisitos de avaliação, sobre a qual a Capes tem sido questionada pelo Ministério Público. </w:t>
      </w:r>
      <w:r w:rsidR="0034054E" w:rsidRPr="004E0165">
        <w:rPr>
          <w:rFonts w:ascii="Arial" w:hAnsi="Arial" w:cs="Arial"/>
          <w:sz w:val="24"/>
          <w:szCs w:val="24"/>
        </w:rPr>
        <w:t xml:space="preserve">Após estes esclarecimentos a palavra foi franqueada para os membros do colegiado se posicionarem. Primeiramente o </w:t>
      </w:r>
      <w:r w:rsidRPr="004E0165">
        <w:rPr>
          <w:rFonts w:ascii="Arial" w:hAnsi="Arial" w:cs="Arial"/>
          <w:sz w:val="24"/>
          <w:szCs w:val="24"/>
        </w:rPr>
        <w:t>Prof. Paulo Jorge Parreira dos Santos salientou que há uma série de argumentos, não apenas legais, mas considerações práticas de risco processual que precisam ser consideradas. Prof. Adriano Lisboa Monteiro reforçou a necessidade de discutir a Portaria 145 do Qualis, salientando que determinados pontos podem prejudicar a avaliação já realizada pelas áreas. Prof. Robert Evan Verhine solicitou a revisão do Art. 21 da Portaria 145, pois vai de encontro</w:t>
      </w:r>
      <w:r w:rsidRPr="007E6311">
        <w:rPr>
          <w:rFonts w:ascii="Arial" w:hAnsi="Arial" w:cs="Arial"/>
          <w:sz w:val="24"/>
          <w:szCs w:val="24"/>
        </w:rPr>
        <w:t xml:space="preserve"> à lógica e aos princípios da avaliação educacional, deslegitimando a avaliação da Capes. Prof. Luis Manuel Rebelo Fernandes questionou a Presidente e a Procuradoria, sobre a possibilidade de o CTS-ES encaminhar sugestões de alteração da Portaria do Qualis, baseadas na análise comparativa entre as deliberações do CTC-ES sobre o texto e a versão final publicada. Prof. Rômulo Dante Orrico Filho se ateve à função e ao papel principal do Qualis, que é permitir a comparação da produção entre programas, fazendo uma breve análise dos indicadores adotados. Após manifestações adicionais por parte dos conselheiros, o Sr. Guilherme Alcântara, da Procuradoria Federal, afirmou, sobre o critério da anterioridade, que a maior preocupação é evitar que os ajustes nos requisitos, que venham a se constituir alterações de mérito, possam trazer problemas para a Capes. Profa. Adelaide Faljoni-Alario fez observações a respeito do Conselho Superior, alegando que ele, assim como o CTC-ES, operou com uma representatividade distinta do Estatuto da Capes e, portanto, também irregular. Ressaltou que muitos recursos recebidos </w:t>
      </w:r>
      <w:r w:rsidR="00133258">
        <w:rPr>
          <w:rFonts w:ascii="Arial" w:hAnsi="Arial" w:cs="Arial"/>
          <w:sz w:val="24"/>
          <w:szCs w:val="24"/>
        </w:rPr>
        <w:t>na</w:t>
      </w:r>
      <w:r w:rsidR="00133258" w:rsidRPr="007E6311">
        <w:rPr>
          <w:rFonts w:ascii="Arial" w:hAnsi="Arial" w:cs="Arial"/>
          <w:sz w:val="24"/>
          <w:szCs w:val="24"/>
        </w:rPr>
        <w:t xml:space="preserve"> </w:t>
      </w:r>
      <w:r w:rsidRPr="007E6311">
        <w:rPr>
          <w:rFonts w:ascii="Arial" w:hAnsi="Arial" w:cs="Arial"/>
          <w:sz w:val="24"/>
          <w:szCs w:val="24"/>
        </w:rPr>
        <w:t>Quadrienal anterior estiveram no Conselho Superior</w:t>
      </w:r>
      <w:r w:rsidR="00133258">
        <w:rPr>
          <w:rFonts w:ascii="Arial" w:hAnsi="Arial" w:cs="Arial"/>
          <w:sz w:val="24"/>
          <w:szCs w:val="24"/>
        </w:rPr>
        <w:t xml:space="preserve"> e foram acolhidos</w:t>
      </w:r>
      <w:r w:rsidRPr="007E6311">
        <w:rPr>
          <w:rFonts w:ascii="Arial" w:hAnsi="Arial" w:cs="Arial"/>
          <w:sz w:val="24"/>
          <w:szCs w:val="24"/>
        </w:rPr>
        <w:t>,</w:t>
      </w:r>
      <w:r w:rsidR="00133258">
        <w:rPr>
          <w:rFonts w:ascii="Arial" w:hAnsi="Arial" w:cs="Arial"/>
          <w:sz w:val="24"/>
          <w:szCs w:val="24"/>
        </w:rPr>
        <w:t xml:space="preserve"> o que resultou</w:t>
      </w:r>
      <w:r w:rsidRPr="007E6311">
        <w:rPr>
          <w:rFonts w:ascii="Arial" w:hAnsi="Arial" w:cs="Arial"/>
          <w:sz w:val="24"/>
          <w:szCs w:val="24"/>
        </w:rPr>
        <w:t xml:space="preserve"> </w:t>
      </w:r>
      <w:r w:rsidR="00133258">
        <w:rPr>
          <w:rFonts w:ascii="Arial" w:hAnsi="Arial" w:cs="Arial"/>
          <w:sz w:val="24"/>
          <w:szCs w:val="24"/>
        </w:rPr>
        <w:t>em</w:t>
      </w:r>
      <w:r w:rsidR="00133258" w:rsidRPr="007E6311">
        <w:rPr>
          <w:rFonts w:ascii="Arial" w:hAnsi="Arial" w:cs="Arial"/>
          <w:sz w:val="24"/>
          <w:szCs w:val="24"/>
        </w:rPr>
        <w:t xml:space="preserve"> </w:t>
      </w:r>
      <w:r w:rsidR="00133258">
        <w:rPr>
          <w:rFonts w:ascii="Arial" w:hAnsi="Arial" w:cs="Arial"/>
          <w:sz w:val="24"/>
          <w:szCs w:val="24"/>
        </w:rPr>
        <w:t>alterações</w:t>
      </w:r>
      <w:r w:rsidRPr="007E6311">
        <w:rPr>
          <w:rFonts w:ascii="Arial" w:hAnsi="Arial" w:cs="Arial"/>
          <w:sz w:val="24"/>
          <w:szCs w:val="24"/>
        </w:rPr>
        <w:t xml:space="preserve"> </w:t>
      </w:r>
      <w:r w:rsidR="00133258">
        <w:rPr>
          <w:rFonts w:ascii="Arial" w:hAnsi="Arial" w:cs="Arial"/>
          <w:sz w:val="24"/>
          <w:szCs w:val="24"/>
        </w:rPr>
        <w:t xml:space="preserve">nas </w:t>
      </w:r>
      <w:r w:rsidRPr="007E6311">
        <w:rPr>
          <w:rFonts w:ascii="Arial" w:hAnsi="Arial" w:cs="Arial"/>
          <w:sz w:val="24"/>
          <w:szCs w:val="24"/>
        </w:rPr>
        <w:t xml:space="preserve">notas, </w:t>
      </w:r>
      <w:r w:rsidR="00133258">
        <w:rPr>
          <w:rFonts w:ascii="Arial" w:hAnsi="Arial" w:cs="Arial"/>
          <w:sz w:val="24"/>
          <w:szCs w:val="24"/>
        </w:rPr>
        <w:t>além disto de</w:t>
      </w:r>
      <w:r w:rsidRPr="007E6311">
        <w:rPr>
          <w:rFonts w:ascii="Arial" w:hAnsi="Arial" w:cs="Arial"/>
          <w:sz w:val="24"/>
          <w:szCs w:val="24"/>
        </w:rPr>
        <w:t>mo</w:t>
      </w:r>
      <w:r w:rsidR="00133258">
        <w:rPr>
          <w:rFonts w:ascii="Arial" w:hAnsi="Arial" w:cs="Arial"/>
          <w:sz w:val="24"/>
          <w:szCs w:val="24"/>
        </w:rPr>
        <w:t>n</w:t>
      </w:r>
      <w:r w:rsidRPr="007E6311">
        <w:rPr>
          <w:rFonts w:ascii="Arial" w:hAnsi="Arial" w:cs="Arial"/>
          <w:sz w:val="24"/>
          <w:szCs w:val="24"/>
        </w:rPr>
        <w:t xml:space="preserve">strou preocupação quanto ao impacto nesses casos por conta da irregularidade do CTC-ES. Prof. Flávio Anastácio de Oliveira Camargo informou que a pauta da reunião seria retomada na reunião do dia seguinte. </w:t>
      </w:r>
      <w:r w:rsidRPr="007E6311">
        <w:rPr>
          <w:rFonts w:ascii="Arial" w:hAnsi="Arial" w:cs="Arial"/>
          <w:b/>
          <w:sz w:val="24"/>
          <w:szCs w:val="24"/>
          <w:u w:val="single"/>
        </w:rPr>
        <w:t>Considerações sobre o Qualis:</w:t>
      </w:r>
      <w:r w:rsidRPr="007E6311">
        <w:rPr>
          <w:rFonts w:ascii="Arial" w:hAnsi="Arial" w:cs="Arial"/>
          <w:sz w:val="24"/>
          <w:szCs w:val="24"/>
        </w:rPr>
        <w:t xml:space="preserve"> No dia 15, Prof. Flávio Anastácio de Oliveira Camargo deu por aberta a sessão, cumprimentando a todos. Iniciou-se a discussão sobre a Portaria 145. Prof. Paulo Jorge Parreira dos Santos apresentou as modificações propostas, com a supressão de </w:t>
      </w:r>
      <w:r w:rsidR="00133258">
        <w:rPr>
          <w:rFonts w:ascii="Arial" w:hAnsi="Arial" w:cs="Arial"/>
          <w:sz w:val="24"/>
          <w:szCs w:val="24"/>
        </w:rPr>
        <w:t xml:space="preserve">alguns </w:t>
      </w:r>
      <w:r w:rsidRPr="007E6311">
        <w:rPr>
          <w:rFonts w:ascii="Arial" w:hAnsi="Arial" w:cs="Arial"/>
          <w:sz w:val="24"/>
          <w:szCs w:val="24"/>
        </w:rPr>
        <w:t xml:space="preserve">artigos e pequenas alterações de texto para melhor entendimento do seu conteúdo. Após discussão da matéria, a minuta apresentada foi colocada em votação, sendo considerada aprovada por unanimidade dos presentes. A Sra. Talita Moreira de Oliveira e a Profa. Adelaide Faljoni-Alario apresentaram no turno vespertino trabalho conjunto, em que a Área Interdisciplinar fez um estudo sobre a situação do Qualis e propôs um modelo híbrido do QR1 com o QR2, para melhor adequação das condições de cada câmara. No caso da câmara das Humanidades, que adotou o QR2, foi feito em conjunto com a DAV a correspondência da temática do periódico com uma área disciplinar, para enquadramento no respectivo universo previamente constituído por cada área e posterior identificação do percentil. Em seguida, prestados os esclarecimentos, o procedimento operacional utilizando o modelo híbrido para o Qualis feito pela Área Interdisciplinar foi colocado em votação, sendo considerado aprovado por unanimidade dos presentes. Após manifestações, o Prof. Flávio Anastácio de </w:t>
      </w:r>
      <w:r w:rsidRPr="007E6311">
        <w:rPr>
          <w:rFonts w:ascii="Arial" w:hAnsi="Arial" w:cs="Arial"/>
          <w:sz w:val="24"/>
          <w:szCs w:val="24"/>
        </w:rPr>
        <w:lastRenderedPageBreak/>
        <w:t>Oliveira Camargo sugeriu como encaminhamento o tratamento excepcional dos periódicos recém-ingressados nas bases indexadoras internacionais (</w:t>
      </w:r>
      <w:proofErr w:type="spellStart"/>
      <w:r w:rsidRPr="007E6311">
        <w:rPr>
          <w:rFonts w:ascii="Arial" w:hAnsi="Arial" w:cs="Arial"/>
          <w:sz w:val="24"/>
          <w:szCs w:val="24"/>
        </w:rPr>
        <w:t>Scopus</w:t>
      </w:r>
      <w:proofErr w:type="spellEnd"/>
      <w:r w:rsidRPr="007E6311">
        <w:rPr>
          <w:rFonts w:ascii="Arial" w:hAnsi="Arial" w:cs="Arial"/>
          <w:sz w:val="24"/>
          <w:szCs w:val="24"/>
        </w:rPr>
        <w:t xml:space="preserve"> ou Web </w:t>
      </w:r>
      <w:proofErr w:type="spellStart"/>
      <w:r w:rsidRPr="007E6311">
        <w:rPr>
          <w:rFonts w:ascii="Arial" w:hAnsi="Arial" w:cs="Arial"/>
          <w:sz w:val="24"/>
          <w:szCs w:val="24"/>
        </w:rPr>
        <w:t>of</w:t>
      </w:r>
      <w:proofErr w:type="spellEnd"/>
      <w:r w:rsidRPr="007E6311">
        <w:rPr>
          <w:rFonts w:ascii="Arial" w:hAnsi="Arial" w:cs="Arial"/>
          <w:sz w:val="24"/>
          <w:szCs w:val="24"/>
        </w:rPr>
        <w:t xml:space="preserve"> Science), que possuem indicador zero ou próximo disso devido ao baixo tempo de indexação. Nestes casos, poderá ser adotado o h5 do Google Scholar como indicador para identificação do percentil. Em seguida, a proposta de encaminhamento apresentada foi colocada em votação, sendo declarada aprovada, podendo se estender às demais áreas que estão no CTC-ES, ou não, desde que solicitada e justificada a excepcionalidade. </w:t>
      </w:r>
      <w:r w:rsidRPr="007E6311">
        <w:rPr>
          <w:rFonts w:ascii="Arial" w:hAnsi="Arial" w:cs="Arial"/>
          <w:b/>
          <w:sz w:val="24"/>
          <w:szCs w:val="24"/>
          <w:u w:val="single"/>
        </w:rPr>
        <w:t>Anexos de produtos na Sucupira</w:t>
      </w:r>
      <w:r w:rsidRPr="007E6311">
        <w:rPr>
          <w:rFonts w:ascii="Arial" w:hAnsi="Arial" w:cs="Arial"/>
          <w:sz w:val="24"/>
          <w:szCs w:val="24"/>
        </w:rPr>
        <w:t>. Prof. Edson D'Almonte</w:t>
      </w:r>
      <w:bookmarkStart w:id="0" w:name="_GoBack"/>
      <w:bookmarkEnd w:id="0"/>
      <w:r w:rsidRPr="007E6311">
        <w:rPr>
          <w:rFonts w:ascii="Arial" w:hAnsi="Arial" w:cs="Arial"/>
          <w:sz w:val="24"/>
          <w:szCs w:val="24"/>
        </w:rPr>
        <w:t xml:space="preserve"> apresentou um caso específico de sua Área, que tem relação com os anexos de livros inseridos pelos programas, além dos casos em que não foi identificado o anexo. Informou que estão aguardando um posicionamento por parte da DAV se de fato é possível detectar e apresentar a natureza do problema, possibilitando que seja equacionado. A Sra. Talita Moreira de Oliveira informou que os casos reportados pelas áreas foram checados pela equipe técnica da DAV e DTI, e não foi identificado erro operacional no sistema. Ainda, informou que a última versão da Plataforma Sucupira corrigiu o problema de abertura de arquivos em formato ZIP. A sugestão é de que a checagem deveria ser feita pontualmente e, à medida que forem identificados estes problemas, a equipe da DAV seja acionada para fazer a checagem. </w:t>
      </w:r>
      <w:r w:rsidRPr="007E6311">
        <w:rPr>
          <w:rFonts w:ascii="Arial" w:hAnsi="Arial" w:cs="Arial"/>
          <w:b/>
          <w:sz w:val="24"/>
          <w:szCs w:val="24"/>
          <w:u w:val="single"/>
        </w:rPr>
        <w:t>Definição do calendário:</w:t>
      </w:r>
      <w:r w:rsidRPr="007E6311">
        <w:rPr>
          <w:rFonts w:ascii="Arial" w:hAnsi="Arial" w:cs="Arial"/>
          <w:sz w:val="24"/>
          <w:szCs w:val="24"/>
        </w:rPr>
        <w:t xml:space="preserve"> Foi estabelecido que a definição do calendário seria realizada após a deliberação da Portaria 145, posteriormente à avaliação dos impactos e da necessidade de adaptação e ajustes ao Qualis.</w:t>
      </w:r>
      <w:r w:rsidR="004E0165">
        <w:rPr>
          <w:rFonts w:ascii="Arial" w:hAnsi="Arial" w:cs="Arial"/>
          <w:sz w:val="24"/>
          <w:szCs w:val="24"/>
        </w:rPr>
        <w:t xml:space="preserve"> </w:t>
      </w:r>
      <w:r w:rsidRPr="007E6311">
        <w:rPr>
          <w:rFonts w:ascii="Arial" w:hAnsi="Arial" w:cs="Arial"/>
          <w:b/>
          <w:sz w:val="24"/>
          <w:szCs w:val="24"/>
          <w:u w:val="single"/>
        </w:rPr>
        <w:t>Encerramento</w:t>
      </w:r>
      <w:r w:rsidRPr="007E6311">
        <w:rPr>
          <w:rFonts w:ascii="Arial" w:hAnsi="Arial" w:cs="Arial"/>
          <w:sz w:val="24"/>
          <w:szCs w:val="24"/>
        </w:rPr>
        <w:t xml:space="preserve">: Não havendo manifestações adicionais, a Ducentésima Oitava Reunião Ordinária do Conselho Técnico-Científico da Educação Superior foi declarada encerrada. </w:t>
      </w:r>
    </w:p>
    <w:p w14:paraId="3E67AA34" w14:textId="77777777" w:rsidR="00045125" w:rsidRPr="007E6311" w:rsidRDefault="00045125" w:rsidP="004E0165">
      <w:pPr>
        <w:suppressLineNumber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F95340" w14:textId="77777777" w:rsidR="00045125" w:rsidRPr="007E6311" w:rsidRDefault="00045125" w:rsidP="004E0165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CFB873B" w14:textId="77777777" w:rsidR="00045125" w:rsidRPr="007E6311" w:rsidRDefault="00045125" w:rsidP="004E0165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6311">
        <w:rPr>
          <w:rFonts w:ascii="Arial" w:hAnsi="Arial" w:cs="Arial"/>
          <w:sz w:val="24"/>
          <w:szCs w:val="24"/>
        </w:rPr>
        <w:t>Flávio Anastácio de Oliveira Camargo</w:t>
      </w:r>
    </w:p>
    <w:p w14:paraId="387FB920" w14:textId="77777777" w:rsidR="00211665" w:rsidRPr="007E6311" w:rsidRDefault="00045125" w:rsidP="004E0165">
      <w:pPr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E6311">
        <w:rPr>
          <w:rFonts w:ascii="Arial" w:hAnsi="Arial" w:cs="Arial"/>
          <w:sz w:val="24"/>
          <w:szCs w:val="24"/>
        </w:rPr>
        <w:t>Presidente do CTC-ES</w:t>
      </w:r>
    </w:p>
    <w:sectPr w:rsidR="00211665" w:rsidRPr="007E6311" w:rsidSect="004E0165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1E94" w14:textId="77777777" w:rsidR="00341C09" w:rsidRDefault="00341C09" w:rsidP="00AE7E00">
      <w:pPr>
        <w:spacing w:after="0" w:line="240" w:lineRule="auto"/>
      </w:pPr>
      <w:r>
        <w:separator/>
      </w:r>
    </w:p>
  </w:endnote>
  <w:endnote w:type="continuationSeparator" w:id="0">
    <w:p w14:paraId="2B4D3BBE" w14:textId="77777777" w:rsidR="00341C09" w:rsidRDefault="00341C09" w:rsidP="00AE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289FF" w14:textId="77777777" w:rsidR="00341C09" w:rsidRDefault="00341C09" w:rsidP="00AE7E00">
      <w:pPr>
        <w:spacing w:after="0" w:line="240" w:lineRule="auto"/>
      </w:pPr>
      <w:r>
        <w:separator/>
      </w:r>
    </w:p>
  </w:footnote>
  <w:footnote w:type="continuationSeparator" w:id="0">
    <w:p w14:paraId="34893361" w14:textId="77777777" w:rsidR="00341C09" w:rsidRDefault="00341C09" w:rsidP="00AE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3B29" w14:textId="77777777" w:rsidR="00AE7E00" w:rsidRDefault="00AE7E00" w:rsidP="004E01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25"/>
    <w:rsid w:val="00045125"/>
    <w:rsid w:val="00133258"/>
    <w:rsid w:val="001D0AB0"/>
    <w:rsid w:val="0034054E"/>
    <w:rsid w:val="00341C09"/>
    <w:rsid w:val="00343457"/>
    <w:rsid w:val="0034780A"/>
    <w:rsid w:val="00355F73"/>
    <w:rsid w:val="004E0165"/>
    <w:rsid w:val="005079F2"/>
    <w:rsid w:val="007514C9"/>
    <w:rsid w:val="007E6311"/>
    <w:rsid w:val="00906D7D"/>
    <w:rsid w:val="009178D8"/>
    <w:rsid w:val="00AE7E00"/>
    <w:rsid w:val="00AF390A"/>
    <w:rsid w:val="00B86F50"/>
    <w:rsid w:val="00C631AE"/>
    <w:rsid w:val="00C931D9"/>
    <w:rsid w:val="00E54B6E"/>
    <w:rsid w:val="00E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8116"/>
  <w15:chartTrackingRefBased/>
  <w15:docId w15:val="{9276E9A1-0E08-4CB6-BD3C-79BAD782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00"/>
  </w:style>
  <w:style w:type="paragraph" w:styleId="Rodap">
    <w:name w:val="footer"/>
    <w:basedOn w:val="Normal"/>
    <w:link w:val="RodapChar"/>
    <w:uiPriority w:val="99"/>
    <w:unhideWhenUsed/>
    <w:rsid w:val="00AE7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00"/>
  </w:style>
  <w:style w:type="character" w:styleId="Hyperlink">
    <w:name w:val="Hyperlink"/>
    <w:basedOn w:val="Fontepargpadro"/>
    <w:uiPriority w:val="99"/>
    <w:unhideWhenUsed/>
    <w:rsid w:val="00AE7E00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B86F50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B86F50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F73"/>
    <w:rPr>
      <w:rFonts w:ascii="Segoe UI" w:hAnsi="Segoe UI" w:cs="Segoe UI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4E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1853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Helena Rodrigues</dc:creator>
  <cp:keywords/>
  <dc:description/>
  <cp:lastModifiedBy>Silvia Helena Rodrigues</cp:lastModifiedBy>
  <cp:revision>2</cp:revision>
  <dcterms:created xsi:type="dcterms:W3CDTF">2021-11-12T12:51:00Z</dcterms:created>
  <dcterms:modified xsi:type="dcterms:W3CDTF">2021-11-12T12:51:00Z</dcterms:modified>
</cp:coreProperties>
</file>