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37" w:rsidRDefault="00761837" w:rsidP="008E407F">
      <w:pPr>
        <w:pStyle w:val="Recuodecorpodetexto"/>
        <w:spacing w:afterLines="80" w:after="192" w:line="240" w:lineRule="atLeast"/>
        <w:ind w:left="0" w:firstLine="0"/>
        <w:jc w:val="center"/>
        <w:rPr>
          <w:rFonts w:ascii="Candara" w:hAnsi="Candara" w:cs="Arial"/>
          <w:b/>
          <w:sz w:val="20"/>
        </w:rPr>
      </w:pPr>
      <w:r>
        <w:rPr>
          <w:rFonts w:ascii="Candara" w:hAnsi="Candara" w:cs="Arial"/>
          <w:b/>
          <w:sz w:val="20"/>
        </w:rPr>
        <w:t>EDITAL Nº 12/2015</w:t>
      </w:r>
    </w:p>
    <w:p w:rsidR="008E407F" w:rsidRDefault="00CE51C2" w:rsidP="008E407F">
      <w:pPr>
        <w:pStyle w:val="Recuodecorpodetexto"/>
        <w:spacing w:afterLines="80" w:after="192" w:line="240" w:lineRule="atLeast"/>
        <w:ind w:left="0" w:firstLine="0"/>
        <w:jc w:val="center"/>
        <w:rPr>
          <w:rFonts w:ascii="Candara" w:hAnsi="Candara" w:cs="Arial"/>
          <w:b/>
          <w:sz w:val="20"/>
        </w:rPr>
      </w:pPr>
      <w:r>
        <w:rPr>
          <w:rFonts w:ascii="Candara" w:hAnsi="Candara" w:cs="Arial"/>
          <w:b/>
          <w:sz w:val="20"/>
        </w:rPr>
        <w:t xml:space="preserve">MEMÓRIAS BRASILEIRAS: </w:t>
      </w:r>
      <w:r w:rsidR="00B20D94">
        <w:rPr>
          <w:rFonts w:ascii="Candara" w:hAnsi="Candara" w:cs="Arial"/>
          <w:b/>
          <w:sz w:val="20"/>
        </w:rPr>
        <w:t>CONFLITOS SOCIAIS</w:t>
      </w:r>
      <w:bookmarkStart w:id="0" w:name="_GoBack"/>
    </w:p>
    <w:bookmarkEnd w:id="0"/>
    <w:p w:rsidR="008E407F" w:rsidRPr="007B4756" w:rsidRDefault="008E407F" w:rsidP="008E407F">
      <w:pPr>
        <w:pStyle w:val="Recuodecorpodetexto"/>
        <w:spacing w:afterLines="80" w:after="192" w:line="240" w:lineRule="atLeast"/>
        <w:ind w:left="0" w:firstLine="0"/>
        <w:jc w:val="center"/>
        <w:rPr>
          <w:rFonts w:ascii="Candara" w:hAnsi="Candara" w:cs="Arial"/>
          <w:b/>
          <w:sz w:val="20"/>
        </w:rPr>
      </w:pPr>
      <w:r w:rsidRPr="007B4756">
        <w:rPr>
          <w:rFonts w:ascii="Candara" w:hAnsi="Candara" w:cs="Arial"/>
          <w:b/>
          <w:sz w:val="20"/>
        </w:rPr>
        <w:t>Anexo I – Valores de diárias aplicáveis</w:t>
      </w:r>
    </w:p>
    <w:p w:rsidR="008E407F" w:rsidRDefault="008E407F" w:rsidP="008E407F">
      <w:pPr>
        <w:pStyle w:val="Recuodecorpodetexto"/>
        <w:spacing w:afterLines="80" w:after="192" w:line="240" w:lineRule="atLeast"/>
        <w:ind w:left="0" w:firstLine="0"/>
        <w:rPr>
          <w:rFonts w:ascii="Candara" w:hAnsi="Candara" w:cs="Arial"/>
          <w:sz w:val="20"/>
        </w:rPr>
      </w:pPr>
      <w:r>
        <w:rPr>
          <w:rFonts w:ascii="Candara" w:hAnsi="Candara" w:cs="Arial"/>
          <w:sz w:val="20"/>
        </w:rPr>
        <w:t xml:space="preserve">As despesas com diárias </w:t>
      </w:r>
      <w:r w:rsidRPr="00320D96">
        <w:rPr>
          <w:rFonts w:ascii="Candara" w:hAnsi="Candara" w:cs="Arial"/>
          <w:sz w:val="20"/>
        </w:rPr>
        <w:t>para uso exclusivo dos coordenadores e docentes quando de deslocamentos para docência e participação em eventos relacionados ao Projeto</w:t>
      </w:r>
      <w:r>
        <w:rPr>
          <w:rFonts w:ascii="Candara" w:hAnsi="Candara" w:cs="Arial"/>
          <w:color w:val="FF0000"/>
          <w:sz w:val="20"/>
        </w:rPr>
        <w:t xml:space="preserve"> </w:t>
      </w:r>
      <w:r>
        <w:rPr>
          <w:rFonts w:ascii="Candara" w:hAnsi="Candara" w:cs="Arial"/>
          <w:sz w:val="20"/>
        </w:rPr>
        <w:t xml:space="preserve">deverão seguir os valores estipulados pelos Decretos nº 6.907/2009 (diárias nacionais) e nº 6.576/2008 (diárias internacionais), aplicáveis aos servidores públicos federais de nível superior nas classes/classificações conforme tabelas abaixo. Esses valores poderão sofrer reajustes pelo Governo Federal, ocasião em que a CAPES atualizará este Anexo em seu website. </w:t>
      </w:r>
    </w:p>
    <w:p w:rsidR="008E407F" w:rsidRPr="007B4756" w:rsidRDefault="008E407F" w:rsidP="008E407F">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 xml:space="preserve">A) Tabela – Valor da Indenização de Diárias aos servidores públicos </w:t>
      </w:r>
      <w:r w:rsidR="00923CD5">
        <w:rPr>
          <w:rFonts w:ascii="Candara" w:hAnsi="Candara" w:cs="Arial"/>
          <w:b/>
          <w:sz w:val="20"/>
        </w:rPr>
        <w:t xml:space="preserve">federais, no </w:t>
      </w:r>
      <w:proofErr w:type="gramStart"/>
      <w:r w:rsidR="00923CD5">
        <w:rPr>
          <w:rFonts w:ascii="Candara" w:hAnsi="Candara" w:cs="Arial"/>
          <w:b/>
          <w:sz w:val="20"/>
        </w:rPr>
        <w:t>País</w:t>
      </w:r>
      <w:proofErr w:type="gramEnd"/>
    </w:p>
    <w:tbl>
      <w:tblPr>
        <w:tblW w:w="9709"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80"/>
        <w:gridCol w:w="1550"/>
        <w:gridCol w:w="2419"/>
        <w:gridCol w:w="1701"/>
        <w:gridCol w:w="1559"/>
      </w:tblGrid>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Classificação do Cargo/Emprego/Função</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Brasília/Manaus/ Rio de Janeiro</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Belo Horizonte/ Fortaleza/Porto Alegre/Recife/ Salvador/São Paulo</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outras capitais de Estados</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Demais deslocamentos</w:t>
            </w:r>
          </w:p>
        </w:tc>
      </w:tr>
      <w:tr w:rsidR="008E407F" w:rsidRPr="007B4756" w:rsidTr="00D94F3F">
        <w:trPr>
          <w:trHeight w:val="1004"/>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E) DAS-2, DAS-1; FCT4, FCT5, FCT6, FCT7; cargos de nível superior e FCINSS.</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224,20</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212,40</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200,60</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177,00</w:t>
            </w:r>
          </w:p>
        </w:tc>
      </w:tr>
    </w:tbl>
    <w:p w:rsidR="00182258" w:rsidRDefault="00182258" w:rsidP="008E407F">
      <w:pPr>
        <w:pStyle w:val="Recuodecorpodetexto"/>
        <w:spacing w:afterLines="80" w:after="192" w:line="240" w:lineRule="atLeast"/>
        <w:ind w:left="0" w:firstLine="0"/>
        <w:rPr>
          <w:rFonts w:ascii="Candara" w:hAnsi="Candara" w:cs="Arial"/>
          <w:b/>
          <w:sz w:val="20"/>
        </w:rPr>
      </w:pPr>
    </w:p>
    <w:p w:rsidR="006A73F3" w:rsidRPr="00A52854" w:rsidRDefault="006A73F3" w:rsidP="006A73F3">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B) Valores de Diárias no Exterior</w:t>
      </w:r>
      <w:r>
        <w:rPr>
          <w:rFonts w:ascii="Candara" w:hAnsi="Candara" w:cs="Arial"/>
          <w:b/>
          <w:sz w:val="20"/>
        </w:rPr>
        <w:t xml:space="preserve"> </w:t>
      </w:r>
    </w:p>
    <w:tbl>
      <w:tblPr>
        <w:tblW w:w="9644" w:type="dxa"/>
        <w:tblCellMar>
          <w:top w:w="15" w:type="dxa"/>
          <w:left w:w="15" w:type="dxa"/>
          <w:bottom w:w="15" w:type="dxa"/>
          <w:right w:w="15" w:type="dxa"/>
        </w:tblCellMar>
        <w:tblLook w:val="04A0" w:firstRow="1" w:lastRow="0" w:firstColumn="1" w:lastColumn="0" w:noHBand="0" w:noVBand="1"/>
      </w:tblPr>
      <w:tblGrid>
        <w:gridCol w:w="378"/>
        <w:gridCol w:w="8274"/>
        <w:gridCol w:w="992"/>
      </w:tblGrid>
      <w:tr w:rsidR="006A73F3" w:rsidRPr="00BD5E12" w:rsidTr="00B22AEA">
        <w:trPr>
          <w:tblHeader/>
        </w:trPr>
        <w:tc>
          <w:tcPr>
            <w:tcW w:w="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rPr>
                <w:rFonts w:ascii="Candara" w:hAnsi="Candara"/>
              </w:rPr>
            </w:pPr>
            <w:r w:rsidRPr="00BD5E12">
              <w:rPr>
                <w:rFonts w:ascii="Candara" w:hAnsi="Candara" w:cs="Arial"/>
                <w:sz w:val="20"/>
                <w:szCs w:val="20"/>
              </w:rPr>
              <w:t> </w:t>
            </w:r>
          </w:p>
        </w:tc>
        <w:tc>
          <w:tcPr>
            <w:tcW w:w="8274"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center"/>
              <w:rPr>
                <w:rFonts w:ascii="Candara" w:hAnsi="Candara"/>
              </w:rPr>
            </w:pPr>
            <w:r w:rsidRPr="00BD5E12">
              <w:rPr>
                <w:rFonts w:ascii="Candara" w:hAnsi="Candara" w:cs="Arial"/>
                <w:sz w:val="20"/>
                <w:szCs w:val="20"/>
              </w:rPr>
              <w:t>GRUPOS/PAÍSES</w:t>
            </w:r>
          </w:p>
        </w:tc>
        <w:tc>
          <w:tcPr>
            <w:tcW w:w="992"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Classe I</w:t>
            </w:r>
            <w:r>
              <w:rPr>
                <w:rFonts w:ascii="Candara" w:hAnsi="Candara" w:cs="Arial"/>
                <w:spacing w:val="-4"/>
                <w:sz w:val="20"/>
                <w:szCs w:val="20"/>
              </w:rPr>
              <w:t>V</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A</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w:t>
            </w:r>
            <w:proofErr w:type="gramStart"/>
            <w:r w:rsidRPr="00BD5E12">
              <w:rPr>
                <w:rFonts w:ascii="Candara" w:hAnsi="Candara" w:cs="Arial"/>
                <w:color w:val="000000"/>
                <w:sz w:val="20"/>
                <w:szCs w:val="20"/>
              </w:rPr>
              <w:t>Centro Africana</w:t>
            </w:r>
            <w:proofErr w:type="gramEnd"/>
            <w:r w:rsidRPr="00BD5E12">
              <w:rPr>
                <w:rFonts w:ascii="Candara" w:hAnsi="Candara" w:cs="Arial"/>
                <w:color w:val="000000"/>
                <w:sz w:val="20"/>
                <w:szCs w:val="20"/>
              </w:rPr>
              <w:t>, República Togolesa, Salomão, Samoa,  Serra Leoa, Síria, Somália, Sri Lanka, Suriname, Tadjiquistão, Tailândia, Timor Leste, Tonga, Tunísia, Turcomenistão, Turquia, Tuvalu, Vietnã, Zimbábue.</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1</w:t>
            </w:r>
            <w:r>
              <w:rPr>
                <w:rFonts w:ascii="Candara" w:hAnsi="Candara" w:cs="Arial"/>
                <w:spacing w:val="-4"/>
                <w:sz w:val="20"/>
                <w:szCs w:val="20"/>
              </w:rPr>
              <w:t>8</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B</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África do Sul, Albânia, Andorra, Argélia, Argentina, Austrália, Belize, </w:t>
            </w:r>
            <w:proofErr w:type="spellStart"/>
            <w:r w:rsidRPr="00BD5E12">
              <w:rPr>
                <w:rFonts w:ascii="Candara" w:hAnsi="Candara" w:cs="Arial"/>
                <w:color w:val="000000"/>
                <w:sz w:val="20"/>
                <w:szCs w:val="20"/>
              </w:rPr>
              <w:t>Bósnia-Herzegóvina</w:t>
            </w:r>
            <w:proofErr w:type="spellEnd"/>
            <w:r w:rsidRPr="00BD5E12">
              <w:rPr>
                <w:rFonts w:ascii="Candara" w:hAnsi="Candara" w:cs="Arial"/>
                <w:color w:val="000000"/>
                <w:sz w:val="20"/>
                <w:szCs w:val="20"/>
              </w:rPr>
              <w:t>,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Pr>
                <w:rFonts w:ascii="Candara" w:hAnsi="Candara" w:cs="Arial"/>
                <w:spacing w:val="-4"/>
                <w:sz w:val="20"/>
                <w:szCs w:val="20"/>
              </w:rPr>
              <w:t>26</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C</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Antígua e Barbuda, Arábia Saudita, </w:t>
            </w:r>
            <w:proofErr w:type="spellStart"/>
            <w:r w:rsidRPr="00BD5E12">
              <w:rPr>
                <w:rFonts w:ascii="Candara" w:hAnsi="Candara" w:cs="Arial"/>
                <w:color w:val="000000"/>
                <w:sz w:val="20"/>
                <w:szCs w:val="20"/>
              </w:rPr>
              <w:t>Azerbaidjão</w:t>
            </w:r>
            <w:proofErr w:type="spellEnd"/>
            <w:r w:rsidRPr="00BD5E12">
              <w:rPr>
                <w:rFonts w:ascii="Candara" w:hAnsi="Candara" w:cs="Arial"/>
                <w:color w:val="000000"/>
                <w:sz w:val="20"/>
                <w:szCs w:val="20"/>
              </w:rPr>
              <w:t xml:space="preserve">, Bahamas, </w:t>
            </w:r>
            <w:proofErr w:type="spellStart"/>
            <w:r w:rsidRPr="00BD5E12">
              <w:rPr>
                <w:rFonts w:ascii="Candara" w:hAnsi="Candara" w:cs="Arial"/>
                <w:color w:val="000000"/>
                <w:sz w:val="20"/>
                <w:szCs w:val="20"/>
              </w:rPr>
              <w:t>Bareine</w:t>
            </w:r>
            <w:proofErr w:type="spellEnd"/>
            <w:r w:rsidRPr="00BD5E12">
              <w:rPr>
                <w:rFonts w:ascii="Candara" w:hAnsi="Candara" w:cs="Arial"/>
                <w:color w:val="000000"/>
                <w:sz w:val="20"/>
                <w:szCs w:val="20"/>
              </w:rPr>
              <w:t xml:space="preserv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BD5E12">
              <w:rPr>
                <w:rFonts w:ascii="Candara" w:hAnsi="Candara" w:cs="Arial"/>
                <w:color w:val="000000"/>
                <w:sz w:val="20"/>
                <w:szCs w:val="20"/>
              </w:rPr>
              <w:t>Cristovão</w:t>
            </w:r>
            <w:proofErr w:type="spellEnd"/>
            <w:r w:rsidRPr="00BD5E12">
              <w:rPr>
                <w:rFonts w:ascii="Candara" w:hAnsi="Candara" w:cs="Arial"/>
                <w:color w:val="000000"/>
                <w:sz w:val="20"/>
                <w:szCs w:val="20"/>
              </w:rPr>
              <w:t xml:space="preserve"> e Névis, São Vicente e Granadinas, Taiwan, Trinidad e Tobago, Ucrânia, Uganda, Zâmbia.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3</w:t>
            </w:r>
            <w:r>
              <w:rPr>
                <w:rFonts w:ascii="Candara" w:hAnsi="Candara" w:cs="Arial"/>
                <w:spacing w:val="-4"/>
                <w:sz w:val="20"/>
                <w:szCs w:val="20"/>
              </w:rPr>
              <w:t>1</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D</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BD5E12">
              <w:rPr>
                <w:rFonts w:ascii="Candara" w:hAnsi="Candara" w:cs="Arial"/>
                <w:color w:val="000000"/>
                <w:sz w:val="20"/>
                <w:szCs w:val="20"/>
              </w:rPr>
              <w:t>Kuaite</w:t>
            </w:r>
            <w:proofErr w:type="spellEnd"/>
            <w:r w:rsidRPr="00BD5E12">
              <w:rPr>
                <w:rFonts w:ascii="Candara" w:hAnsi="Candara" w:cs="Arial"/>
                <w:color w:val="000000"/>
                <w:sz w:val="20"/>
                <w:szCs w:val="20"/>
              </w:rPr>
              <w:t>, Liechtenstein, Luxemburgo, Mônaco, Montenegro, Noruega, Omã, Países Baixos, Portugal, Reino Unido, República Quirguiz, Seicheles, Sérvia, Suazilândia, Suécia, Suíça, Vanuatu.</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Pr>
                <w:rFonts w:ascii="Candara" w:hAnsi="Candara" w:cs="Arial"/>
                <w:color w:val="000000"/>
                <w:spacing w:val="-4"/>
                <w:sz w:val="20"/>
                <w:szCs w:val="20"/>
              </w:rPr>
              <w:t>37</w:t>
            </w:r>
            <w:r w:rsidRPr="00BD5E12">
              <w:rPr>
                <w:rFonts w:ascii="Candara" w:hAnsi="Candara" w:cs="Arial"/>
                <w:color w:val="000000"/>
                <w:spacing w:val="-4"/>
                <w:sz w:val="20"/>
                <w:szCs w:val="20"/>
              </w:rPr>
              <w:t>0</w:t>
            </w:r>
          </w:p>
        </w:tc>
      </w:tr>
    </w:tbl>
    <w:p w:rsidR="00187B1F" w:rsidRDefault="00187B1F" w:rsidP="00DD53A6"/>
    <w:sectPr w:rsidR="00187B1F" w:rsidSect="00761837">
      <w:headerReference w:type="default" r:id="rId7"/>
      <w:footerReference w:type="default" r:id="rId8"/>
      <w:pgSz w:w="11906" w:h="16838"/>
      <w:pgMar w:top="1276" w:right="1080" w:bottom="1440" w:left="108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7F" w:rsidRDefault="008E407F" w:rsidP="008E407F">
      <w:r>
        <w:separator/>
      </w:r>
    </w:p>
  </w:endnote>
  <w:endnote w:type="continuationSeparator" w:id="0">
    <w:p w:rsidR="008E407F" w:rsidRDefault="008E407F" w:rsidP="008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52323"/>
      <w:docPartObj>
        <w:docPartGallery w:val="Page Numbers (Bottom of Page)"/>
        <w:docPartUnique/>
      </w:docPartObj>
    </w:sdtPr>
    <w:sdtEndPr>
      <w:rPr>
        <w:rFonts w:ascii="Candara" w:hAnsi="Candara"/>
        <w:sz w:val="20"/>
      </w:rPr>
    </w:sdtEndPr>
    <w:sdtContent>
      <w:p w:rsidR="00DD53A6" w:rsidRPr="00DD53A6" w:rsidRDefault="00DD53A6">
        <w:pPr>
          <w:pStyle w:val="Rodap"/>
          <w:jc w:val="center"/>
          <w:rPr>
            <w:rFonts w:ascii="Candara" w:hAnsi="Candara"/>
            <w:sz w:val="20"/>
          </w:rPr>
        </w:pPr>
        <w:r w:rsidRPr="00DD53A6">
          <w:rPr>
            <w:rFonts w:ascii="Candara" w:hAnsi="Candara"/>
            <w:sz w:val="20"/>
          </w:rPr>
          <w:fldChar w:fldCharType="begin"/>
        </w:r>
        <w:r w:rsidRPr="00DD53A6">
          <w:rPr>
            <w:rFonts w:ascii="Candara" w:hAnsi="Candara"/>
            <w:sz w:val="20"/>
          </w:rPr>
          <w:instrText>PAGE   \* MERGEFORMAT</w:instrText>
        </w:r>
        <w:r w:rsidRPr="00DD53A6">
          <w:rPr>
            <w:rFonts w:ascii="Candara" w:hAnsi="Candara"/>
            <w:sz w:val="20"/>
          </w:rPr>
          <w:fldChar w:fldCharType="separate"/>
        </w:r>
        <w:r w:rsidR="00761837">
          <w:rPr>
            <w:rFonts w:ascii="Candara" w:hAnsi="Candara"/>
            <w:noProof/>
            <w:sz w:val="20"/>
          </w:rPr>
          <w:t>1</w:t>
        </w:r>
        <w:r w:rsidRPr="00DD53A6">
          <w:rPr>
            <w:rFonts w:ascii="Candara" w:hAnsi="Candara"/>
            <w:sz w:val="20"/>
          </w:rPr>
          <w:fldChar w:fldCharType="end"/>
        </w:r>
        <w:r w:rsidR="00182258">
          <w:rPr>
            <w:rFonts w:ascii="Candara" w:hAnsi="Candara"/>
            <w:sz w:val="20"/>
          </w:rPr>
          <w:t>/1</w:t>
        </w:r>
      </w:p>
    </w:sdtContent>
  </w:sdt>
  <w:p w:rsidR="00DD53A6" w:rsidRDefault="00DD53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7F" w:rsidRDefault="008E407F" w:rsidP="008E407F">
      <w:r>
        <w:separator/>
      </w:r>
    </w:p>
  </w:footnote>
  <w:footnote w:type="continuationSeparator" w:id="0">
    <w:p w:rsidR="008E407F" w:rsidRDefault="008E407F" w:rsidP="008E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2" w:type="dxa"/>
      <w:tblLook w:val="04A0" w:firstRow="1" w:lastRow="0" w:firstColumn="1" w:lastColumn="0" w:noHBand="0" w:noVBand="1"/>
    </w:tblPr>
    <w:tblGrid>
      <w:gridCol w:w="2881"/>
      <w:gridCol w:w="4315"/>
      <w:gridCol w:w="2886"/>
    </w:tblGrid>
    <w:tr w:rsidR="00D94F3F" w:rsidTr="00D94F3F">
      <w:tc>
        <w:tcPr>
          <w:tcW w:w="2881" w:type="dxa"/>
          <w:shd w:val="clear" w:color="auto" w:fill="auto"/>
        </w:tcPr>
        <w:p w:rsidR="00D94F3F" w:rsidRPr="00A31272" w:rsidRDefault="00D94F3F" w:rsidP="00B22AEA">
          <w:pPr>
            <w:pStyle w:val="Cabealho"/>
            <w:rPr>
              <w:color w:val="0070C0"/>
            </w:rPr>
          </w:pPr>
          <w:r>
            <w:rPr>
              <w:noProof/>
            </w:rPr>
            <w:drawing>
              <wp:inline distT="0" distB="0" distL="0" distR="0" wp14:anchorId="0961635F" wp14:editId="782DE842">
                <wp:extent cx="643890" cy="596265"/>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596265"/>
                        </a:xfrm>
                        <a:prstGeom prst="rect">
                          <a:avLst/>
                        </a:prstGeom>
                        <a:noFill/>
                        <a:ln>
                          <a:noFill/>
                        </a:ln>
                      </pic:spPr>
                    </pic:pic>
                  </a:graphicData>
                </a:graphic>
              </wp:inline>
            </w:drawing>
          </w:r>
        </w:p>
      </w:tc>
      <w:tc>
        <w:tcPr>
          <w:tcW w:w="4315" w:type="dxa"/>
          <w:shd w:val="clear" w:color="auto" w:fill="auto"/>
        </w:tcPr>
        <w:p w:rsidR="00D94F3F" w:rsidRDefault="00D94F3F" w:rsidP="00B22AEA">
          <w:pPr>
            <w:pStyle w:val="Cabealho"/>
            <w:jc w:val="center"/>
          </w:pPr>
        </w:p>
      </w:tc>
      <w:tc>
        <w:tcPr>
          <w:tcW w:w="2886" w:type="dxa"/>
          <w:shd w:val="clear" w:color="auto" w:fill="auto"/>
        </w:tcPr>
        <w:p w:rsidR="00D94F3F" w:rsidRDefault="00D94F3F" w:rsidP="00B22AEA">
          <w:pPr>
            <w:pStyle w:val="Cabealho"/>
            <w:jc w:val="both"/>
          </w:pPr>
          <w:r>
            <w:rPr>
              <w:noProof/>
            </w:rPr>
            <w:drawing>
              <wp:inline distT="0" distB="0" distL="0" distR="0" wp14:anchorId="14342763" wp14:editId="2FD7BABC">
                <wp:extent cx="1693545" cy="461010"/>
                <wp:effectExtent l="0" t="0" r="1905" b="0"/>
                <wp:docPr id="8" name="Imagem 8" descr="id-memorias-brasileiras-so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memorias-brasileiras-soc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3545" cy="461010"/>
                        </a:xfrm>
                        <a:prstGeom prst="rect">
                          <a:avLst/>
                        </a:prstGeom>
                        <a:noFill/>
                        <a:ln>
                          <a:noFill/>
                        </a:ln>
                      </pic:spPr>
                    </pic:pic>
                  </a:graphicData>
                </a:graphic>
              </wp:inline>
            </w:drawing>
          </w:r>
        </w:p>
      </w:tc>
    </w:tr>
  </w:tbl>
  <w:p w:rsidR="008E407F" w:rsidRDefault="008E407F" w:rsidP="00182258">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7F"/>
    <w:rsid w:val="00182258"/>
    <w:rsid w:val="00187B1F"/>
    <w:rsid w:val="00222CE6"/>
    <w:rsid w:val="0025111A"/>
    <w:rsid w:val="00295A2E"/>
    <w:rsid w:val="002C005B"/>
    <w:rsid w:val="005B38F5"/>
    <w:rsid w:val="006A73F3"/>
    <w:rsid w:val="00761837"/>
    <w:rsid w:val="008E407F"/>
    <w:rsid w:val="00923CD5"/>
    <w:rsid w:val="00952F85"/>
    <w:rsid w:val="009E4F6E"/>
    <w:rsid w:val="00A51B0C"/>
    <w:rsid w:val="00A52854"/>
    <w:rsid w:val="00AD39B6"/>
    <w:rsid w:val="00B20D94"/>
    <w:rsid w:val="00C54E3B"/>
    <w:rsid w:val="00CE51C2"/>
    <w:rsid w:val="00D2523C"/>
    <w:rsid w:val="00D94F3F"/>
    <w:rsid w:val="00DD53A6"/>
    <w:rsid w:val="00E75B03"/>
    <w:rsid w:val="00ED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2732</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Plakoudi Souto Maior</dc:creator>
  <cp:lastModifiedBy>Andrea Monteiro Alencar</cp:lastModifiedBy>
  <cp:revision>2</cp:revision>
  <cp:lastPrinted>2015-07-03T20:28:00Z</cp:lastPrinted>
  <dcterms:created xsi:type="dcterms:W3CDTF">2015-07-29T13:48:00Z</dcterms:created>
  <dcterms:modified xsi:type="dcterms:W3CDTF">2015-07-29T13:48:00Z</dcterms:modified>
</cp:coreProperties>
</file>