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64FD" w14:textId="77777777" w:rsidR="005E4D2F" w:rsidRDefault="009A6937">
      <w:pPr>
        <w:pStyle w:val="Corpodetexto"/>
        <w:ind w:left="4686"/>
        <w:rPr>
          <w:rFonts w:ascii="Times New Roman"/>
          <w:sz w:val="20"/>
        </w:rPr>
      </w:pPr>
      <w:bookmarkStart w:id="0" w:name="Nota_Técnica_3_(0128271)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3C26590" wp14:editId="33C26591">
            <wp:extent cx="845248" cy="8355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264FE" w14:textId="77777777" w:rsidR="005E4D2F" w:rsidRDefault="005E4D2F">
      <w:pPr>
        <w:pStyle w:val="Corpodetexto"/>
        <w:spacing w:before="5"/>
        <w:rPr>
          <w:rFonts w:ascii="Times New Roman"/>
          <w:sz w:val="16"/>
        </w:rPr>
      </w:pPr>
    </w:p>
    <w:p w14:paraId="33C264FF" w14:textId="77777777" w:rsidR="00673BCE" w:rsidRDefault="00673BCE" w:rsidP="00673BCE">
      <w:pPr>
        <w:spacing w:before="98"/>
        <w:ind w:left="4364" w:right="2138" w:hanging="1352"/>
        <w:rPr>
          <w:w w:val="115"/>
          <w:sz w:val="16"/>
          <w:szCs w:val="16"/>
        </w:rPr>
      </w:pPr>
      <w:r>
        <w:rPr>
          <w:spacing w:val="-4"/>
          <w:w w:val="121"/>
          <w:sz w:val="16"/>
          <w:szCs w:val="16"/>
        </w:rPr>
        <w:t xml:space="preserve">          </w:t>
      </w:r>
      <w:r w:rsidR="009A6937" w:rsidRPr="00673BCE">
        <w:rPr>
          <w:spacing w:val="-4"/>
          <w:w w:val="121"/>
          <w:sz w:val="16"/>
          <w:szCs w:val="16"/>
        </w:rPr>
        <w:t>M</w:t>
      </w:r>
      <w:r w:rsidR="009A6937" w:rsidRPr="00673BCE">
        <w:rPr>
          <w:spacing w:val="-13"/>
          <w:w w:val="105"/>
          <w:sz w:val="16"/>
          <w:szCs w:val="16"/>
        </w:rPr>
        <w:t>I</w:t>
      </w:r>
      <w:r w:rsidR="009A6937" w:rsidRPr="00673BCE">
        <w:rPr>
          <w:spacing w:val="4"/>
          <w:w w:val="117"/>
          <w:sz w:val="16"/>
          <w:szCs w:val="16"/>
        </w:rPr>
        <w:t>N</w:t>
      </w:r>
      <w:r w:rsidR="009A6937" w:rsidRPr="00673BCE">
        <w:rPr>
          <w:spacing w:val="-13"/>
          <w:w w:val="105"/>
          <w:sz w:val="16"/>
          <w:szCs w:val="16"/>
        </w:rPr>
        <w:t>I</w:t>
      </w:r>
      <w:r w:rsidR="009A6937" w:rsidRPr="00673BCE">
        <w:rPr>
          <w:spacing w:val="11"/>
          <w:w w:val="131"/>
          <w:sz w:val="16"/>
          <w:szCs w:val="16"/>
        </w:rPr>
        <w:t>S</w:t>
      </w:r>
      <w:r w:rsidR="009A6937" w:rsidRPr="00673BCE">
        <w:rPr>
          <w:spacing w:val="-15"/>
          <w:w w:val="105"/>
          <w:sz w:val="16"/>
          <w:szCs w:val="16"/>
        </w:rPr>
        <w:t>T</w:t>
      </w:r>
      <w:r w:rsidR="009A6937" w:rsidRPr="00673BCE">
        <w:rPr>
          <w:spacing w:val="-4"/>
          <w:w w:val="117"/>
          <w:sz w:val="16"/>
          <w:szCs w:val="16"/>
        </w:rPr>
        <w:t>É</w:t>
      </w:r>
      <w:r w:rsidR="009A6937" w:rsidRPr="00673BCE">
        <w:rPr>
          <w:spacing w:val="-16"/>
          <w:w w:val="119"/>
          <w:sz w:val="16"/>
          <w:szCs w:val="16"/>
        </w:rPr>
        <w:t>R</w:t>
      </w:r>
      <w:r w:rsidR="009A6937" w:rsidRPr="00673BCE">
        <w:rPr>
          <w:spacing w:val="-13"/>
          <w:w w:val="105"/>
          <w:sz w:val="16"/>
          <w:szCs w:val="16"/>
        </w:rPr>
        <w:t>I</w:t>
      </w:r>
      <w:r w:rsidR="009A6937" w:rsidRPr="00673BCE">
        <w:rPr>
          <w:w w:val="116"/>
          <w:sz w:val="16"/>
          <w:szCs w:val="16"/>
        </w:rPr>
        <w:t>O</w:t>
      </w:r>
      <w:r w:rsidR="009A6937" w:rsidRPr="00673BCE">
        <w:rPr>
          <w:spacing w:val="-3"/>
          <w:sz w:val="16"/>
          <w:szCs w:val="16"/>
        </w:rPr>
        <w:t xml:space="preserve"> </w:t>
      </w:r>
      <w:r w:rsidR="009A6937" w:rsidRPr="00673BCE">
        <w:rPr>
          <w:spacing w:val="-1"/>
          <w:w w:val="125"/>
          <w:sz w:val="16"/>
          <w:szCs w:val="16"/>
        </w:rPr>
        <w:t>D</w:t>
      </w:r>
      <w:r w:rsidR="009A6937" w:rsidRPr="00673BCE">
        <w:rPr>
          <w:w w:val="115"/>
          <w:sz w:val="16"/>
          <w:szCs w:val="16"/>
        </w:rPr>
        <w:t>A</w:t>
      </w:r>
      <w:r w:rsidR="009A6937" w:rsidRPr="00673BCE">
        <w:rPr>
          <w:spacing w:val="2"/>
          <w:sz w:val="16"/>
          <w:szCs w:val="16"/>
        </w:rPr>
        <w:t xml:space="preserve"> </w:t>
      </w:r>
      <w:r w:rsidRPr="00673BCE">
        <w:rPr>
          <w:b/>
          <w:spacing w:val="-13"/>
          <w:w w:val="61"/>
          <w:sz w:val="16"/>
          <w:szCs w:val="16"/>
        </w:rPr>
        <w:t>J</w:t>
      </w:r>
      <w:r w:rsidRPr="00673BCE">
        <w:rPr>
          <w:spacing w:val="-13"/>
          <w:w w:val="61"/>
          <w:sz w:val="16"/>
          <w:szCs w:val="16"/>
        </w:rPr>
        <w:t xml:space="preserve"> </w:t>
      </w:r>
      <w:r w:rsidR="009A6937" w:rsidRPr="00673BCE">
        <w:rPr>
          <w:spacing w:val="7"/>
          <w:w w:val="112"/>
          <w:sz w:val="16"/>
          <w:szCs w:val="16"/>
        </w:rPr>
        <w:t>U</w:t>
      </w:r>
      <w:r w:rsidR="009A6937" w:rsidRPr="00673BCE">
        <w:rPr>
          <w:spacing w:val="11"/>
          <w:w w:val="131"/>
          <w:sz w:val="16"/>
          <w:szCs w:val="16"/>
        </w:rPr>
        <w:t>S</w:t>
      </w:r>
      <w:r w:rsidR="009A6937" w:rsidRPr="00673BCE">
        <w:rPr>
          <w:spacing w:val="-15"/>
          <w:w w:val="105"/>
          <w:sz w:val="16"/>
          <w:szCs w:val="16"/>
        </w:rPr>
        <w:t>T</w:t>
      </w:r>
      <w:r w:rsidR="009A6937" w:rsidRPr="00673BCE">
        <w:rPr>
          <w:spacing w:val="-13"/>
          <w:w w:val="105"/>
          <w:sz w:val="16"/>
          <w:szCs w:val="16"/>
        </w:rPr>
        <w:t>I</w:t>
      </w:r>
      <w:r w:rsidR="009A6937" w:rsidRPr="00673BCE">
        <w:rPr>
          <w:spacing w:val="-2"/>
          <w:w w:val="116"/>
          <w:sz w:val="16"/>
          <w:szCs w:val="16"/>
        </w:rPr>
        <w:t>Ç</w:t>
      </w:r>
      <w:r w:rsidR="009A6937" w:rsidRPr="00673BCE">
        <w:rPr>
          <w:w w:val="115"/>
          <w:sz w:val="16"/>
          <w:szCs w:val="16"/>
        </w:rPr>
        <w:t>A</w:t>
      </w:r>
      <w:r w:rsidR="009A6937" w:rsidRPr="00673BCE">
        <w:rPr>
          <w:spacing w:val="2"/>
          <w:sz w:val="16"/>
          <w:szCs w:val="16"/>
        </w:rPr>
        <w:t xml:space="preserve"> </w:t>
      </w:r>
      <w:r w:rsidR="009A6937" w:rsidRPr="00673BCE">
        <w:rPr>
          <w:w w:val="117"/>
          <w:sz w:val="16"/>
          <w:szCs w:val="16"/>
        </w:rPr>
        <w:t>E</w:t>
      </w:r>
      <w:r w:rsidR="009A6937" w:rsidRPr="00673BCE">
        <w:rPr>
          <w:spacing w:val="-3"/>
          <w:sz w:val="16"/>
          <w:szCs w:val="16"/>
        </w:rPr>
        <w:t xml:space="preserve"> </w:t>
      </w:r>
      <w:r w:rsidR="009A6937" w:rsidRPr="00673BCE">
        <w:rPr>
          <w:spacing w:val="11"/>
          <w:w w:val="131"/>
          <w:sz w:val="16"/>
          <w:szCs w:val="16"/>
        </w:rPr>
        <w:t>S</w:t>
      </w:r>
      <w:r w:rsidR="009A6937" w:rsidRPr="00673BCE">
        <w:rPr>
          <w:spacing w:val="-4"/>
          <w:w w:val="117"/>
          <w:sz w:val="16"/>
          <w:szCs w:val="16"/>
        </w:rPr>
        <w:t>E</w:t>
      </w:r>
      <w:r w:rsidR="009A6937" w:rsidRPr="00673BCE">
        <w:rPr>
          <w:spacing w:val="-2"/>
          <w:w w:val="114"/>
          <w:sz w:val="16"/>
          <w:szCs w:val="16"/>
        </w:rPr>
        <w:t>G</w:t>
      </w:r>
      <w:r w:rsidR="009A6937" w:rsidRPr="00673BCE">
        <w:rPr>
          <w:spacing w:val="7"/>
          <w:w w:val="112"/>
          <w:sz w:val="16"/>
          <w:szCs w:val="16"/>
        </w:rPr>
        <w:t>U</w:t>
      </w:r>
      <w:r w:rsidR="009A6937" w:rsidRPr="00673BCE">
        <w:rPr>
          <w:spacing w:val="-16"/>
          <w:w w:val="119"/>
          <w:sz w:val="16"/>
          <w:szCs w:val="16"/>
        </w:rPr>
        <w:t>R</w:t>
      </w:r>
      <w:r w:rsidR="009A6937" w:rsidRPr="00673BCE">
        <w:rPr>
          <w:spacing w:val="1"/>
          <w:w w:val="115"/>
          <w:sz w:val="16"/>
          <w:szCs w:val="16"/>
        </w:rPr>
        <w:t>A</w:t>
      </w:r>
      <w:r w:rsidR="009A6937" w:rsidRPr="00673BCE">
        <w:rPr>
          <w:spacing w:val="4"/>
          <w:w w:val="117"/>
          <w:sz w:val="16"/>
          <w:szCs w:val="16"/>
        </w:rPr>
        <w:t>N</w:t>
      </w:r>
      <w:r w:rsidR="009A6937" w:rsidRPr="00673BCE">
        <w:rPr>
          <w:spacing w:val="-2"/>
          <w:w w:val="116"/>
          <w:sz w:val="16"/>
          <w:szCs w:val="16"/>
        </w:rPr>
        <w:t>Ç</w:t>
      </w:r>
      <w:r w:rsidR="009A6937" w:rsidRPr="00673BCE">
        <w:rPr>
          <w:w w:val="115"/>
          <w:sz w:val="16"/>
          <w:szCs w:val="16"/>
        </w:rPr>
        <w:t>A</w:t>
      </w:r>
      <w:r w:rsidR="009A6937" w:rsidRPr="00673BCE">
        <w:rPr>
          <w:spacing w:val="2"/>
          <w:sz w:val="16"/>
          <w:szCs w:val="16"/>
        </w:rPr>
        <w:t xml:space="preserve"> </w:t>
      </w:r>
      <w:r w:rsidR="009A6937" w:rsidRPr="00673BCE">
        <w:rPr>
          <w:spacing w:val="2"/>
          <w:w w:val="107"/>
          <w:sz w:val="16"/>
          <w:szCs w:val="16"/>
        </w:rPr>
        <w:t>P</w:t>
      </w:r>
      <w:r w:rsidR="009A6937" w:rsidRPr="00673BCE">
        <w:rPr>
          <w:spacing w:val="7"/>
          <w:w w:val="112"/>
          <w:sz w:val="16"/>
          <w:szCs w:val="16"/>
        </w:rPr>
        <w:t>Ú</w:t>
      </w:r>
      <w:r w:rsidR="009A6937" w:rsidRPr="00673BCE">
        <w:rPr>
          <w:spacing w:val="1"/>
          <w:w w:val="121"/>
          <w:sz w:val="16"/>
          <w:szCs w:val="16"/>
        </w:rPr>
        <w:t>B</w:t>
      </w:r>
      <w:r w:rsidR="009A6937" w:rsidRPr="00673BCE">
        <w:rPr>
          <w:spacing w:val="-4"/>
          <w:w w:val="109"/>
          <w:sz w:val="16"/>
          <w:szCs w:val="16"/>
        </w:rPr>
        <w:t>L</w:t>
      </w:r>
      <w:r w:rsidR="009A6937" w:rsidRPr="00673BCE">
        <w:rPr>
          <w:spacing w:val="-13"/>
          <w:w w:val="105"/>
          <w:sz w:val="16"/>
          <w:szCs w:val="16"/>
        </w:rPr>
        <w:t>I</w:t>
      </w:r>
      <w:r w:rsidR="009A6937" w:rsidRPr="00673BCE">
        <w:rPr>
          <w:spacing w:val="-2"/>
          <w:w w:val="116"/>
          <w:sz w:val="16"/>
          <w:szCs w:val="16"/>
        </w:rPr>
        <w:t>C</w:t>
      </w:r>
      <w:r w:rsidR="009A6937" w:rsidRPr="00673BCE">
        <w:rPr>
          <w:w w:val="115"/>
          <w:sz w:val="16"/>
          <w:szCs w:val="16"/>
        </w:rPr>
        <w:t>A</w:t>
      </w:r>
    </w:p>
    <w:p w14:paraId="33C26500" w14:textId="77777777" w:rsidR="005E4D2F" w:rsidRPr="00673BCE" w:rsidRDefault="00673BCE" w:rsidP="00673BCE">
      <w:pPr>
        <w:spacing w:before="98"/>
        <w:ind w:left="4364" w:right="2138" w:hanging="1352"/>
        <w:rPr>
          <w:sz w:val="16"/>
          <w:szCs w:val="16"/>
        </w:rPr>
      </w:pPr>
      <w:r>
        <w:rPr>
          <w:w w:val="115"/>
          <w:sz w:val="16"/>
          <w:szCs w:val="16"/>
        </w:rPr>
        <w:t xml:space="preserve">                           </w:t>
      </w:r>
      <w:r w:rsidR="009A6937" w:rsidRPr="00673BCE">
        <w:rPr>
          <w:w w:val="115"/>
          <w:sz w:val="16"/>
          <w:szCs w:val="16"/>
        </w:rPr>
        <w:t>ARQUIVO</w:t>
      </w:r>
      <w:r w:rsidR="009A6937" w:rsidRPr="00673BCE">
        <w:rPr>
          <w:spacing w:val="-14"/>
          <w:w w:val="115"/>
          <w:sz w:val="16"/>
          <w:szCs w:val="16"/>
        </w:rPr>
        <w:t xml:space="preserve"> </w:t>
      </w:r>
      <w:r w:rsidR="009A6937" w:rsidRPr="00673BCE">
        <w:rPr>
          <w:w w:val="115"/>
          <w:sz w:val="16"/>
          <w:szCs w:val="16"/>
        </w:rPr>
        <w:t>NACIONAL</w:t>
      </w:r>
    </w:p>
    <w:p w14:paraId="33C26501" w14:textId="77777777" w:rsidR="00673BCE" w:rsidRDefault="00673BCE">
      <w:pPr>
        <w:pStyle w:val="Corpodetexto"/>
        <w:spacing w:before="112" w:line="357" w:lineRule="auto"/>
        <w:ind w:left="232" w:right="5535"/>
      </w:pPr>
    </w:p>
    <w:p w14:paraId="33C26502" w14:textId="77777777" w:rsidR="00673BCE" w:rsidRPr="00E63203" w:rsidRDefault="009A6937" w:rsidP="00E63203">
      <w:pPr>
        <w:pStyle w:val="Corpodetexto"/>
        <w:spacing w:before="244" w:line="252" w:lineRule="auto"/>
        <w:ind w:left="426" w:right="104"/>
        <w:jc w:val="both"/>
      </w:pPr>
      <w:r w:rsidRPr="00E63203">
        <w:t xml:space="preserve">NOTA TÉCNICA Nº </w:t>
      </w:r>
    </w:p>
    <w:p w14:paraId="33C26503" w14:textId="77777777" w:rsidR="005E4D2F" w:rsidRDefault="009A6937" w:rsidP="00E63203">
      <w:pPr>
        <w:pStyle w:val="Corpodetexto"/>
        <w:spacing w:before="244" w:line="252" w:lineRule="auto"/>
        <w:ind w:left="426" w:right="104"/>
        <w:jc w:val="both"/>
      </w:pPr>
      <w:r w:rsidRPr="00E63203">
        <w:t>PROCESSO Nº 08227.000</w:t>
      </w:r>
      <w:r w:rsidR="00673BCE" w:rsidRPr="00E63203">
        <w:t>370</w:t>
      </w:r>
      <w:r w:rsidRPr="00E63203">
        <w:t>/2020-</w:t>
      </w:r>
      <w:r w:rsidR="004B1343" w:rsidRPr="00E63203">
        <w:t>18</w:t>
      </w:r>
    </w:p>
    <w:p w14:paraId="33C26504" w14:textId="77777777" w:rsidR="005E4D2F" w:rsidRPr="00E63203" w:rsidRDefault="009A6937" w:rsidP="00E63203">
      <w:pPr>
        <w:pStyle w:val="Corpodetexto"/>
        <w:spacing w:before="244" w:line="252" w:lineRule="auto"/>
        <w:ind w:left="426" w:right="104"/>
        <w:jc w:val="both"/>
      </w:pPr>
      <w:r w:rsidRPr="00E63203">
        <w:t xml:space="preserve">INTERESSADO: </w:t>
      </w:r>
      <w:r w:rsidR="00673BCE" w:rsidRPr="00E63203">
        <w:t>ARQUIVO NACIONAL/HOSPITAIS FEDERAIS</w:t>
      </w:r>
    </w:p>
    <w:p w14:paraId="33C26505" w14:textId="77777777" w:rsidR="00521788" w:rsidRDefault="00521788">
      <w:pPr>
        <w:pStyle w:val="Corpodetexto"/>
        <w:spacing w:line="278" w:lineRule="exact"/>
        <w:ind w:left="232"/>
      </w:pPr>
    </w:p>
    <w:p w14:paraId="33C26506" w14:textId="77777777" w:rsidR="005E4D2F" w:rsidRDefault="005E4D2F" w:rsidP="3038C7E7">
      <w:pPr>
        <w:pStyle w:val="Ttulo11"/>
        <w:tabs>
          <w:tab w:val="left" w:pos="10492"/>
        </w:tabs>
        <w:spacing w:line="259" w:lineRule="auto"/>
        <w:ind w:left="0"/>
      </w:pPr>
    </w:p>
    <w:p w14:paraId="33C26507" w14:textId="77777777" w:rsidR="005E4D2F" w:rsidRPr="00CB0903" w:rsidRDefault="3038C7E7" w:rsidP="00CB0903">
      <w:pPr>
        <w:pStyle w:val="Ttulo11"/>
        <w:tabs>
          <w:tab w:val="left" w:pos="10492"/>
        </w:tabs>
        <w:spacing w:before="243"/>
        <w:ind w:left="0"/>
        <w:rPr>
          <w:sz w:val="20"/>
          <w:szCs w:val="20"/>
        </w:rPr>
      </w:pPr>
      <w:r w:rsidRPr="00CB0903">
        <w:rPr>
          <w:w w:val="130"/>
          <w:sz w:val="20"/>
          <w:szCs w:val="20"/>
          <w:shd w:val="clear" w:color="auto" w:fill="E5E5E5"/>
        </w:rPr>
        <w:t>OBJETO</w:t>
      </w:r>
      <w:r w:rsidR="009A6937" w:rsidRPr="00CB0903">
        <w:rPr>
          <w:sz w:val="20"/>
          <w:szCs w:val="20"/>
          <w:shd w:val="clear" w:color="auto" w:fill="E5E5E5"/>
        </w:rPr>
        <w:tab/>
      </w:r>
      <w:r w:rsidR="00521788" w:rsidRPr="00CB0903">
        <w:rPr>
          <w:sz w:val="20"/>
          <w:szCs w:val="20"/>
          <w:shd w:val="clear" w:color="auto" w:fill="E5E5E5"/>
        </w:rPr>
        <w:t xml:space="preserve">   </w:t>
      </w:r>
    </w:p>
    <w:p w14:paraId="33C26508" w14:textId="77777777" w:rsidR="005E4D2F" w:rsidRDefault="005E4D2F">
      <w:pPr>
        <w:pStyle w:val="Corpodetexto"/>
        <w:spacing w:before="4"/>
        <w:rPr>
          <w:b/>
          <w:sz w:val="22"/>
        </w:rPr>
      </w:pPr>
    </w:p>
    <w:p w14:paraId="33C26509" w14:textId="39A3FD57" w:rsidR="005E4D2F" w:rsidRPr="00E63203" w:rsidRDefault="3038C7E7" w:rsidP="00521788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>Trata-se da identificação e definição dos documentos que constituem os Prontuários d</w:t>
      </w:r>
      <w:r w:rsidR="004D1F87">
        <w:t>o</w:t>
      </w:r>
      <w:r>
        <w:t xml:space="preserve"> Pacientes, e ainda, da conceituação deste no âmbito do Sistema de Gestão de Documentos e Arquivos</w:t>
      </w:r>
      <w:r w:rsidR="008A15E4">
        <w:t xml:space="preserve"> </w:t>
      </w:r>
      <w:r>
        <w:t>–</w:t>
      </w:r>
      <w:r w:rsidR="008A15E4">
        <w:t xml:space="preserve"> Siga, da </w:t>
      </w:r>
      <w:r>
        <w:t>administração p</w:t>
      </w:r>
      <w:r w:rsidR="008A15E4">
        <w:t xml:space="preserve">ública </w:t>
      </w:r>
      <w:r>
        <w:t>f</w:t>
      </w:r>
      <w:r w:rsidR="008A15E4">
        <w:t>ederal</w:t>
      </w:r>
      <w:r>
        <w:t>.</w:t>
      </w:r>
    </w:p>
    <w:p w14:paraId="33C2650A" w14:textId="77777777" w:rsidR="3038C7E7" w:rsidRDefault="3038C7E7" w:rsidP="3038C7E7">
      <w:pPr>
        <w:pStyle w:val="Corpodetexto"/>
        <w:spacing w:before="244" w:line="252" w:lineRule="auto"/>
        <w:ind w:left="66" w:right="104"/>
        <w:jc w:val="both"/>
      </w:pPr>
    </w:p>
    <w:p w14:paraId="33C2650B" w14:textId="77777777" w:rsidR="005E4D2F" w:rsidRPr="00CB0903" w:rsidRDefault="00B35481" w:rsidP="00B35481">
      <w:pPr>
        <w:pStyle w:val="Ttulo11"/>
        <w:tabs>
          <w:tab w:val="left" w:pos="10492"/>
        </w:tabs>
        <w:spacing w:before="243"/>
        <w:ind w:left="0"/>
        <w:rPr>
          <w:sz w:val="20"/>
          <w:szCs w:val="20"/>
        </w:rPr>
      </w:pPr>
      <w:r>
        <w:rPr>
          <w:rFonts w:ascii="Times New Roman" w:hAnsi="Times New Roman"/>
          <w:b w:val="0"/>
          <w:w w:val="102"/>
          <w:shd w:val="clear" w:color="auto" w:fill="E5E5E5"/>
        </w:rPr>
        <w:t xml:space="preserve"> </w:t>
      </w:r>
      <w:r w:rsidR="009A6937">
        <w:rPr>
          <w:rFonts w:ascii="Times New Roman" w:hAnsi="Times New Roman"/>
          <w:b w:val="0"/>
          <w:spacing w:val="-30"/>
          <w:shd w:val="clear" w:color="auto" w:fill="E5E5E5"/>
        </w:rPr>
        <w:t xml:space="preserve"> </w:t>
      </w:r>
      <w:r w:rsidR="009A6937" w:rsidRPr="00CB0903">
        <w:rPr>
          <w:w w:val="130"/>
          <w:sz w:val="20"/>
          <w:szCs w:val="20"/>
          <w:shd w:val="clear" w:color="auto" w:fill="E5E5E5"/>
        </w:rPr>
        <w:t>ANÁLISE</w:t>
      </w:r>
      <w:r w:rsidR="009A6937" w:rsidRPr="00CB0903">
        <w:rPr>
          <w:sz w:val="20"/>
          <w:szCs w:val="20"/>
          <w:shd w:val="clear" w:color="auto" w:fill="E5E5E5"/>
        </w:rPr>
        <w:tab/>
      </w:r>
      <w:r w:rsidR="00521788" w:rsidRPr="00CB0903">
        <w:rPr>
          <w:sz w:val="20"/>
          <w:szCs w:val="20"/>
          <w:shd w:val="clear" w:color="auto" w:fill="E5E5E5"/>
        </w:rPr>
        <w:t xml:space="preserve">  </w:t>
      </w:r>
    </w:p>
    <w:p w14:paraId="33C2650C" w14:textId="77777777" w:rsidR="005E4D2F" w:rsidRDefault="005E4D2F">
      <w:pPr>
        <w:pStyle w:val="Corpodetexto"/>
        <w:spacing w:before="4"/>
        <w:rPr>
          <w:b/>
          <w:sz w:val="22"/>
        </w:rPr>
      </w:pPr>
    </w:p>
    <w:p w14:paraId="33C2650D" w14:textId="22094B69" w:rsidR="005E4D2F" w:rsidRPr="00E63203" w:rsidRDefault="3038C7E7" w:rsidP="3038C7E7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  <w:rPr>
          <w:rFonts w:asciiTheme="minorHAnsi" w:eastAsiaTheme="minorEastAsia" w:hAnsiTheme="minorHAnsi" w:cstheme="minorBidi"/>
        </w:rPr>
      </w:pPr>
      <w:r>
        <w:t>O Arquivo Nacional, órgão integrante da estrutura do Ministério da Justiça e Segurança Pública</w:t>
      </w:r>
      <w:r w:rsidR="00E21143">
        <w:t xml:space="preserve"> (MJSP)</w:t>
      </w:r>
      <w:r>
        <w:t xml:space="preserve"> e órgão central do Sistema de Gestão de Documentos e Arquivo – Siga, da </w:t>
      </w:r>
      <w:r w:rsidR="002E23D6">
        <w:t>a</w:t>
      </w:r>
      <w:r>
        <w:t>dministração pública federal, por meio da Portaria AN nº 30, de 20 de outubro de 2021, publicada no Diário Oficial</w:t>
      </w:r>
      <w:r w:rsidR="009060A5">
        <w:t xml:space="preserve"> da União (DOU)</w:t>
      </w:r>
      <w:r>
        <w:t xml:space="preserve"> de 21/10/2021, criou um Grupo de Trabalho</w:t>
      </w:r>
      <w:r w:rsidR="009060A5">
        <w:t xml:space="preserve"> (GT)</w:t>
      </w:r>
      <w:r>
        <w:t xml:space="preserve"> para tratar da identificação e definição dos documentos </w:t>
      </w:r>
      <w:r w:rsidRPr="3038C7E7">
        <w:rPr>
          <w:color w:val="000000" w:themeColor="text1"/>
        </w:rPr>
        <w:t>que devem constar de forma obrigatória</w:t>
      </w:r>
      <w:r>
        <w:t xml:space="preserve"> </w:t>
      </w:r>
      <w:r w:rsidR="000B587C">
        <w:t xml:space="preserve">no </w:t>
      </w:r>
      <w:r>
        <w:t xml:space="preserve">Prontuário </w:t>
      </w:r>
      <w:r w:rsidR="00D82108">
        <w:t xml:space="preserve">do </w:t>
      </w:r>
      <w:r>
        <w:t>Paciente, bem como estabelecer, segundo as suas prerrogativas legais, o conceito de Prontuário d</w:t>
      </w:r>
      <w:r w:rsidR="00FF23F6">
        <w:t>o</w:t>
      </w:r>
      <w:r>
        <w:t xml:space="preserve"> Paciente.</w:t>
      </w:r>
    </w:p>
    <w:p w14:paraId="33C2650E" w14:textId="6CA3F63D" w:rsidR="00B00824" w:rsidRDefault="00031944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>Importa</w:t>
      </w:r>
      <w:r w:rsidR="002A1031">
        <w:t xml:space="preserve"> destacar os pap</w:t>
      </w:r>
      <w:r w:rsidR="00EE46FD">
        <w:t>é</w:t>
      </w:r>
      <w:r w:rsidR="002A1031">
        <w:t xml:space="preserve">is desempenhados pelo Arquivo Nacional no que compete ao Sistema de Gestão de Documentos e Arquivos </w:t>
      </w:r>
      <w:r w:rsidR="00524700">
        <w:t>- Siga</w:t>
      </w:r>
      <w:r w:rsidR="002A1031">
        <w:t xml:space="preserve">, da Administração Pública Federal, instituído pelo Decreto nº 4.915 de 12 de dezembro de 2003. O Arquivo Nacional, órgão central </w:t>
      </w:r>
      <w:r w:rsidR="00524700">
        <w:t>do sistema</w:t>
      </w:r>
      <w:r w:rsidR="002A1031">
        <w:t>, deve “acompanhar e orientar, junto aos Órgãos setoriais do Siga, a aplicação das normas relacionadas à gestão de documentos de arquivos”.</w:t>
      </w:r>
      <w:r w:rsidR="00B00824">
        <w:t xml:space="preserve"> </w:t>
      </w:r>
    </w:p>
    <w:p w14:paraId="33C2650F" w14:textId="0FB9D89B" w:rsidR="00B00824" w:rsidRDefault="00544858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>Em</w:t>
      </w:r>
      <w:r w:rsidR="00C6325E">
        <w:t xml:space="preserve"> </w:t>
      </w:r>
      <w:r w:rsidR="00B00824">
        <w:t>decorrência, deve</w:t>
      </w:r>
      <w:r w:rsidR="008B1864">
        <w:t>-se</w:t>
      </w:r>
      <w:r w:rsidR="00B00824">
        <w:t xml:space="preserve"> ter em mente a manutenção de uma </w:t>
      </w:r>
      <w:r>
        <w:t xml:space="preserve">atuação </w:t>
      </w:r>
      <w:r w:rsidR="00B00824">
        <w:t xml:space="preserve">regular dos serviços arquivísticos governamentais, e para tal, instrumentaliza-se o Arquivo Nacional como agente ativo </w:t>
      </w:r>
      <w:r w:rsidR="008B1864">
        <w:t>responsável pela</w:t>
      </w:r>
      <w:r w:rsidR="00B00824">
        <w:t xml:space="preserve"> normatização </w:t>
      </w:r>
      <w:r w:rsidR="008B1864">
        <w:t>no que tange à</w:t>
      </w:r>
      <w:r w:rsidR="00B00824">
        <w:t xml:space="preserve"> gestão</w:t>
      </w:r>
      <w:r w:rsidR="008B1864">
        <w:t xml:space="preserve"> dos</w:t>
      </w:r>
      <w:r w:rsidR="00B00824">
        <w:t xml:space="preserve"> document</w:t>
      </w:r>
      <w:r w:rsidR="008B1864">
        <w:t>os</w:t>
      </w:r>
      <w:r w:rsidR="00B00824">
        <w:t xml:space="preserve"> na esfera federal da governança de arquivos públicos. </w:t>
      </w:r>
    </w:p>
    <w:p w14:paraId="33C26510" w14:textId="632EE0E5" w:rsidR="0007581B" w:rsidRDefault="00AE7170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 xml:space="preserve">Quanto ao produto final do </w:t>
      </w:r>
      <w:r w:rsidR="00544858">
        <w:t>GT</w:t>
      </w:r>
      <w:r>
        <w:t xml:space="preserve"> de Prontuários dos Pacientes, este vinculará apenas as Instituições de Saúde do Poder Executivo Federal, excetuando-se assim, quando aplicável, as do Poder Legislativo, Judiciário, do Poder Executivo Estadual e Municipal, e ainda, </w:t>
      </w:r>
      <w:r>
        <w:lastRenderedPageBreak/>
        <w:t xml:space="preserve">instituições de saúde </w:t>
      </w:r>
      <w:r w:rsidR="00F163E6">
        <w:t>na esfera privada</w:t>
      </w:r>
      <w:r>
        <w:t xml:space="preserve">. </w:t>
      </w:r>
    </w:p>
    <w:p w14:paraId="33C26511" w14:textId="091B84E5" w:rsidR="00791B5E" w:rsidRDefault="00791B5E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bookmarkStart w:id="1" w:name="_Hlk109133800"/>
      <w:r>
        <w:rPr>
          <w:rStyle w:val="selectable-text"/>
        </w:rPr>
        <w:t>A metodologia de trabalho aplicada foi a de estudos de casos</w:t>
      </w:r>
      <w:r w:rsidR="00BB19E5">
        <w:rPr>
          <w:rStyle w:val="selectable-text"/>
        </w:rPr>
        <w:t xml:space="preserve"> múltiplos para maior compreensão e entendimento </w:t>
      </w:r>
      <w:r w:rsidR="007F1BEC">
        <w:rPr>
          <w:rStyle w:val="selectable-text"/>
        </w:rPr>
        <w:t>sobre os prontuários dos pacientes</w:t>
      </w:r>
      <w:r w:rsidR="00835DDC">
        <w:rPr>
          <w:rStyle w:val="selectable-text"/>
        </w:rPr>
        <w:t xml:space="preserve"> dentro das instituições de saúde</w:t>
      </w:r>
      <w:r w:rsidR="004B5002">
        <w:rPr>
          <w:rStyle w:val="selectable-text"/>
        </w:rPr>
        <w:t xml:space="preserve">. </w:t>
      </w:r>
      <w:r w:rsidR="00732892">
        <w:rPr>
          <w:rStyle w:val="selectable-text"/>
        </w:rPr>
        <w:t>Nesta etapa, foram realizadas coletas de dados</w:t>
      </w:r>
      <w:r w:rsidR="00DE089F">
        <w:rPr>
          <w:rStyle w:val="selectable-text"/>
        </w:rPr>
        <w:t xml:space="preserve"> e visitas técnicas conta</w:t>
      </w:r>
      <w:r w:rsidR="00441938">
        <w:rPr>
          <w:rStyle w:val="selectable-text"/>
        </w:rPr>
        <w:t>nd</w:t>
      </w:r>
      <w:r w:rsidR="00DE089F">
        <w:rPr>
          <w:rStyle w:val="selectable-text"/>
        </w:rPr>
        <w:t>o com a contribuição dos</w:t>
      </w:r>
      <w:r>
        <w:rPr>
          <w:rStyle w:val="selectable-text"/>
        </w:rPr>
        <w:t xml:space="preserve"> representantes </w:t>
      </w:r>
      <w:r w:rsidR="007418B4">
        <w:rPr>
          <w:rStyle w:val="selectable-text"/>
        </w:rPr>
        <w:t>deste GT</w:t>
      </w:r>
      <w:r>
        <w:rPr>
          <w:rStyle w:val="selectable-text"/>
        </w:rPr>
        <w:t>.</w:t>
      </w:r>
    </w:p>
    <w:bookmarkEnd w:id="1"/>
    <w:p w14:paraId="33C26512" w14:textId="222C47C2" w:rsidR="00AB1831" w:rsidRDefault="004B5DCA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>As etapas da consecução do trabalho</w:t>
      </w:r>
      <w:r w:rsidR="00FD25B2">
        <w:t xml:space="preserve"> ocorreram</w:t>
      </w:r>
      <w:r>
        <w:t xml:space="preserve"> em quatro momentos: 1º) pesquisa, identificação, verificação e análise de normativas de conselhos profissionais e órgãos públicos que regulam o registro de informações no prontuários d</w:t>
      </w:r>
      <w:r w:rsidR="00FD3BC2">
        <w:t>o</w:t>
      </w:r>
      <w:r w:rsidR="00CD488D">
        <w:t xml:space="preserve"> </w:t>
      </w:r>
      <w:r>
        <w:t xml:space="preserve">paciente; 2º) levantamento e identificação dos registros constantes dos </w:t>
      </w:r>
      <w:r w:rsidR="002F2A0F">
        <w:t>p</w:t>
      </w:r>
      <w:r>
        <w:t>rontuários d</w:t>
      </w:r>
      <w:r w:rsidR="00FD3BC2">
        <w:t>os</w:t>
      </w:r>
      <w:r>
        <w:t xml:space="preserve"> </w:t>
      </w:r>
      <w:r w:rsidR="002F2A0F">
        <w:t>p</w:t>
      </w:r>
      <w:r>
        <w:t>acientes produzidos pelas instituições representadas no GT; 3º) consolidação dos dados em uma planilha para posterior análise durante as reuniões; 4º) análise de fluxograma referente ao</w:t>
      </w:r>
      <w:r w:rsidR="009E3EA4">
        <w:t>s</w:t>
      </w:r>
      <w:r>
        <w:t xml:space="preserve"> processo</w:t>
      </w:r>
      <w:r w:rsidR="009E3EA4">
        <w:t>s</w:t>
      </w:r>
      <w:r>
        <w:t xml:space="preserve"> assistencia</w:t>
      </w:r>
      <w:r w:rsidR="009E3EA4">
        <w:t xml:space="preserve">is na cadeia de valor </w:t>
      </w:r>
      <w:r>
        <w:t xml:space="preserve">no âmbito da </w:t>
      </w:r>
      <w:r w:rsidR="00E63F63">
        <w:t xml:space="preserve">Empresa Brasileira de Serviços Hospitalares – </w:t>
      </w:r>
      <w:r>
        <w:t xml:space="preserve">EBSERH, servindo como </w:t>
      </w:r>
      <w:r w:rsidR="00CA0513">
        <w:t>orientação</w:t>
      </w:r>
      <w:r w:rsidR="002F2A0F">
        <w:t xml:space="preserve"> </w:t>
      </w:r>
      <w:r>
        <w:t xml:space="preserve">para alocação dos registros de informações no </w:t>
      </w:r>
      <w:r w:rsidR="002F2A0F">
        <w:t>p</w:t>
      </w:r>
      <w:r>
        <w:t>rontuário d</w:t>
      </w:r>
      <w:r w:rsidR="00FD3BC2">
        <w:t>os</w:t>
      </w:r>
      <w:r>
        <w:t xml:space="preserve"> </w:t>
      </w:r>
      <w:r w:rsidR="002F2A0F">
        <w:t>p</w:t>
      </w:r>
      <w:r>
        <w:t>acientes;</w:t>
      </w:r>
      <w:r w:rsidR="00FD3BC2">
        <w:t xml:space="preserve"> e</w:t>
      </w:r>
      <w:r>
        <w:t xml:space="preserve"> 5º) a última etapa foi definir cada registro a ser inserido no prontuário a partir </w:t>
      </w:r>
      <w:r w:rsidR="00FD3BC2">
        <w:t>d</w:t>
      </w:r>
      <w:r>
        <w:t>a finalidade daquele registro</w:t>
      </w:r>
      <w:r w:rsidR="00FD3BC2">
        <w:t>.</w:t>
      </w:r>
      <w:r>
        <w:tab/>
      </w:r>
    </w:p>
    <w:p w14:paraId="33C26513" w14:textId="2C9C919F" w:rsidR="004B5DCA" w:rsidRDefault="00F602B0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  <w:rPr>
          <w:rStyle w:val="selectable-text"/>
        </w:rPr>
      </w:pPr>
      <w:r>
        <w:rPr>
          <w:rStyle w:val="selectable-text"/>
        </w:rPr>
        <w:t>Cumpre esclarecer que em cada Unidade de Saúde a forma e a denominação do registro (que resulta em diferentes formações de tipo</w:t>
      </w:r>
      <w:r w:rsidR="00E81972">
        <w:rPr>
          <w:rStyle w:val="selectable-text"/>
        </w:rPr>
        <w:t>s</w:t>
      </w:r>
      <w:r>
        <w:rPr>
          <w:rStyle w:val="selectable-text"/>
        </w:rPr>
        <w:t xml:space="preserve"> documentais), pode variar, impossibilitando o GT de identificar toda a gama de tipo</w:t>
      </w:r>
      <w:r w:rsidR="00E81972">
        <w:rPr>
          <w:rStyle w:val="selectable-text"/>
        </w:rPr>
        <w:t>s</w:t>
      </w:r>
      <w:r>
        <w:rPr>
          <w:rStyle w:val="selectable-text"/>
        </w:rPr>
        <w:t xml:space="preserve"> documentais produzid</w:t>
      </w:r>
      <w:r w:rsidR="002877CF">
        <w:rPr>
          <w:rStyle w:val="selectable-text"/>
        </w:rPr>
        <w:t>o</w:t>
      </w:r>
      <w:r>
        <w:rPr>
          <w:rStyle w:val="selectable-text"/>
        </w:rPr>
        <w:t>s e inserid</w:t>
      </w:r>
      <w:r w:rsidR="002877CF">
        <w:rPr>
          <w:rStyle w:val="selectable-text"/>
        </w:rPr>
        <w:t>o</w:t>
      </w:r>
      <w:r>
        <w:rPr>
          <w:rStyle w:val="selectable-text"/>
        </w:rPr>
        <w:t>s no</w:t>
      </w:r>
      <w:r w:rsidR="00E81972">
        <w:rPr>
          <w:rStyle w:val="selectable-text"/>
        </w:rPr>
        <w:t>s</w:t>
      </w:r>
      <w:r>
        <w:rPr>
          <w:rStyle w:val="selectable-text"/>
        </w:rPr>
        <w:t xml:space="preserve"> prontuários d</w:t>
      </w:r>
      <w:r w:rsidR="00E81972">
        <w:rPr>
          <w:rStyle w:val="selectable-text"/>
        </w:rPr>
        <w:t>o</w:t>
      </w:r>
      <w:r w:rsidR="0068456C">
        <w:rPr>
          <w:rStyle w:val="selectable-text"/>
        </w:rPr>
        <w:t>s</w:t>
      </w:r>
      <w:r>
        <w:rPr>
          <w:rStyle w:val="selectable-text"/>
        </w:rPr>
        <w:t xml:space="preserve"> pacientes nas diversas Unidades de Saúde do Poder Executivo Federa</w:t>
      </w:r>
      <w:r w:rsidR="0068456C">
        <w:rPr>
          <w:rStyle w:val="selectable-text"/>
        </w:rPr>
        <w:t>l.</w:t>
      </w:r>
    </w:p>
    <w:p w14:paraId="76A743BD" w14:textId="0CD18F8A" w:rsidR="002A6155" w:rsidRDefault="002A6155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 xml:space="preserve">Diante do exposto, optou-se por não identificar tais </w:t>
      </w:r>
      <w:r w:rsidR="00DA64A5">
        <w:t>tipos</w:t>
      </w:r>
      <w:r>
        <w:t xml:space="preserve"> documentais e ater-se somente ao registro a ser inserido no prontuário, identificado a partir de sua finalidade. </w:t>
      </w:r>
    </w:p>
    <w:p w14:paraId="33C26514" w14:textId="6A5BE595" w:rsidR="00A1799F" w:rsidRDefault="00A1799F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>Uma</w:t>
      </w:r>
      <w:r w:rsidRPr="00A1799F">
        <w:t xml:space="preserve"> vez estabelecidos os objetos do escopo desta Nota Técnica, estes não poderão vir a sofrer qualquer supressão, ampliação ou alteração; a não ser pela via da provocação direta, formal e justificada a ser endereçada a esta Instituição arquivística federal e, nesse caso, instituir-se-á outro </w:t>
      </w:r>
      <w:r w:rsidR="0068456C">
        <w:t xml:space="preserve">GT </w:t>
      </w:r>
      <w:r w:rsidRPr="00A1799F">
        <w:t>específico para consolidar tais modificações a seu próprio termo.</w:t>
      </w:r>
    </w:p>
    <w:p w14:paraId="33C26515" w14:textId="7007EDE2" w:rsidR="00193867" w:rsidRDefault="3038C7E7" w:rsidP="00B00824">
      <w:pPr>
        <w:pStyle w:val="Corpodetexto"/>
        <w:numPr>
          <w:ilvl w:val="0"/>
          <w:numId w:val="3"/>
        </w:numPr>
        <w:spacing w:before="244" w:line="252" w:lineRule="auto"/>
        <w:ind w:left="109" w:right="104" w:firstLine="317"/>
        <w:jc w:val="both"/>
      </w:pPr>
      <w:r>
        <w:t>Desse modo, em face das suas competências, consolidou-se o seguinte conceito para Prontuário d</w:t>
      </w:r>
      <w:r w:rsidR="0068456C">
        <w:t>o</w:t>
      </w:r>
      <w:r>
        <w:t xml:space="preserve"> Paciente:</w:t>
      </w:r>
    </w:p>
    <w:p w14:paraId="33C26517" w14:textId="76E6F1B9" w:rsidR="002452A1" w:rsidRDefault="3038C7E7" w:rsidP="00632770">
      <w:pPr>
        <w:pStyle w:val="Corpodetexto"/>
        <w:spacing w:before="244" w:line="252" w:lineRule="auto"/>
        <w:ind w:left="2880" w:right="104"/>
        <w:jc w:val="both"/>
        <w:rPr>
          <w:i/>
          <w:iCs/>
          <w:color w:val="000000" w:themeColor="text1"/>
          <w:sz w:val="20"/>
          <w:szCs w:val="20"/>
          <w:highlight w:val="yellow"/>
        </w:rPr>
      </w:pPr>
      <w:r w:rsidRPr="7D489D1E">
        <w:rPr>
          <w:i/>
          <w:iCs/>
          <w:color w:val="000000" w:themeColor="text1"/>
          <w:sz w:val="20"/>
          <w:szCs w:val="20"/>
        </w:rPr>
        <w:t>“Prontuário d</w:t>
      </w:r>
      <w:r w:rsidR="006D05CB">
        <w:rPr>
          <w:i/>
          <w:iCs/>
          <w:color w:val="000000" w:themeColor="text1"/>
          <w:sz w:val="20"/>
          <w:szCs w:val="20"/>
        </w:rPr>
        <w:t>o</w:t>
      </w:r>
      <w:r w:rsidRPr="7D489D1E">
        <w:rPr>
          <w:i/>
          <w:iCs/>
          <w:color w:val="000000" w:themeColor="text1"/>
          <w:sz w:val="20"/>
          <w:szCs w:val="20"/>
        </w:rPr>
        <w:t xml:space="preserve"> Paciente é o conjunto único de registro de informações, qualquer que seja o suporte, produzido por uma unidade </w:t>
      </w:r>
      <w:r w:rsidR="006D05CB">
        <w:rPr>
          <w:i/>
          <w:iCs/>
          <w:color w:val="000000" w:themeColor="text1"/>
          <w:sz w:val="20"/>
          <w:szCs w:val="20"/>
        </w:rPr>
        <w:t>assistencial</w:t>
      </w:r>
      <w:r w:rsidRPr="7D489D1E">
        <w:rPr>
          <w:i/>
          <w:iCs/>
          <w:color w:val="000000" w:themeColor="text1"/>
          <w:sz w:val="20"/>
          <w:szCs w:val="20"/>
        </w:rPr>
        <w:t>, para registra</w:t>
      </w:r>
      <w:r w:rsidR="00164E78">
        <w:rPr>
          <w:i/>
          <w:iCs/>
          <w:color w:val="000000" w:themeColor="text1"/>
          <w:sz w:val="20"/>
          <w:szCs w:val="20"/>
        </w:rPr>
        <w:t>r</w:t>
      </w:r>
      <w:r w:rsidRPr="7D489D1E">
        <w:rPr>
          <w:i/>
          <w:iCs/>
          <w:color w:val="000000" w:themeColor="text1"/>
          <w:sz w:val="20"/>
          <w:szCs w:val="20"/>
        </w:rPr>
        <w:t xml:space="preserve"> todo</w:t>
      </w:r>
      <w:r w:rsidR="00DC75DA">
        <w:rPr>
          <w:i/>
          <w:iCs/>
          <w:color w:val="000000" w:themeColor="text1"/>
          <w:sz w:val="20"/>
          <w:szCs w:val="20"/>
        </w:rPr>
        <w:t xml:space="preserve"> </w:t>
      </w:r>
      <w:r w:rsidR="006D05CB">
        <w:rPr>
          <w:i/>
          <w:iCs/>
          <w:color w:val="000000" w:themeColor="text1"/>
          <w:sz w:val="20"/>
          <w:szCs w:val="20"/>
        </w:rPr>
        <w:t>o</w:t>
      </w:r>
      <w:r w:rsidRPr="7D489D1E">
        <w:rPr>
          <w:i/>
          <w:iCs/>
          <w:color w:val="000000" w:themeColor="text1"/>
          <w:sz w:val="20"/>
          <w:szCs w:val="20"/>
        </w:rPr>
        <w:t xml:space="preserve"> histórico de atendimento e acompanhamento relativos à saúde do paciente” (Grifo nosso). </w:t>
      </w:r>
    </w:p>
    <w:p w14:paraId="393B2D5F" w14:textId="77777777" w:rsidR="00632770" w:rsidRPr="00632770" w:rsidRDefault="00632770" w:rsidP="00632770">
      <w:pPr>
        <w:pStyle w:val="Corpodetexto"/>
        <w:spacing w:before="244" w:line="252" w:lineRule="auto"/>
        <w:ind w:left="2880" w:right="104"/>
        <w:jc w:val="both"/>
        <w:rPr>
          <w:i/>
          <w:iCs/>
          <w:color w:val="000000" w:themeColor="text1"/>
          <w:sz w:val="20"/>
          <w:szCs w:val="20"/>
          <w:highlight w:val="yellow"/>
        </w:rPr>
      </w:pPr>
    </w:p>
    <w:p w14:paraId="33C26518" w14:textId="1DC89264" w:rsidR="00B82868" w:rsidRDefault="00F95ECD" w:rsidP="00B00824">
      <w:pPr>
        <w:pStyle w:val="Corpodetexto"/>
        <w:numPr>
          <w:ilvl w:val="0"/>
          <w:numId w:val="3"/>
        </w:numPr>
        <w:spacing w:line="252" w:lineRule="auto"/>
        <w:ind w:left="0" w:firstLine="0"/>
        <w:jc w:val="both"/>
      </w:pPr>
      <w:r w:rsidRPr="00164E78">
        <w:t xml:space="preserve">Exclui-se do escopo desta norma documentos relativos à saúde do servidor, </w:t>
      </w:r>
      <w:r w:rsidR="3038C7E7" w:rsidRPr="00164E78">
        <w:t>tais como</w:t>
      </w:r>
      <w:r w:rsidR="00164E78" w:rsidRPr="00164E78">
        <w:t xml:space="preserve"> os documentos gerados</w:t>
      </w:r>
      <w:r w:rsidR="3038C7E7" w:rsidRPr="00164E78">
        <w:t xml:space="preserve"> em </w:t>
      </w:r>
      <w:r w:rsidR="00164E78" w:rsidRPr="00164E78">
        <w:t>processo de perícia ou inspeção médica</w:t>
      </w:r>
      <w:r w:rsidR="3038C7E7" w:rsidRPr="00164E78">
        <w:t>, nos quais a ação assistencial visa apurar apenas o estado de saúde do paciente</w:t>
      </w:r>
      <w:r w:rsidR="00F830E2" w:rsidRPr="00164E78">
        <w:t>,</w:t>
      </w:r>
      <w:r w:rsidR="3038C7E7" w:rsidRPr="00164E78">
        <w:t xml:space="preserve"> sem adentrar em qualquer tipo de conduta ou prescrição</w:t>
      </w:r>
      <w:r w:rsidR="3038C7E7">
        <w:t>.</w:t>
      </w:r>
    </w:p>
    <w:p w14:paraId="33C26519" w14:textId="77777777" w:rsidR="00B00824" w:rsidRDefault="00B00824" w:rsidP="00B00824">
      <w:pPr>
        <w:pStyle w:val="Corpodetexto"/>
        <w:spacing w:line="252" w:lineRule="auto"/>
        <w:jc w:val="both"/>
      </w:pPr>
    </w:p>
    <w:p w14:paraId="33C2651A" w14:textId="5F73FB32" w:rsidR="00B00824" w:rsidRDefault="3038C7E7" w:rsidP="00B00824">
      <w:pPr>
        <w:pStyle w:val="Corpodetexto"/>
        <w:numPr>
          <w:ilvl w:val="0"/>
          <w:numId w:val="3"/>
        </w:numPr>
        <w:spacing w:line="252" w:lineRule="auto"/>
        <w:ind w:left="0" w:firstLine="0"/>
        <w:jc w:val="both"/>
      </w:pPr>
      <w:r>
        <w:t>Não basta termos um conjunto documental com as informações do paciente para considerá-lo qualificado como Prontuário d</w:t>
      </w:r>
      <w:r w:rsidR="00EB3944">
        <w:t>o</w:t>
      </w:r>
      <w:r>
        <w:t xml:space="preserve"> Paciente, mas, compulsoriamente, tais registros devem ensejar o tratamento pontual do paciente, e não o simples atesto das suas condições de saúde. </w:t>
      </w:r>
    </w:p>
    <w:p w14:paraId="33C2651B" w14:textId="77777777" w:rsidR="00B00824" w:rsidRDefault="00B00824" w:rsidP="00B00824">
      <w:pPr>
        <w:pStyle w:val="PargrafodaLista"/>
        <w:spacing w:before="0"/>
      </w:pPr>
    </w:p>
    <w:p w14:paraId="33C2651C" w14:textId="4EA4ADD0" w:rsidR="00B00824" w:rsidRDefault="00836FCA" w:rsidP="00B00824">
      <w:pPr>
        <w:pStyle w:val="Corpodetexto"/>
        <w:numPr>
          <w:ilvl w:val="0"/>
          <w:numId w:val="3"/>
        </w:numPr>
        <w:spacing w:line="252" w:lineRule="auto"/>
        <w:ind w:left="0" w:firstLine="0"/>
        <w:jc w:val="both"/>
      </w:pPr>
      <w:r>
        <w:t>Nestes casos</w:t>
      </w:r>
      <w:r w:rsidR="3038C7E7">
        <w:t>,</w:t>
      </w:r>
      <w:r w:rsidR="00427BBA">
        <w:t xml:space="preserve"> deve-se observar que</w:t>
      </w:r>
      <w:r w:rsidR="3038C7E7">
        <w:t xml:space="preserve"> tais </w:t>
      </w:r>
      <w:r w:rsidR="00B92B5C">
        <w:t>conjuntos documenta</w:t>
      </w:r>
      <w:r w:rsidR="00427BBA">
        <w:t xml:space="preserve">is são </w:t>
      </w:r>
      <w:r w:rsidR="3038C7E7">
        <w:t>pertencente</w:t>
      </w:r>
      <w:r w:rsidR="00427BBA">
        <w:t>s</w:t>
      </w:r>
      <w:r w:rsidR="3038C7E7">
        <w:t xml:space="preserve"> à área meio da organização ora produtora, ao passo que o </w:t>
      </w:r>
      <w:r w:rsidR="00427BBA">
        <w:t>p</w:t>
      </w:r>
      <w:r w:rsidR="3038C7E7">
        <w:t>rontuário d</w:t>
      </w:r>
      <w:r w:rsidR="00427BBA">
        <w:t>o</w:t>
      </w:r>
      <w:r w:rsidR="3038C7E7">
        <w:t xml:space="preserve"> </w:t>
      </w:r>
      <w:r w:rsidR="00427BBA">
        <w:t>p</w:t>
      </w:r>
      <w:r w:rsidR="3038C7E7">
        <w:t>aciente é, por sua natureza, intrinsecamente</w:t>
      </w:r>
      <w:r w:rsidR="00427BBA">
        <w:t xml:space="preserve"> relativo à</w:t>
      </w:r>
      <w:r w:rsidR="3038C7E7">
        <w:t xml:space="preserve"> área fim das Instituições de Saúde.</w:t>
      </w:r>
    </w:p>
    <w:p w14:paraId="33C2651D" w14:textId="77777777" w:rsidR="00B00824" w:rsidRDefault="00B00824" w:rsidP="00B00824">
      <w:pPr>
        <w:pStyle w:val="PargrafodaLista"/>
        <w:spacing w:before="0"/>
      </w:pPr>
    </w:p>
    <w:p w14:paraId="33C2651E" w14:textId="3C966D65" w:rsidR="00804D7F" w:rsidRDefault="00427BBA" w:rsidP="00B00824">
      <w:pPr>
        <w:pStyle w:val="Corpodetexto"/>
        <w:numPr>
          <w:ilvl w:val="0"/>
          <w:numId w:val="3"/>
        </w:numPr>
        <w:spacing w:line="252" w:lineRule="auto"/>
        <w:ind w:left="0" w:firstLine="0"/>
        <w:jc w:val="both"/>
      </w:pPr>
      <w:r>
        <w:t>Ainda no tocante aos documentos relativos à saúde do servidor</w:t>
      </w:r>
      <w:r w:rsidR="3038C7E7">
        <w:t>,</w:t>
      </w:r>
      <w:r w:rsidR="008C6CCF">
        <w:t xml:space="preserve"> cumpre esclarecer que</w:t>
      </w:r>
      <w:r w:rsidR="3038C7E7">
        <w:t xml:space="preserve"> o Código de Classificação e Tabela de Temporalidade e Destinação de Documentos</w:t>
      </w:r>
      <w:r w:rsidR="008C6CCF">
        <w:t>,</w:t>
      </w:r>
      <w:r w:rsidR="3038C7E7">
        <w:t xml:space="preserve"> relativos às atividades-meio do Poder Executivo Federal</w:t>
      </w:r>
      <w:r w:rsidR="008C6CCF">
        <w:t>,</w:t>
      </w:r>
      <w:r w:rsidR="007F5126">
        <w:t xml:space="preserve"> </w:t>
      </w:r>
      <w:r w:rsidR="3038C7E7">
        <w:t xml:space="preserve">orienta quanto </w:t>
      </w:r>
      <w:r w:rsidR="008C6CCF">
        <w:t xml:space="preserve">à </w:t>
      </w:r>
      <w:r w:rsidR="3038C7E7">
        <w:t>devida classificação desse conjunto documental</w:t>
      </w:r>
    </w:p>
    <w:p w14:paraId="33C2651F" w14:textId="77777777" w:rsidR="003D4697" w:rsidRDefault="3038C7E7" w:rsidP="3038C7E7">
      <w:pPr>
        <w:pStyle w:val="Corpodetexto"/>
        <w:spacing w:before="244" w:line="252" w:lineRule="auto"/>
        <w:ind w:left="2880" w:right="104"/>
        <w:jc w:val="both"/>
        <w:rPr>
          <w:i/>
          <w:iCs/>
          <w:sz w:val="20"/>
          <w:szCs w:val="20"/>
        </w:rPr>
      </w:pPr>
      <w:r w:rsidRPr="3038C7E7">
        <w:rPr>
          <w:i/>
          <w:iCs/>
          <w:sz w:val="20"/>
          <w:szCs w:val="20"/>
        </w:rPr>
        <w:t>025.14 Incluem-se documentos referentes aos registros dos cuidados médicos profissionais prestados aos servidores, como exames e inspeções periódicas de saúde exames complementares, laudos médicos e comunicação de alta e óbito. (grifo nosso)</w:t>
      </w:r>
      <w:r w:rsidR="003D4697">
        <w:br/>
      </w:r>
    </w:p>
    <w:p w14:paraId="33C26520" w14:textId="51DAAA34" w:rsidR="3038C7E7" w:rsidRDefault="3038C7E7" w:rsidP="00B00824">
      <w:pPr>
        <w:pStyle w:val="Corpodetexto"/>
        <w:numPr>
          <w:ilvl w:val="0"/>
          <w:numId w:val="3"/>
        </w:numPr>
        <w:spacing w:line="252" w:lineRule="auto"/>
        <w:ind w:left="0" w:firstLine="0"/>
        <w:jc w:val="both"/>
        <w:rPr>
          <w:rFonts w:asciiTheme="minorHAnsi" w:eastAsiaTheme="minorEastAsia" w:hAnsiTheme="minorHAnsi" w:cstheme="minorBidi"/>
        </w:rPr>
      </w:pPr>
      <w:r>
        <w:t>De forma complementar, para os documentos relativos às atividades-meio das Forças Armadas, a subclasse 080 Pessoal Militar determina quanto à devida classificação dos documentos oriundos da ação assistencial dos militares</w:t>
      </w:r>
      <w:r w:rsidR="007F5126">
        <w:t>:</w:t>
      </w:r>
    </w:p>
    <w:p w14:paraId="33C26521" w14:textId="77777777" w:rsidR="3038C7E7" w:rsidRDefault="3038C7E7" w:rsidP="3038C7E7">
      <w:pPr>
        <w:pStyle w:val="Corpodetexto"/>
        <w:spacing w:before="244" w:line="252" w:lineRule="auto"/>
        <w:ind w:left="2880" w:right="104"/>
        <w:jc w:val="both"/>
        <w:rPr>
          <w:i/>
          <w:iCs/>
          <w:sz w:val="20"/>
          <w:szCs w:val="20"/>
        </w:rPr>
      </w:pPr>
      <w:r w:rsidRPr="3038C7E7">
        <w:rPr>
          <w:i/>
          <w:iCs/>
          <w:sz w:val="20"/>
          <w:szCs w:val="20"/>
        </w:rPr>
        <w:t xml:space="preserve">087.12 PERICIAL Incluem-se documentos </w:t>
      </w:r>
      <w:r w:rsidRPr="3038C7E7">
        <w:rPr>
          <w:b/>
          <w:bCs/>
          <w:i/>
          <w:iCs/>
          <w:sz w:val="20"/>
          <w:szCs w:val="20"/>
        </w:rPr>
        <w:t>referentes ao controle e verificação do estado de higidez</w:t>
      </w:r>
      <w:r w:rsidRPr="3038C7E7">
        <w:rPr>
          <w:i/>
          <w:iCs/>
          <w:sz w:val="20"/>
          <w:szCs w:val="20"/>
        </w:rPr>
        <w:t xml:space="preserve"> (em estado saudável) do pessoal em serviço ativo, inativo e a ser selecionado para ingresso nas Forças Armadas; atestado sanitário de origem; inquérito sanitário de origem; resultado de exames; auto de corpo de delito; </w:t>
      </w:r>
      <w:r w:rsidRPr="3038C7E7">
        <w:rPr>
          <w:b/>
          <w:bCs/>
          <w:i/>
          <w:iCs/>
          <w:sz w:val="20"/>
          <w:szCs w:val="20"/>
        </w:rPr>
        <w:t>atas de inspeção de saúde</w:t>
      </w:r>
      <w:r w:rsidRPr="3038C7E7">
        <w:rPr>
          <w:i/>
          <w:iCs/>
          <w:sz w:val="20"/>
          <w:szCs w:val="20"/>
        </w:rPr>
        <w:t>, bem como os processos de perícia médica para reforma, isenção de imposto de renda, melhoria de reforma e movimentação por motivo de saúde. (grifo nosso)</w:t>
      </w:r>
    </w:p>
    <w:p w14:paraId="33C26522" w14:textId="77777777" w:rsidR="00B00824" w:rsidRDefault="00B00824" w:rsidP="3038C7E7">
      <w:pPr>
        <w:pStyle w:val="Corpodetexto"/>
        <w:spacing w:before="244" w:line="252" w:lineRule="auto"/>
        <w:ind w:left="2880" w:right="104"/>
        <w:jc w:val="both"/>
        <w:rPr>
          <w:i/>
          <w:iCs/>
          <w:sz w:val="20"/>
          <w:szCs w:val="20"/>
        </w:rPr>
      </w:pPr>
    </w:p>
    <w:p w14:paraId="33C26523" w14:textId="3A953E29" w:rsidR="001168A9" w:rsidRDefault="00750801" w:rsidP="00CD77C4">
      <w:pPr>
        <w:pStyle w:val="Corpodetexto"/>
        <w:spacing w:line="252" w:lineRule="auto"/>
        <w:jc w:val="both"/>
      </w:pPr>
      <w:r>
        <w:t>1</w:t>
      </w:r>
      <w:r w:rsidR="002A6155">
        <w:t>7</w:t>
      </w:r>
      <w:r>
        <w:t>.</w:t>
      </w:r>
      <w:r>
        <w:tab/>
      </w:r>
      <w:r w:rsidR="3038C7E7">
        <w:t>Com isso, resta evidente que os processos de perícias e inspeções médicas do pessoal militar se diferenciam do Prontuário d</w:t>
      </w:r>
      <w:r w:rsidR="00D95509">
        <w:t>o</w:t>
      </w:r>
      <w:r w:rsidR="3038C7E7">
        <w:t xml:space="preserve"> Paciente. Para os processos de perícias médicas do pessoal militar, destaca-se a sua previsão de tratamento arquivístico ao ser classificado em descritor específico da subclasse 080. </w:t>
      </w:r>
    </w:p>
    <w:p w14:paraId="33C26525" w14:textId="1B3695DE" w:rsidR="0034727A" w:rsidRDefault="3038C7E7" w:rsidP="0034727A">
      <w:pPr>
        <w:pStyle w:val="Corpodetexto"/>
        <w:spacing w:line="252" w:lineRule="auto"/>
        <w:jc w:val="both"/>
      </w:pPr>
      <w:r>
        <w:br/>
      </w:r>
      <w:r>
        <w:tab/>
      </w:r>
    </w:p>
    <w:p w14:paraId="33C26526" w14:textId="42720DD8" w:rsidR="00352D5B" w:rsidRDefault="0034727A" w:rsidP="0034727A">
      <w:pPr>
        <w:pStyle w:val="Corpodetexto"/>
        <w:spacing w:line="252" w:lineRule="auto"/>
        <w:jc w:val="both"/>
      </w:pPr>
      <w:r>
        <w:t>18.</w:t>
      </w:r>
      <w:r>
        <w:tab/>
      </w:r>
      <w:r w:rsidR="00D73ADC">
        <w:t>A partir</w:t>
      </w:r>
      <w:r w:rsidR="3038C7E7">
        <w:t xml:space="preserve"> das ações requeridas no Grupo de Trabalho de Prontuários d</w:t>
      </w:r>
      <w:r w:rsidR="00AA4EC2">
        <w:t>os</w:t>
      </w:r>
      <w:r w:rsidR="3038C7E7">
        <w:t xml:space="preserve"> Pacientes, </w:t>
      </w:r>
      <w:r w:rsidR="00D73ADC">
        <w:t>foram definidos</w:t>
      </w:r>
      <w:r w:rsidR="3038C7E7">
        <w:t xml:space="preserve"> os registros que deverão constar nos prontuários segundo suas qualificações</w:t>
      </w:r>
      <w:r w:rsidR="00D73ADC">
        <w:t xml:space="preserve"> a partir da</w:t>
      </w:r>
      <w:r w:rsidR="001A0F7B">
        <w:t xml:space="preserve"> finalidade a que devem servir</w:t>
      </w:r>
      <w:r w:rsidR="00686B8E">
        <w:t xml:space="preserve">. Assim, </w:t>
      </w:r>
      <w:r w:rsidR="003155A9">
        <w:t>no</w:t>
      </w:r>
      <w:r w:rsidR="00686B8E">
        <w:t xml:space="preserve"> prontuário d</w:t>
      </w:r>
      <w:r w:rsidR="003155A9">
        <w:t>o</w:t>
      </w:r>
      <w:r w:rsidR="00686B8E">
        <w:t xml:space="preserve"> paciente devem </w:t>
      </w:r>
      <w:r w:rsidR="007051B3">
        <w:t>ser inseridos</w:t>
      </w:r>
      <w:r w:rsidR="003155A9">
        <w:t>,</w:t>
      </w:r>
      <w:r w:rsidR="007051B3">
        <w:t xml:space="preserve"> de forma obrigatória</w:t>
      </w:r>
      <w:r w:rsidR="003155A9">
        <w:t>,</w:t>
      </w:r>
      <w:r w:rsidR="00686B8E">
        <w:t xml:space="preserve"> os registros referentes </w:t>
      </w:r>
      <w:r w:rsidR="0007464B">
        <w:t>ao</w:t>
      </w:r>
      <w:r w:rsidR="007F2CDA">
        <w:t>(s)</w:t>
      </w:r>
      <w:r w:rsidR="00313159">
        <w:t>/à(s)</w:t>
      </w:r>
      <w:r w:rsidR="00686B8E">
        <w:t>:</w:t>
      </w:r>
      <w:r w:rsidR="00D73ADC">
        <w:tab/>
      </w:r>
      <w:r w:rsidR="00D73ADC">
        <w:br/>
      </w:r>
    </w:p>
    <w:p w14:paraId="4B8BAD7D" w14:textId="77777777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A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dmissão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 </w:t>
      </w:r>
    </w:p>
    <w:p w14:paraId="488B748B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A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nálise pré-anestésica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2902D40F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Anamnese e exame físico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6C8E1BF0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C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hecklist de cirurgia segura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22D2B3E2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Classificação de risco a partir de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  <w:r w:rsidRPr="001A0F7B">
        <w:rPr>
          <w:rFonts w:eastAsia="Microsoft YaHei" w:cs="Times New Roman"/>
          <w:i/>
          <w:iCs/>
          <w:color w:val="0D0D0D" w:themeColor="text1" w:themeTint="F2"/>
          <w:sz w:val="24"/>
          <w:szCs w:val="24"/>
          <w:lang w:val="pt-BR" w:eastAsia="pt-BR"/>
        </w:rPr>
        <w:t>scores</w:t>
      </w:r>
      <w:r w:rsidRPr="001A0F7B">
        <w:rPr>
          <w:rFonts w:eastAsia="Microsoft YaHei" w:cs="Times New Roman"/>
          <w:i/>
          <w:iCs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aplicados aos pacientes (se aplicável)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084BBBF2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Codificação dos prontuários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(de acordo com sistema de controle utilizado pelo hospital)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5C75FA65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C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ontrole anestésico intraoperatório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3513D979" w14:textId="77777777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D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eclaração de óbito</w:t>
      </w: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 xml:space="preserve"> (uma via)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558AB632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D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escrição cirúrgica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457C81B1" w14:textId="77777777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spelho da autorização de internação hospitalar (AIH)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548841DC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tiqueta de produto (OPME)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0A53779B" w14:textId="77777777" w:rsidR="0085556B" w:rsidRPr="00F04FBA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Evolução de enfermagem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3F203140" w14:textId="77777777" w:rsidR="0085556B" w:rsidRPr="00F04FBA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Evolução médica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510E4A14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volução multiprofissional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2C3CB556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xame de imagem para comprovação de uso de OPME (órteses, próteses e materiais especiais)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30057671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Identificação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5C9D8A7E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lastRenderedPageBreak/>
        <w:t>Laudo de necropsia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.</w:t>
      </w:r>
    </w:p>
    <w:p w14:paraId="22D6DB84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Medicamentos e recomendações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27B02554" w14:textId="77777777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P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lano terapêutico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2B94E135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P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rescrição de enfermagem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099071FE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Prescrição médica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0571D88C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P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rescrição multiprofissional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7B8D19F8" w14:textId="1B420F7A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P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rocedimentos especiais</w:t>
      </w:r>
      <w:r w:rsidR="00C470BE">
        <w:rPr>
          <w:rStyle w:val="Refdenotaderodap"/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footnoteReference w:id="2"/>
      </w:r>
      <w:r>
        <w:rPr>
          <w:rFonts w:eastAsia="Microsoft YaHei" w:cs="Times New Roman"/>
          <w:color w:val="0D0D0D" w:themeColor="text1" w:themeTint="F2"/>
          <w:sz w:val="24"/>
          <w:szCs w:val="24"/>
          <w:vertAlign w:val="superscript"/>
          <w:lang w:val="pt-BR" w:eastAsia="pt-BR"/>
        </w:rPr>
        <w:t>;</w:t>
      </w:r>
    </w:p>
    <w:p w14:paraId="6F2A3840" w14:textId="77777777" w:rsidR="0085556B" w:rsidRPr="00F04FBA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P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rocedimentos realizados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41BCE483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Recomendações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069759C6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ecuperação pós-anestésica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775BAEC8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Resultados de exame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134D3528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Resumo do atendimento emergencial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13FCF4CF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R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isco cirúrgico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6A48624B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Solicitação de exames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75EFC0D1" w14:textId="77777777" w:rsidR="0085556B" w:rsidRPr="001A0F7B" w:rsidRDefault="0085556B" w:rsidP="008F50D4">
      <w:pPr>
        <w:widowControl/>
        <w:numPr>
          <w:ilvl w:val="0"/>
          <w:numId w:val="12"/>
        </w:numPr>
        <w:autoSpaceDE/>
        <w:autoSpaceDN/>
        <w:spacing w:beforeAutospacing="1" w:afterAutospacing="1"/>
        <w:jc w:val="both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1A0F7B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Solicitação de parecer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  <w:r w:rsidRPr="001A0F7B">
        <w:rPr>
          <w:rFonts w:eastAsia="Microsoft YaHei" w:cs="Times New Roman"/>
          <w:color w:val="0D0D0D" w:themeColor="text1" w:themeTint="F2"/>
          <w:sz w:val="24"/>
          <w:szCs w:val="24"/>
          <w:bdr w:val="none" w:sz="0" w:space="0" w:color="auto" w:frame="1"/>
          <w:lang w:val="pt-BR" w:eastAsia="pt-BR"/>
        </w:rPr>
        <w:t> </w:t>
      </w:r>
    </w:p>
    <w:p w14:paraId="09C50F82" w14:textId="77777777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S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umário de alta (incluindo alta por óbito)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67F0B22F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T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ermo de consentimento livre e esclarecido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17F0AB9D" w14:textId="77777777" w:rsidR="0085556B" w:rsidRPr="00393CF1" w:rsidRDefault="0085556B" w:rsidP="008F50D4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T</w:t>
      </w:r>
      <w:r w:rsidRPr="00393CF1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ermo de recusa (de procedimento)</w:t>
      </w:r>
      <w:r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;</w:t>
      </w:r>
    </w:p>
    <w:p w14:paraId="06F46727" w14:textId="32877FAA" w:rsidR="0085556B" w:rsidRPr="00C8079C" w:rsidRDefault="0085556B" w:rsidP="008F50D4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</w:pPr>
      <w:r w:rsidRPr="00F04FBA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T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ermos, declarações e autorizações relativas à doação de órgãos</w:t>
      </w:r>
      <w:r w:rsidR="008E1387">
        <w:rPr>
          <w:rStyle w:val="Refdenotaderodap"/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footnoteReference w:id="3"/>
      </w:r>
      <w:r>
        <w:rPr>
          <w:rFonts w:eastAsia="Microsoft YaHei" w:cs="Times New Roman"/>
          <w:color w:val="0D0D0D" w:themeColor="text1" w:themeTint="F2"/>
          <w:sz w:val="24"/>
          <w:szCs w:val="24"/>
          <w:vertAlign w:val="superscript"/>
          <w:lang w:val="pt-BR" w:eastAsia="pt-BR"/>
        </w:rPr>
        <w:t>;</w:t>
      </w:r>
      <w:r w:rsidRPr="00C8079C">
        <w:rPr>
          <w:rFonts w:eastAsia="Microsoft YaHei" w:cs="Times New Roman"/>
          <w:color w:val="0D0D0D" w:themeColor="text1" w:themeTint="F2"/>
          <w:sz w:val="24"/>
          <w:szCs w:val="24"/>
          <w:lang w:val="pt-BR" w:eastAsia="pt-BR"/>
        </w:rPr>
        <w:t> </w:t>
      </w:r>
    </w:p>
    <w:p w14:paraId="4E263F26" w14:textId="7C849E02" w:rsidR="0094061E" w:rsidRDefault="0034727A" w:rsidP="007051B3">
      <w:pPr>
        <w:pStyle w:val="Corpodetexto"/>
        <w:spacing w:before="244" w:line="252" w:lineRule="auto"/>
        <w:ind w:right="104"/>
        <w:jc w:val="both"/>
      </w:pPr>
      <w:r>
        <w:rPr>
          <w:lang w:val="pt-BR"/>
        </w:rPr>
        <w:t>19</w:t>
      </w:r>
      <w:r w:rsidR="007051B3" w:rsidRPr="007051B3">
        <w:rPr>
          <w:lang w:val="pt-BR"/>
        </w:rPr>
        <w:t>.</w:t>
      </w:r>
      <w:r>
        <w:rPr>
          <w:sz w:val="28"/>
          <w:szCs w:val="28"/>
          <w:lang w:val="pt-BR"/>
        </w:rPr>
        <w:tab/>
      </w:r>
      <w:r w:rsidR="00AE108A">
        <w:t>Cumpre, ainda, esclarecer que todos os registros acima identificados somente são obrigatórios quando aplicáveis, ou seja, quando o paciente for submetido a atendimento e/ou procedimento cuja ação esteja vinculada ao registro especificado</w:t>
      </w:r>
      <w:r w:rsidR="007051B3">
        <w:t>.</w:t>
      </w:r>
      <w:r w:rsidR="007051B3">
        <w:tab/>
      </w:r>
      <w:r w:rsidR="00613F05">
        <w:t xml:space="preserve">De igual modo, </w:t>
      </w:r>
      <w:r w:rsidR="000F1CCB">
        <w:t xml:space="preserve">é preciso esclarecer que a ordem dos registros, na forma como consta acima relacionada, não possui relação com a ordem de inserção ou organização interna dos registros dentro do prontuário do paciente (a ordem de inserção deve respeitar a cronologia do atendimento </w:t>
      </w:r>
      <w:r w:rsidR="007D44BF">
        <w:t>e/ou acompanhamento do paciente)</w:t>
      </w:r>
      <w:r w:rsidR="000F1CCB">
        <w:t>.</w:t>
      </w:r>
    </w:p>
    <w:p w14:paraId="33C2654B" w14:textId="77777777" w:rsidR="005E4D2F" w:rsidRPr="00CB0903" w:rsidRDefault="009A6937" w:rsidP="0013232D">
      <w:pPr>
        <w:pStyle w:val="Ttulo11"/>
        <w:tabs>
          <w:tab w:val="left" w:pos="10260"/>
        </w:tabs>
        <w:spacing w:before="244"/>
        <w:ind w:left="0" w:right="13"/>
        <w:rPr>
          <w:sz w:val="20"/>
          <w:szCs w:val="20"/>
        </w:rPr>
      </w:pPr>
      <w:r w:rsidRPr="00CB0903">
        <w:rPr>
          <w:w w:val="125"/>
          <w:sz w:val="20"/>
          <w:szCs w:val="20"/>
          <w:shd w:val="clear" w:color="auto" w:fill="E5E5E5"/>
        </w:rPr>
        <w:t>CONCLUSÃO</w:t>
      </w:r>
      <w:r w:rsidRPr="00CB0903">
        <w:rPr>
          <w:sz w:val="20"/>
          <w:szCs w:val="20"/>
          <w:shd w:val="clear" w:color="auto" w:fill="E5E5E5"/>
        </w:rPr>
        <w:tab/>
      </w:r>
      <w:r w:rsidR="00521788" w:rsidRPr="00CB0903">
        <w:rPr>
          <w:sz w:val="20"/>
          <w:szCs w:val="20"/>
          <w:shd w:val="clear" w:color="auto" w:fill="E5E5E5"/>
        </w:rPr>
        <w:t xml:space="preserve">  </w:t>
      </w:r>
    </w:p>
    <w:p w14:paraId="33C2654C" w14:textId="77777777" w:rsidR="0034727A" w:rsidRDefault="0034727A" w:rsidP="0034727A">
      <w:pPr>
        <w:pStyle w:val="Corpodetexto"/>
        <w:jc w:val="both"/>
        <w:rPr>
          <w:b/>
          <w:sz w:val="22"/>
        </w:rPr>
      </w:pPr>
    </w:p>
    <w:p w14:paraId="39524669" w14:textId="1CE48CB5" w:rsidR="00A25124" w:rsidRDefault="0034727A" w:rsidP="0034727A">
      <w:pPr>
        <w:pStyle w:val="Corpodetexto"/>
        <w:jc w:val="both"/>
      </w:pPr>
      <w:r w:rsidRPr="00632770">
        <w:rPr>
          <w:bCs/>
          <w:sz w:val="22"/>
        </w:rPr>
        <w:t>20</w:t>
      </w:r>
      <w:r>
        <w:rPr>
          <w:b/>
          <w:sz w:val="22"/>
        </w:rPr>
        <w:t>.</w:t>
      </w:r>
      <w:r>
        <w:rPr>
          <w:b/>
          <w:sz w:val="22"/>
        </w:rPr>
        <w:tab/>
      </w:r>
      <w:r w:rsidR="3038C7E7" w:rsidRPr="452B27FB">
        <w:rPr>
          <w:sz w:val="28"/>
          <w:szCs w:val="28"/>
        </w:rPr>
        <w:t xml:space="preserve"> </w:t>
      </w:r>
      <w:r w:rsidR="3038C7E7">
        <w:t>Ante o exposto, este Arquivo Nacional</w:t>
      </w:r>
      <w:r w:rsidR="00C7011B">
        <w:t>,</w:t>
      </w:r>
      <w:r w:rsidR="3038C7E7">
        <w:t xml:space="preserve"> conforme disposto nos termos dos Incisos III e IV do Art.</w:t>
      </w:r>
      <w:r w:rsidR="00141A84">
        <w:t xml:space="preserve"> </w:t>
      </w:r>
      <w:r w:rsidR="3038C7E7">
        <w:t>4 do Decreto</w:t>
      </w:r>
      <w:r w:rsidR="00141A84">
        <w:t xml:space="preserve"> nº</w:t>
      </w:r>
      <w:r w:rsidR="3038C7E7">
        <w:t xml:space="preserve"> 4.915</w:t>
      </w:r>
      <w:r w:rsidR="00C7011B">
        <w:t>,</w:t>
      </w:r>
      <w:r w:rsidR="3038C7E7">
        <w:t xml:space="preserve"> de 12 de dezembro de 2003,</w:t>
      </w:r>
      <w:r w:rsidR="00BA7D2B">
        <w:t xml:space="preserve"> </w:t>
      </w:r>
      <w:r w:rsidR="3038C7E7">
        <w:t>considera</w:t>
      </w:r>
      <w:r w:rsidR="00BA7D2B">
        <w:t xml:space="preserve">ndo </w:t>
      </w:r>
      <w:r w:rsidR="00484B54">
        <w:t>o trabalho desenvolvido pelo</w:t>
      </w:r>
      <w:r w:rsidR="3038C7E7">
        <w:t xml:space="preserve"> Grupo de Trabalho de Prontuário d</w:t>
      </w:r>
      <w:r w:rsidR="00C7011B">
        <w:t>o</w:t>
      </w:r>
      <w:r w:rsidR="3038C7E7">
        <w:t xml:space="preserve"> Paciente</w:t>
      </w:r>
      <w:r w:rsidR="00484B54">
        <w:t>, instituído pela Portaria AN nº 30, de 20 de outubro de 2021</w:t>
      </w:r>
      <w:r w:rsidR="00155894">
        <w:t>, e</w:t>
      </w:r>
      <w:r w:rsidR="00155894" w:rsidRPr="00155894">
        <w:t xml:space="preserve"> relevância d</w:t>
      </w:r>
      <w:r w:rsidR="00155894">
        <w:t>a</w:t>
      </w:r>
      <w:r w:rsidR="00155894" w:rsidRPr="00155894">
        <w:t xml:space="preserve"> matéria recomenda a sua ampla divulgação, a fim de que todos </w:t>
      </w:r>
      <w:r w:rsidR="008274B2">
        <w:t xml:space="preserve">os profissionais atuantes na saúde assistencial </w:t>
      </w:r>
      <w:r w:rsidR="00155894" w:rsidRPr="00155894">
        <w:t>possam contribuir para o seu aperfeiçoamento</w:t>
      </w:r>
      <w:r w:rsidR="008274B2">
        <w:t>.</w:t>
      </w:r>
    </w:p>
    <w:p w14:paraId="4F1DC592" w14:textId="44314908" w:rsidR="00BE1973" w:rsidRDefault="00BE1973" w:rsidP="0034727A">
      <w:pPr>
        <w:pStyle w:val="Corpodetexto"/>
        <w:jc w:val="both"/>
      </w:pPr>
    </w:p>
    <w:p w14:paraId="5C78D94C" w14:textId="1E73FB75" w:rsidR="00B30C8F" w:rsidRDefault="00BE1973" w:rsidP="0034727A">
      <w:pPr>
        <w:pStyle w:val="Corpodetexto"/>
        <w:jc w:val="both"/>
      </w:pPr>
      <w:r>
        <w:t xml:space="preserve">21. </w:t>
      </w:r>
      <w:r w:rsidR="00B30C8F">
        <w:t xml:space="preserve">O </w:t>
      </w:r>
      <w:r w:rsidR="00B668B7">
        <w:t xml:space="preserve">presente documento </w:t>
      </w:r>
      <w:r w:rsidR="00B30C8F">
        <w:t>deverá ser</w:t>
      </w:r>
      <w:r w:rsidR="00B668B7">
        <w:t xml:space="preserve"> submetido à consu</w:t>
      </w:r>
      <w:r w:rsidR="00B30C8F">
        <w:t>l</w:t>
      </w:r>
      <w:r w:rsidR="00B668B7">
        <w:t>ta pública pelo prazo de 30 dias, a contar de sua publicação</w:t>
      </w:r>
      <w:r w:rsidR="005F7351">
        <w:t>,</w:t>
      </w:r>
      <w:r w:rsidR="00B30C8F">
        <w:t xml:space="preserve"> para que </w:t>
      </w:r>
      <w:r w:rsidR="005F7351">
        <w:t>a lista d</w:t>
      </w:r>
      <w:r w:rsidR="00EA4499">
        <w:t>os</w:t>
      </w:r>
      <w:r w:rsidR="005F7351">
        <w:t xml:space="preserve"> registros </w:t>
      </w:r>
      <w:r w:rsidR="00B97DC9">
        <w:t>que deverão constar de forma obrigatória no prontuário do paciente</w:t>
      </w:r>
      <w:r w:rsidR="009A5943">
        <w:t xml:space="preserve"> (</w:t>
      </w:r>
      <w:r w:rsidR="005F7351">
        <w:t>item 18 desta nota técnica</w:t>
      </w:r>
      <w:r w:rsidR="009A5943">
        <w:t>)</w:t>
      </w:r>
      <w:r w:rsidR="005F7351">
        <w:t xml:space="preserve"> possa ser analisada</w:t>
      </w:r>
      <w:r w:rsidR="00A72250">
        <w:t xml:space="preserve"> </w:t>
      </w:r>
      <w:r w:rsidR="009A5943">
        <w:t>para o envio de sugestões visando s</w:t>
      </w:r>
      <w:r w:rsidR="00AB7299">
        <w:t>ua revisão e</w:t>
      </w:r>
      <w:r w:rsidR="009A5943">
        <w:t xml:space="preserve"> aperfeiçoamento.</w:t>
      </w:r>
    </w:p>
    <w:p w14:paraId="4847DDF9" w14:textId="77777777" w:rsidR="00B30C8F" w:rsidRDefault="00B30C8F" w:rsidP="0034727A">
      <w:pPr>
        <w:pStyle w:val="Corpodetexto"/>
        <w:jc w:val="both"/>
      </w:pPr>
    </w:p>
    <w:p w14:paraId="33C2654E" w14:textId="34B15264" w:rsidR="001F28D0" w:rsidRDefault="0034727A" w:rsidP="0034727A">
      <w:pPr>
        <w:pStyle w:val="Corpodetexto"/>
        <w:jc w:val="both"/>
      </w:pPr>
      <w:r>
        <w:t>2</w:t>
      </w:r>
      <w:r w:rsidR="00632770">
        <w:t>2</w:t>
      </w:r>
      <w:r>
        <w:t xml:space="preserve">. </w:t>
      </w:r>
      <w:r>
        <w:tab/>
      </w:r>
      <w:r w:rsidR="3038C7E7">
        <w:t xml:space="preserve">Assim, por oportuno, seguem as </w:t>
      </w:r>
      <w:r w:rsidR="005303CB">
        <w:t>instituições</w:t>
      </w:r>
      <w:r w:rsidR="3038C7E7">
        <w:t xml:space="preserve"> que contribuíram honrosamente na efetividade desta demanda.</w:t>
      </w:r>
    </w:p>
    <w:p w14:paraId="33C2654F" w14:textId="77777777" w:rsidR="00A33774" w:rsidRDefault="00A33774" w:rsidP="00A33774">
      <w:pPr>
        <w:pStyle w:val="Corpodetexto"/>
        <w:spacing w:before="244" w:line="252" w:lineRule="auto"/>
        <w:ind w:left="426" w:right="104"/>
        <w:jc w:val="both"/>
      </w:pPr>
    </w:p>
    <w:p w14:paraId="11A09976" w14:textId="06F6CDA8" w:rsidR="00D20BC2" w:rsidRPr="00C32743" w:rsidRDefault="00D20BC2" w:rsidP="00141A84">
      <w:pPr>
        <w:pStyle w:val="Corpodetexto"/>
        <w:spacing w:line="360" w:lineRule="auto"/>
        <w:jc w:val="both"/>
      </w:pPr>
      <w:r w:rsidRPr="00C32743">
        <w:t>Comando da Aeronáutica</w:t>
      </w:r>
    </w:p>
    <w:p w14:paraId="592BECB4" w14:textId="453C4799" w:rsidR="00D20BC2" w:rsidRPr="00C32743" w:rsidRDefault="00D20BC2" w:rsidP="00D20BC2">
      <w:pPr>
        <w:pStyle w:val="Corpodetexto"/>
        <w:spacing w:line="360" w:lineRule="auto"/>
        <w:ind w:left="2552" w:hanging="2552"/>
        <w:jc w:val="both"/>
      </w:pPr>
      <w:r w:rsidRPr="00C32743">
        <w:lastRenderedPageBreak/>
        <w:t>Hospital Federal do Andaraí</w:t>
      </w:r>
    </w:p>
    <w:p w14:paraId="05248F02" w14:textId="3493A0CF" w:rsidR="00D20BC2" w:rsidRPr="00C32743" w:rsidRDefault="00D20BC2" w:rsidP="00D20BC2">
      <w:pPr>
        <w:pStyle w:val="Corpodetexto"/>
        <w:spacing w:line="360" w:lineRule="auto"/>
        <w:ind w:left="2552" w:hanging="2552"/>
        <w:jc w:val="both"/>
        <w:rPr>
          <w:color w:val="000000" w:themeColor="text1"/>
        </w:rPr>
      </w:pPr>
      <w:r w:rsidRPr="00C32743">
        <w:rPr>
          <w:color w:val="000000" w:themeColor="text1"/>
        </w:rPr>
        <w:t>Hospital Universitário Gaffrée Guinle</w:t>
      </w:r>
    </w:p>
    <w:p w14:paraId="16795387" w14:textId="1E8CF214" w:rsidR="00D20BC2" w:rsidRPr="005303CB" w:rsidRDefault="00D20BC2" w:rsidP="00D20BC2">
      <w:pPr>
        <w:pStyle w:val="Corpodetexto"/>
        <w:spacing w:line="360" w:lineRule="auto"/>
        <w:ind w:left="2552" w:hanging="2552"/>
        <w:jc w:val="both"/>
        <w:rPr>
          <w:lang w:val="pt-BR"/>
        </w:rPr>
      </w:pPr>
      <w:r w:rsidRPr="00C32743">
        <w:rPr>
          <w:color w:val="000000" w:themeColor="text1"/>
          <w:lang w:val="pt-BR"/>
        </w:rPr>
        <w:t>Hospital de Clínicas de Porto Alegre</w:t>
      </w:r>
    </w:p>
    <w:p w14:paraId="3DD8B5B7" w14:textId="77777777" w:rsidR="00E95EE9" w:rsidRDefault="00D20BC2" w:rsidP="00E95EE9">
      <w:pPr>
        <w:pStyle w:val="Corpodetexto"/>
        <w:spacing w:line="360" w:lineRule="auto"/>
        <w:ind w:left="2552" w:hanging="2552"/>
        <w:jc w:val="both"/>
      </w:pPr>
      <w:r w:rsidRPr="00C32743">
        <w:t>Conselho Federal de Medicina</w:t>
      </w:r>
    </w:p>
    <w:p w14:paraId="01CB74C3" w14:textId="5AC7CB8D" w:rsidR="00D20BC2" w:rsidRPr="00E95EE9" w:rsidRDefault="00D20BC2" w:rsidP="00E95EE9">
      <w:pPr>
        <w:pStyle w:val="Corpodetexto"/>
        <w:spacing w:line="360" w:lineRule="auto"/>
        <w:ind w:left="2552" w:hanging="2552"/>
        <w:jc w:val="both"/>
      </w:pPr>
      <w:r w:rsidRPr="00C32743">
        <w:rPr>
          <w:color w:val="000000" w:themeColor="text1"/>
          <w:lang w:val="pt-BR"/>
        </w:rPr>
        <w:t>Sociedade Brasileira de Patologia</w:t>
      </w:r>
    </w:p>
    <w:p w14:paraId="5D2DB48B" w14:textId="0C5875C8" w:rsidR="00D20BC2" w:rsidRPr="00C32743" w:rsidRDefault="00D20BC2" w:rsidP="005303CB">
      <w:pPr>
        <w:pStyle w:val="Corpodetexto"/>
        <w:spacing w:line="360" w:lineRule="auto"/>
        <w:ind w:left="2552" w:hanging="2552"/>
        <w:jc w:val="both"/>
      </w:pPr>
      <w:r w:rsidRPr="00C32743">
        <w:t>Hospital Federal Cardoso Fontes</w:t>
      </w:r>
    </w:p>
    <w:p w14:paraId="3D74328E" w14:textId="1AAFDA5C" w:rsidR="00D20BC2" w:rsidRPr="00C32743" w:rsidRDefault="00D20BC2" w:rsidP="00D20BC2">
      <w:pPr>
        <w:pStyle w:val="Corpodetexto"/>
        <w:spacing w:line="360" w:lineRule="auto"/>
        <w:ind w:left="2552" w:hanging="2552"/>
        <w:jc w:val="both"/>
      </w:pPr>
      <w:r w:rsidRPr="00C32743">
        <w:t>Empresa Brasileira de Serviços Hospitalares - EBSERH</w:t>
      </w:r>
    </w:p>
    <w:p w14:paraId="2DC4474E" w14:textId="54C6AAD9" w:rsidR="00D20BC2" w:rsidRPr="00C32743" w:rsidRDefault="00D20BC2" w:rsidP="00D20BC2">
      <w:pPr>
        <w:pStyle w:val="Corpodetexto"/>
        <w:spacing w:line="360" w:lineRule="auto"/>
        <w:ind w:left="2552" w:hanging="2552"/>
        <w:jc w:val="both"/>
      </w:pPr>
      <w:r w:rsidRPr="00C32743">
        <w:rPr>
          <w:color w:val="333333"/>
          <w:lang w:val="pt-BR"/>
        </w:rPr>
        <w:t>Hospital Federal de Bonsucesso</w:t>
      </w:r>
    </w:p>
    <w:p w14:paraId="5DF04D62" w14:textId="4AD93836" w:rsidR="00D20BC2" w:rsidRPr="005303CB" w:rsidRDefault="00D20BC2" w:rsidP="00D20BC2">
      <w:pPr>
        <w:pStyle w:val="Corpodetexto"/>
        <w:spacing w:line="360" w:lineRule="auto"/>
        <w:ind w:left="2552" w:hanging="2552"/>
        <w:jc w:val="both"/>
        <w:rPr>
          <w:lang w:val="pt-BR"/>
        </w:rPr>
      </w:pPr>
      <w:r w:rsidRPr="00C32743">
        <w:rPr>
          <w:color w:val="000000" w:themeColor="text1"/>
          <w:lang w:val="pt-BR"/>
        </w:rPr>
        <w:t>Hospital Universitário Cassiano Antônio de Moraes</w:t>
      </w:r>
    </w:p>
    <w:p w14:paraId="67807864" w14:textId="2EE8FB43" w:rsidR="00D20BC2" w:rsidRPr="00C32743" w:rsidRDefault="00D20BC2" w:rsidP="00D20BC2">
      <w:pPr>
        <w:pStyle w:val="Corpodetexto"/>
        <w:spacing w:line="360" w:lineRule="auto"/>
        <w:ind w:left="2552" w:hanging="2552"/>
        <w:jc w:val="both"/>
      </w:pPr>
      <w:r>
        <w:t>Ministério da Saúde</w:t>
      </w:r>
    </w:p>
    <w:p w14:paraId="3B72AD65" w14:textId="73561EEF" w:rsidR="00D20BC2" w:rsidRPr="005303CB" w:rsidRDefault="00D20BC2" w:rsidP="00377E36">
      <w:pPr>
        <w:pStyle w:val="Corpodetexto"/>
        <w:spacing w:line="360" w:lineRule="auto"/>
        <w:ind w:left="284" w:hanging="284"/>
        <w:rPr>
          <w:lang w:val="pt-BR"/>
        </w:rPr>
      </w:pPr>
      <w:r w:rsidRPr="00C32743">
        <w:rPr>
          <w:color w:val="000000" w:themeColor="text1"/>
          <w:lang w:val="pt-BR"/>
        </w:rPr>
        <w:t>Instituto Nacional de Saúde da Mulher, da Criança e do</w:t>
      </w:r>
      <w:r>
        <w:rPr>
          <w:color w:val="000000" w:themeColor="text1"/>
          <w:lang w:val="pt-BR"/>
        </w:rPr>
        <w:t xml:space="preserve"> </w:t>
      </w:r>
      <w:r w:rsidR="00377E36">
        <w:rPr>
          <w:color w:val="000000" w:themeColor="text1"/>
          <w:lang w:val="pt-BR"/>
        </w:rPr>
        <w:t>A</w:t>
      </w:r>
      <w:r w:rsidRPr="00C32743">
        <w:rPr>
          <w:color w:val="000000" w:themeColor="text1"/>
          <w:lang w:val="pt-BR"/>
        </w:rPr>
        <w:t>dolescente Fernandes Figueira da Fundação Oswaldo Cruz</w:t>
      </w:r>
    </w:p>
    <w:p w14:paraId="0611CD19" w14:textId="3B6BC924" w:rsidR="00D20BC2" w:rsidRPr="00C32743" w:rsidRDefault="00D20BC2" w:rsidP="005303CB">
      <w:pPr>
        <w:pStyle w:val="Corpodetexto"/>
        <w:spacing w:line="360" w:lineRule="auto"/>
        <w:ind w:left="2552" w:hanging="2552"/>
        <w:jc w:val="both"/>
      </w:pPr>
      <w:r w:rsidRPr="00C32743">
        <w:t>Hospital das Clíninas da Universidade Federal de Minas</w:t>
      </w:r>
      <w:r w:rsidR="00377E36">
        <w:t xml:space="preserve"> </w:t>
      </w:r>
      <w:r w:rsidRPr="00C32743">
        <w:t>Gerais</w:t>
      </w:r>
    </w:p>
    <w:p w14:paraId="51836099" w14:textId="578EC59A" w:rsidR="00D20BC2" w:rsidRPr="00C32743" w:rsidRDefault="00D20BC2" w:rsidP="00D20BC2">
      <w:pPr>
        <w:pStyle w:val="Corpodetexto"/>
        <w:spacing w:line="360" w:lineRule="auto"/>
        <w:ind w:left="2552" w:hanging="2552"/>
        <w:jc w:val="both"/>
      </w:pPr>
      <w:r w:rsidRPr="00C32743">
        <w:t>Hospital Federal da Lagoa</w:t>
      </w:r>
    </w:p>
    <w:p w14:paraId="6827C3D0" w14:textId="716DAE78" w:rsidR="00D20BC2" w:rsidRPr="005303CB" w:rsidRDefault="00D20BC2" w:rsidP="00D20BC2">
      <w:pPr>
        <w:pStyle w:val="Corpodetexto"/>
        <w:spacing w:line="360" w:lineRule="auto"/>
        <w:ind w:left="2552" w:hanging="2552"/>
        <w:jc w:val="both"/>
        <w:rPr>
          <w:lang w:val="pt-BR"/>
        </w:rPr>
      </w:pPr>
      <w:r w:rsidRPr="00C32743">
        <w:rPr>
          <w:color w:val="222222"/>
          <w:lang w:val="pt-BR"/>
        </w:rPr>
        <w:t>Hospital da Universidade Federal do Sergipe</w:t>
      </w:r>
    </w:p>
    <w:p w14:paraId="33C2656C" w14:textId="77777777" w:rsidR="00A33774" w:rsidRDefault="00A33774" w:rsidP="009838BB">
      <w:pPr>
        <w:pStyle w:val="Corpodetexto"/>
        <w:spacing w:line="252" w:lineRule="auto"/>
        <w:ind w:left="2978" w:right="102" w:hanging="2552"/>
        <w:jc w:val="both"/>
      </w:pPr>
    </w:p>
    <w:p w14:paraId="33C2656D" w14:textId="77777777" w:rsidR="00A33774" w:rsidRDefault="00A33774" w:rsidP="00A33774">
      <w:pPr>
        <w:pStyle w:val="Corpodetexto"/>
        <w:spacing w:line="252" w:lineRule="auto"/>
        <w:ind w:left="2978" w:right="102" w:hanging="2552"/>
        <w:jc w:val="right"/>
        <w:rPr>
          <w:w w:val="110"/>
        </w:rPr>
      </w:pPr>
    </w:p>
    <w:p w14:paraId="33C2656E" w14:textId="1A91D308" w:rsidR="00A33774" w:rsidRDefault="00764759" w:rsidP="00A33774">
      <w:pPr>
        <w:pStyle w:val="Corpodetexto"/>
        <w:spacing w:line="252" w:lineRule="auto"/>
        <w:ind w:left="2978" w:right="102" w:hanging="2552"/>
        <w:jc w:val="right"/>
        <w:rPr>
          <w:w w:val="110"/>
        </w:rPr>
      </w:pPr>
      <w:r>
        <w:rPr>
          <w:w w:val="110"/>
        </w:rPr>
        <w:t>Rio de Janeiro, 10 de agosto de 2022</w:t>
      </w:r>
    </w:p>
    <w:sectPr w:rsidR="00A33774" w:rsidSect="00F65ADC">
      <w:footerReference w:type="default" r:id="rId12"/>
      <w:pgSz w:w="11900" w:h="16840"/>
      <w:pgMar w:top="851" w:right="843" w:bottom="709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7E30" w14:textId="77777777" w:rsidR="00B422AC" w:rsidRDefault="00B422AC" w:rsidP="005E4D2F">
      <w:r>
        <w:separator/>
      </w:r>
    </w:p>
  </w:endnote>
  <w:endnote w:type="continuationSeparator" w:id="0">
    <w:p w14:paraId="4153E819" w14:textId="77777777" w:rsidR="00B422AC" w:rsidRDefault="00B422AC" w:rsidP="005E4D2F">
      <w:r>
        <w:continuationSeparator/>
      </w:r>
    </w:p>
  </w:endnote>
  <w:endnote w:type="continuationNotice" w:id="1">
    <w:p w14:paraId="3D5D9EFB" w14:textId="77777777" w:rsidR="00B422AC" w:rsidRDefault="00B42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6598" w14:textId="77777777" w:rsidR="005E4D2F" w:rsidRDefault="005E4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3F91" w14:textId="77777777" w:rsidR="00B422AC" w:rsidRDefault="00B422AC" w:rsidP="005E4D2F">
      <w:r>
        <w:separator/>
      </w:r>
    </w:p>
  </w:footnote>
  <w:footnote w:type="continuationSeparator" w:id="0">
    <w:p w14:paraId="7F71032E" w14:textId="77777777" w:rsidR="00B422AC" w:rsidRDefault="00B422AC" w:rsidP="005E4D2F">
      <w:r>
        <w:continuationSeparator/>
      </w:r>
    </w:p>
  </w:footnote>
  <w:footnote w:type="continuationNotice" w:id="1">
    <w:p w14:paraId="1F45A800" w14:textId="77777777" w:rsidR="00B422AC" w:rsidRDefault="00B422AC"/>
  </w:footnote>
  <w:footnote w:id="2">
    <w:p w14:paraId="50588712" w14:textId="59B9D3E7" w:rsidR="00C470BE" w:rsidRPr="00C470BE" w:rsidRDefault="00C470B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Procedimentos especiais</w:t>
      </w:r>
      <w:r w:rsidR="00840661">
        <w:rPr>
          <w:lang w:val="pt-BR"/>
        </w:rPr>
        <w:t xml:space="preserve"> devem obedecer a legislação específica, tais como: transfusão de </w:t>
      </w:r>
      <w:r w:rsidR="00D34C4E">
        <w:rPr>
          <w:lang w:val="pt-BR"/>
        </w:rPr>
        <w:t>hemoderivados e componentes, hemodiálise, entre outros.</w:t>
      </w:r>
    </w:p>
  </w:footnote>
  <w:footnote w:id="3">
    <w:p w14:paraId="13395961" w14:textId="1201D709" w:rsidR="008E1387" w:rsidRPr="008E1387" w:rsidRDefault="008E138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784EC8">
        <w:t xml:space="preserve">A produção e inclusão dos registros </w:t>
      </w:r>
      <w:r>
        <w:rPr>
          <w:lang w:val="pt-BR"/>
        </w:rPr>
        <w:t xml:space="preserve">relativos à doação de órgãos e tecidos </w:t>
      </w:r>
      <w:r w:rsidR="00A660E2">
        <w:rPr>
          <w:lang w:val="pt-BR"/>
        </w:rPr>
        <w:t>devem obedecer às regulamentações específicas para controle e realização dos procedimentos.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4F14"/>
    <w:multiLevelType w:val="hybridMultilevel"/>
    <w:tmpl w:val="69CE73C4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0242"/>
    <w:multiLevelType w:val="hybridMultilevel"/>
    <w:tmpl w:val="A15A9D62"/>
    <w:lvl w:ilvl="0" w:tplc="2F4246B0">
      <w:start w:val="2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3CA"/>
    <w:multiLevelType w:val="multilevel"/>
    <w:tmpl w:val="F7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309ED"/>
    <w:multiLevelType w:val="hybridMultilevel"/>
    <w:tmpl w:val="DF8E0170"/>
    <w:lvl w:ilvl="0" w:tplc="EF6A4E0A">
      <w:start w:val="1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559D"/>
    <w:multiLevelType w:val="hybridMultilevel"/>
    <w:tmpl w:val="7E2A8762"/>
    <w:lvl w:ilvl="0" w:tplc="5C3E0C3C">
      <w:start w:val="1"/>
      <w:numFmt w:val="upperRoman"/>
      <w:lvlText w:val="%1"/>
      <w:lvlJc w:val="left"/>
      <w:pPr>
        <w:ind w:left="262" w:hanging="154"/>
      </w:pPr>
      <w:rPr>
        <w:rFonts w:ascii="Trebuchet MS" w:eastAsia="Trebuchet MS" w:hAnsi="Trebuchet MS" w:cs="Trebuchet MS" w:hint="default"/>
        <w:w w:val="108"/>
        <w:sz w:val="24"/>
        <w:szCs w:val="24"/>
        <w:lang w:val="pt-PT" w:eastAsia="en-US" w:bidi="ar-SA"/>
      </w:rPr>
    </w:lvl>
    <w:lvl w:ilvl="1" w:tplc="D8DE46B2">
      <w:numFmt w:val="bullet"/>
      <w:lvlText w:val="•"/>
      <w:lvlJc w:val="left"/>
      <w:pPr>
        <w:ind w:left="1308" w:hanging="154"/>
      </w:pPr>
      <w:rPr>
        <w:rFonts w:hint="default"/>
        <w:lang w:val="pt-PT" w:eastAsia="en-US" w:bidi="ar-SA"/>
      </w:rPr>
    </w:lvl>
    <w:lvl w:ilvl="2" w:tplc="A18E58BE">
      <w:numFmt w:val="bullet"/>
      <w:lvlText w:val="•"/>
      <w:lvlJc w:val="left"/>
      <w:pPr>
        <w:ind w:left="2356" w:hanging="154"/>
      </w:pPr>
      <w:rPr>
        <w:rFonts w:hint="default"/>
        <w:lang w:val="pt-PT" w:eastAsia="en-US" w:bidi="ar-SA"/>
      </w:rPr>
    </w:lvl>
    <w:lvl w:ilvl="3" w:tplc="DF14A940">
      <w:numFmt w:val="bullet"/>
      <w:lvlText w:val="•"/>
      <w:lvlJc w:val="left"/>
      <w:pPr>
        <w:ind w:left="3404" w:hanging="154"/>
      </w:pPr>
      <w:rPr>
        <w:rFonts w:hint="default"/>
        <w:lang w:val="pt-PT" w:eastAsia="en-US" w:bidi="ar-SA"/>
      </w:rPr>
    </w:lvl>
    <w:lvl w:ilvl="4" w:tplc="7EAE64DA">
      <w:numFmt w:val="bullet"/>
      <w:lvlText w:val="•"/>
      <w:lvlJc w:val="left"/>
      <w:pPr>
        <w:ind w:left="4452" w:hanging="154"/>
      </w:pPr>
      <w:rPr>
        <w:rFonts w:hint="default"/>
        <w:lang w:val="pt-PT" w:eastAsia="en-US" w:bidi="ar-SA"/>
      </w:rPr>
    </w:lvl>
    <w:lvl w:ilvl="5" w:tplc="6C185DDA">
      <w:numFmt w:val="bullet"/>
      <w:lvlText w:val="•"/>
      <w:lvlJc w:val="left"/>
      <w:pPr>
        <w:ind w:left="5500" w:hanging="154"/>
      </w:pPr>
      <w:rPr>
        <w:rFonts w:hint="default"/>
        <w:lang w:val="pt-PT" w:eastAsia="en-US" w:bidi="ar-SA"/>
      </w:rPr>
    </w:lvl>
    <w:lvl w:ilvl="6" w:tplc="12EC57D4">
      <w:numFmt w:val="bullet"/>
      <w:lvlText w:val="•"/>
      <w:lvlJc w:val="left"/>
      <w:pPr>
        <w:ind w:left="6548" w:hanging="154"/>
      </w:pPr>
      <w:rPr>
        <w:rFonts w:hint="default"/>
        <w:lang w:val="pt-PT" w:eastAsia="en-US" w:bidi="ar-SA"/>
      </w:rPr>
    </w:lvl>
    <w:lvl w:ilvl="7" w:tplc="F83A6FC0">
      <w:numFmt w:val="bullet"/>
      <w:lvlText w:val="•"/>
      <w:lvlJc w:val="left"/>
      <w:pPr>
        <w:ind w:left="7596" w:hanging="154"/>
      </w:pPr>
      <w:rPr>
        <w:rFonts w:hint="default"/>
        <w:lang w:val="pt-PT" w:eastAsia="en-US" w:bidi="ar-SA"/>
      </w:rPr>
    </w:lvl>
    <w:lvl w:ilvl="8" w:tplc="B120CFF4">
      <w:numFmt w:val="bullet"/>
      <w:lvlText w:val="•"/>
      <w:lvlJc w:val="left"/>
      <w:pPr>
        <w:ind w:left="8644" w:hanging="154"/>
      </w:pPr>
      <w:rPr>
        <w:rFonts w:hint="default"/>
        <w:lang w:val="pt-PT" w:eastAsia="en-US" w:bidi="ar-SA"/>
      </w:rPr>
    </w:lvl>
  </w:abstractNum>
  <w:abstractNum w:abstractNumId="5" w15:restartNumberingAfterBreak="0">
    <w:nsid w:val="26D200EE"/>
    <w:multiLevelType w:val="hybridMultilevel"/>
    <w:tmpl w:val="6E1CABB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1549" w:hanging="360"/>
      </w:pPr>
    </w:lvl>
    <w:lvl w:ilvl="2" w:tplc="0416001B" w:tentative="1">
      <w:start w:val="1"/>
      <w:numFmt w:val="lowerRoman"/>
      <w:lvlText w:val="%3."/>
      <w:lvlJc w:val="right"/>
      <w:pPr>
        <w:ind w:left="2269" w:hanging="180"/>
      </w:pPr>
    </w:lvl>
    <w:lvl w:ilvl="3" w:tplc="0416000F" w:tentative="1">
      <w:start w:val="1"/>
      <w:numFmt w:val="decimal"/>
      <w:lvlText w:val="%4."/>
      <w:lvlJc w:val="left"/>
      <w:pPr>
        <w:ind w:left="2989" w:hanging="360"/>
      </w:pPr>
    </w:lvl>
    <w:lvl w:ilvl="4" w:tplc="04160019" w:tentative="1">
      <w:start w:val="1"/>
      <w:numFmt w:val="lowerLetter"/>
      <w:lvlText w:val="%5."/>
      <w:lvlJc w:val="left"/>
      <w:pPr>
        <w:ind w:left="3709" w:hanging="360"/>
      </w:pPr>
    </w:lvl>
    <w:lvl w:ilvl="5" w:tplc="0416001B" w:tentative="1">
      <w:start w:val="1"/>
      <w:numFmt w:val="lowerRoman"/>
      <w:lvlText w:val="%6."/>
      <w:lvlJc w:val="right"/>
      <w:pPr>
        <w:ind w:left="4429" w:hanging="180"/>
      </w:pPr>
    </w:lvl>
    <w:lvl w:ilvl="6" w:tplc="0416000F" w:tentative="1">
      <w:start w:val="1"/>
      <w:numFmt w:val="decimal"/>
      <w:lvlText w:val="%7."/>
      <w:lvlJc w:val="left"/>
      <w:pPr>
        <w:ind w:left="5149" w:hanging="360"/>
      </w:pPr>
    </w:lvl>
    <w:lvl w:ilvl="7" w:tplc="04160019" w:tentative="1">
      <w:start w:val="1"/>
      <w:numFmt w:val="lowerLetter"/>
      <w:lvlText w:val="%8."/>
      <w:lvlJc w:val="left"/>
      <w:pPr>
        <w:ind w:left="5869" w:hanging="360"/>
      </w:pPr>
    </w:lvl>
    <w:lvl w:ilvl="8" w:tplc="0416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 w15:restartNumberingAfterBreak="0">
    <w:nsid w:val="2C3A7373"/>
    <w:multiLevelType w:val="hybridMultilevel"/>
    <w:tmpl w:val="A2A64A8C"/>
    <w:lvl w:ilvl="0" w:tplc="036A4EE8">
      <w:start w:val="1"/>
      <w:numFmt w:val="decimal"/>
      <w:lvlText w:val="%1."/>
      <w:lvlJc w:val="left"/>
      <w:pPr>
        <w:ind w:left="3402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9" w:hanging="360"/>
      </w:pPr>
    </w:lvl>
    <w:lvl w:ilvl="2" w:tplc="0416001B" w:tentative="1">
      <w:start w:val="1"/>
      <w:numFmt w:val="lowerRoman"/>
      <w:lvlText w:val="%3."/>
      <w:lvlJc w:val="right"/>
      <w:pPr>
        <w:ind w:left="2269" w:hanging="180"/>
      </w:pPr>
    </w:lvl>
    <w:lvl w:ilvl="3" w:tplc="0416000F" w:tentative="1">
      <w:start w:val="1"/>
      <w:numFmt w:val="decimal"/>
      <w:lvlText w:val="%4."/>
      <w:lvlJc w:val="left"/>
      <w:pPr>
        <w:ind w:left="2989" w:hanging="360"/>
      </w:pPr>
    </w:lvl>
    <w:lvl w:ilvl="4" w:tplc="04160019" w:tentative="1">
      <w:start w:val="1"/>
      <w:numFmt w:val="lowerLetter"/>
      <w:lvlText w:val="%5."/>
      <w:lvlJc w:val="left"/>
      <w:pPr>
        <w:ind w:left="3709" w:hanging="360"/>
      </w:pPr>
    </w:lvl>
    <w:lvl w:ilvl="5" w:tplc="0416001B" w:tentative="1">
      <w:start w:val="1"/>
      <w:numFmt w:val="lowerRoman"/>
      <w:lvlText w:val="%6."/>
      <w:lvlJc w:val="right"/>
      <w:pPr>
        <w:ind w:left="4429" w:hanging="180"/>
      </w:pPr>
    </w:lvl>
    <w:lvl w:ilvl="6" w:tplc="0416000F" w:tentative="1">
      <w:start w:val="1"/>
      <w:numFmt w:val="decimal"/>
      <w:lvlText w:val="%7."/>
      <w:lvlJc w:val="left"/>
      <w:pPr>
        <w:ind w:left="5149" w:hanging="360"/>
      </w:pPr>
    </w:lvl>
    <w:lvl w:ilvl="7" w:tplc="04160019" w:tentative="1">
      <w:start w:val="1"/>
      <w:numFmt w:val="lowerLetter"/>
      <w:lvlText w:val="%8."/>
      <w:lvlJc w:val="left"/>
      <w:pPr>
        <w:ind w:left="5869" w:hanging="360"/>
      </w:pPr>
    </w:lvl>
    <w:lvl w:ilvl="8" w:tplc="0416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32FB0CFF"/>
    <w:multiLevelType w:val="hybridMultilevel"/>
    <w:tmpl w:val="A4640986"/>
    <w:lvl w:ilvl="0" w:tplc="B2667E68">
      <w:start w:val="1"/>
      <w:numFmt w:val="decimal"/>
      <w:lvlText w:val="(%1)"/>
      <w:lvlJc w:val="left"/>
      <w:pPr>
        <w:ind w:left="524" w:hanging="415"/>
      </w:pPr>
      <w:rPr>
        <w:rFonts w:ascii="Trebuchet MS" w:eastAsia="Trebuchet MS" w:hAnsi="Trebuchet MS" w:cs="Trebuchet MS" w:hint="default"/>
        <w:spacing w:val="-4"/>
        <w:w w:val="108"/>
        <w:sz w:val="24"/>
        <w:szCs w:val="24"/>
        <w:lang w:val="pt-PT" w:eastAsia="en-US" w:bidi="ar-SA"/>
      </w:rPr>
    </w:lvl>
    <w:lvl w:ilvl="1" w:tplc="E32E0C6A">
      <w:numFmt w:val="bullet"/>
      <w:lvlText w:val="•"/>
      <w:lvlJc w:val="left"/>
      <w:pPr>
        <w:ind w:left="1542" w:hanging="415"/>
      </w:pPr>
      <w:rPr>
        <w:rFonts w:hint="default"/>
        <w:lang w:val="pt-PT" w:eastAsia="en-US" w:bidi="ar-SA"/>
      </w:rPr>
    </w:lvl>
    <w:lvl w:ilvl="2" w:tplc="7FEE4B9E">
      <w:numFmt w:val="bullet"/>
      <w:lvlText w:val="•"/>
      <w:lvlJc w:val="left"/>
      <w:pPr>
        <w:ind w:left="2564" w:hanging="415"/>
      </w:pPr>
      <w:rPr>
        <w:rFonts w:hint="default"/>
        <w:lang w:val="pt-PT" w:eastAsia="en-US" w:bidi="ar-SA"/>
      </w:rPr>
    </w:lvl>
    <w:lvl w:ilvl="3" w:tplc="4AC028D8">
      <w:numFmt w:val="bullet"/>
      <w:lvlText w:val="•"/>
      <w:lvlJc w:val="left"/>
      <w:pPr>
        <w:ind w:left="3586" w:hanging="415"/>
      </w:pPr>
      <w:rPr>
        <w:rFonts w:hint="default"/>
        <w:lang w:val="pt-PT" w:eastAsia="en-US" w:bidi="ar-SA"/>
      </w:rPr>
    </w:lvl>
    <w:lvl w:ilvl="4" w:tplc="5D9E0836">
      <w:numFmt w:val="bullet"/>
      <w:lvlText w:val="•"/>
      <w:lvlJc w:val="left"/>
      <w:pPr>
        <w:ind w:left="4608" w:hanging="415"/>
      </w:pPr>
      <w:rPr>
        <w:rFonts w:hint="default"/>
        <w:lang w:val="pt-PT" w:eastAsia="en-US" w:bidi="ar-SA"/>
      </w:rPr>
    </w:lvl>
    <w:lvl w:ilvl="5" w:tplc="7BBC6DBE">
      <w:numFmt w:val="bullet"/>
      <w:lvlText w:val="•"/>
      <w:lvlJc w:val="left"/>
      <w:pPr>
        <w:ind w:left="5630" w:hanging="415"/>
      </w:pPr>
      <w:rPr>
        <w:rFonts w:hint="default"/>
        <w:lang w:val="pt-PT" w:eastAsia="en-US" w:bidi="ar-SA"/>
      </w:rPr>
    </w:lvl>
    <w:lvl w:ilvl="6" w:tplc="8E5AA082">
      <w:numFmt w:val="bullet"/>
      <w:lvlText w:val="•"/>
      <w:lvlJc w:val="left"/>
      <w:pPr>
        <w:ind w:left="6652" w:hanging="415"/>
      </w:pPr>
      <w:rPr>
        <w:rFonts w:hint="default"/>
        <w:lang w:val="pt-PT" w:eastAsia="en-US" w:bidi="ar-SA"/>
      </w:rPr>
    </w:lvl>
    <w:lvl w:ilvl="7" w:tplc="2AEAD3C2">
      <w:numFmt w:val="bullet"/>
      <w:lvlText w:val="•"/>
      <w:lvlJc w:val="left"/>
      <w:pPr>
        <w:ind w:left="7674" w:hanging="415"/>
      </w:pPr>
      <w:rPr>
        <w:rFonts w:hint="default"/>
        <w:lang w:val="pt-PT" w:eastAsia="en-US" w:bidi="ar-SA"/>
      </w:rPr>
    </w:lvl>
    <w:lvl w:ilvl="8" w:tplc="4B461BF2">
      <w:numFmt w:val="bullet"/>
      <w:lvlText w:val="•"/>
      <w:lvlJc w:val="left"/>
      <w:pPr>
        <w:ind w:left="8696" w:hanging="415"/>
      </w:pPr>
      <w:rPr>
        <w:rFonts w:hint="default"/>
        <w:lang w:val="pt-PT" w:eastAsia="en-US" w:bidi="ar-SA"/>
      </w:rPr>
    </w:lvl>
  </w:abstractNum>
  <w:abstractNum w:abstractNumId="8" w15:restartNumberingAfterBreak="0">
    <w:nsid w:val="3C0008F0"/>
    <w:multiLevelType w:val="hybridMultilevel"/>
    <w:tmpl w:val="33EE7EA8"/>
    <w:lvl w:ilvl="0" w:tplc="3038238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" w:hanging="360"/>
      </w:pPr>
    </w:lvl>
    <w:lvl w:ilvl="2" w:tplc="0416001B" w:tentative="1">
      <w:start w:val="1"/>
      <w:numFmt w:val="lowerRoman"/>
      <w:lvlText w:val="%3."/>
      <w:lvlJc w:val="right"/>
      <w:pPr>
        <w:ind w:left="883" w:hanging="180"/>
      </w:pPr>
    </w:lvl>
    <w:lvl w:ilvl="3" w:tplc="0416000F" w:tentative="1">
      <w:start w:val="1"/>
      <w:numFmt w:val="decimal"/>
      <w:lvlText w:val="%4."/>
      <w:lvlJc w:val="left"/>
      <w:pPr>
        <w:ind w:left="1603" w:hanging="360"/>
      </w:pPr>
    </w:lvl>
    <w:lvl w:ilvl="4" w:tplc="04160019" w:tentative="1">
      <w:start w:val="1"/>
      <w:numFmt w:val="lowerLetter"/>
      <w:lvlText w:val="%5."/>
      <w:lvlJc w:val="left"/>
      <w:pPr>
        <w:ind w:left="2323" w:hanging="360"/>
      </w:pPr>
    </w:lvl>
    <w:lvl w:ilvl="5" w:tplc="0416001B" w:tentative="1">
      <w:start w:val="1"/>
      <w:numFmt w:val="lowerRoman"/>
      <w:lvlText w:val="%6."/>
      <w:lvlJc w:val="right"/>
      <w:pPr>
        <w:ind w:left="3043" w:hanging="180"/>
      </w:pPr>
    </w:lvl>
    <w:lvl w:ilvl="6" w:tplc="0416000F" w:tentative="1">
      <w:start w:val="1"/>
      <w:numFmt w:val="decimal"/>
      <w:lvlText w:val="%7."/>
      <w:lvlJc w:val="left"/>
      <w:pPr>
        <w:ind w:left="3763" w:hanging="360"/>
      </w:pPr>
    </w:lvl>
    <w:lvl w:ilvl="7" w:tplc="04160019" w:tentative="1">
      <w:start w:val="1"/>
      <w:numFmt w:val="lowerLetter"/>
      <w:lvlText w:val="%8."/>
      <w:lvlJc w:val="left"/>
      <w:pPr>
        <w:ind w:left="4483" w:hanging="360"/>
      </w:pPr>
    </w:lvl>
    <w:lvl w:ilvl="8" w:tplc="0416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9" w15:restartNumberingAfterBreak="0">
    <w:nsid w:val="4A3A450B"/>
    <w:multiLevelType w:val="hybridMultilevel"/>
    <w:tmpl w:val="F63AAEA0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63" w:hanging="360"/>
      </w:pPr>
    </w:lvl>
    <w:lvl w:ilvl="2" w:tplc="0416001B" w:tentative="1">
      <w:start w:val="1"/>
      <w:numFmt w:val="lowerRoman"/>
      <w:lvlText w:val="%3."/>
      <w:lvlJc w:val="right"/>
      <w:pPr>
        <w:ind w:left="883" w:hanging="180"/>
      </w:pPr>
    </w:lvl>
    <w:lvl w:ilvl="3" w:tplc="0416000F" w:tentative="1">
      <w:start w:val="1"/>
      <w:numFmt w:val="decimal"/>
      <w:lvlText w:val="%4."/>
      <w:lvlJc w:val="left"/>
      <w:pPr>
        <w:ind w:left="1603" w:hanging="360"/>
      </w:pPr>
    </w:lvl>
    <w:lvl w:ilvl="4" w:tplc="04160019" w:tentative="1">
      <w:start w:val="1"/>
      <w:numFmt w:val="lowerLetter"/>
      <w:lvlText w:val="%5."/>
      <w:lvlJc w:val="left"/>
      <w:pPr>
        <w:ind w:left="2323" w:hanging="360"/>
      </w:pPr>
    </w:lvl>
    <w:lvl w:ilvl="5" w:tplc="0416001B" w:tentative="1">
      <w:start w:val="1"/>
      <w:numFmt w:val="lowerRoman"/>
      <w:lvlText w:val="%6."/>
      <w:lvlJc w:val="right"/>
      <w:pPr>
        <w:ind w:left="3043" w:hanging="180"/>
      </w:pPr>
    </w:lvl>
    <w:lvl w:ilvl="6" w:tplc="0416000F" w:tentative="1">
      <w:start w:val="1"/>
      <w:numFmt w:val="decimal"/>
      <w:lvlText w:val="%7."/>
      <w:lvlJc w:val="left"/>
      <w:pPr>
        <w:ind w:left="3763" w:hanging="360"/>
      </w:pPr>
    </w:lvl>
    <w:lvl w:ilvl="7" w:tplc="04160019" w:tentative="1">
      <w:start w:val="1"/>
      <w:numFmt w:val="lowerLetter"/>
      <w:lvlText w:val="%8."/>
      <w:lvlJc w:val="left"/>
      <w:pPr>
        <w:ind w:left="4483" w:hanging="360"/>
      </w:pPr>
    </w:lvl>
    <w:lvl w:ilvl="8" w:tplc="0416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0" w15:restartNumberingAfterBreak="0">
    <w:nsid w:val="68C75F8F"/>
    <w:multiLevelType w:val="multilevel"/>
    <w:tmpl w:val="697C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74750"/>
    <w:multiLevelType w:val="multilevel"/>
    <w:tmpl w:val="2B9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2F"/>
    <w:rsid w:val="0003118B"/>
    <w:rsid w:val="00031944"/>
    <w:rsid w:val="00042137"/>
    <w:rsid w:val="000509EB"/>
    <w:rsid w:val="000729F4"/>
    <w:rsid w:val="0007464B"/>
    <w:rsid w:val="0007581B"/>
    <w:rsid w:val="000955D6"/>
    <w:rsid w:val="000967E1"/>
    <w:rsid w:val="00097680"/>
    <w:rsid w:val="000A2D28"/>
    <w:rsid w:val="000B587C"/>
    <w:rsid w:val="000B77ED"/>
    <w:rsid w:val="000C0F8B"/>
    <w:rsid w:val="000C6E07"/>
    <w:rsid w:val="000D2EE6"/>
    <w:rsid w:val="000EC601"/>
    <w:rsid w:val="000F1CCB"/>
    <w:rsid w:val="000F687D"/>
    <w:rsid w:val="00104BB3"/>
    <w:rsid w:val="00106542"/>
    <w:rsid w:val="001168A9"/>
    <w:rsid w:val="00131044"/>
    <w:rsid w:val="00131BFB"/>
    <w:rsid w:val="0013232D"/>
    <w:rsid w:val="00135947"/>
    <w:rsid w:val="001373E8"/>
    <w:rsid w:val="001378F7"/>
    <w:rsid w:val="00141A84"/>
    <w:rsid w:val="00142B1B"/>
    <w:rsid w:val="00147A1D"/>
    <w:rsid w:val="00155894"/>
    <w:rsid w:val="00164E78"/>
    <w:rsid w:val="001673FB"/>
    <w:rsid w:val="001729FA"/>
    <w:rsid w:val="00175F61"/>
    <w:rsid w:val="00186941"/>
    <w:rsid w:val="00193867"/>
    <w:rsid w:val="00196194"/>
    <w:rsid w:val="001A0538"/>
    <w:rsid w:val="001A0F7B"/>
    <w:rsid w:val="001A3CAA"/>
    <w:rsid w:val="001C35A1"/>
    <w:rsid w:val="001C6060"/>
    <w:rsid w:val="001D158C"/>
    <w:rsid w:val="001D41DC"/>
    <w:rsid w:val="001E08B1"/>
    <w:rsid w:val="001E6E7F"/>
    <w:rsid w:val="001F28D0"/>
    <w:rsid w:val="00206B41"/>
    <w:rsid w:val="00231300"/>
    <w:rsid w:val="00236BAA"/>
    <w:rsid w:val="00244147"/>
    <w:rsid w:val="002452A1"/>
    <w:rsid w:val="00254466"/>
    <w:rsid w:val="00281C09"/>
    <w:rsid w:val="002877CF"/>
    <w:rsid w:val="0029447D"/>
    <w:rsid w:val="002A1031"/>
    <w:rsid w:val="002A1BAB"/>
    <w:rsid w:val="002A6155"/>
    <w:rsid w:val="002D525D"/>
    <w:rsid w:val="002E23D6"/>
    <w:rsid w:val="002E2E79"/>
    <w:rsid w:val="002E49FA"/>
    <w:rsid w:val="002F2A0F"/>
    <w:rsid w:val="002F2C52"/>
    <w:rsid w:val="00304AD7"/>
    <w:rsid w:val="00313159"/>
    <w:rsid w:val="003155A9"/>
    <w:rsid w:val="00336623"/>
    <w:rsid w:val="00343457"/>
    <w:rsid w:val="0034727A"/>
    <w:rsid w:val="00352D5B"/>
    <w:rsid w:val="00361868"/>
    <w:rsid w:val="00365BD4"/>
    <w:rsid w:val="00377E36"/>
    <w:rsid w:val="00393CF1"/>
    <w:rsid w:val="00393FC6"/>
    <w:rsid w:val="00395985"/>
    <w:rsid w:val="003B59FF"/>
    <w:rsid w:val="003C44E2"/>
    <w:rsid w:val="003D4697"/>
    <w:rsid w:val="003E636A"/>
    <w:rsid w:val="003F1FAB"/>
    <w:rsid w:val="003F3A1F"/>
    <w:rsid w:val="003F78DE"/>
    <w:rsid w:val="00404A96"/>
    <w:rsid w:val="0040632E"/>
    <w:rsid w:val="00415DC0"/>
    <w:rsid w:val="004264F3"/>
    <w:rsid w:val="00427BBA"/>
    <w:rsid w:val="00441938"/>
    <w:rsid w:val="00445989"/>
    <w:rsid w:val="0046779A"/>
    <w:rsid w:val="004766B4"/>
    <w:rsid w:val="00484B54"/>
    <w:rsid w:val="0049205A"/>
    <w:rsid w:val="004923CE"/>
    <w:rsid w:val="0049420C"/>
    <w:rsid w:val="004B1343"/>
    <w:rsid w:val="004B5002"/>
    <w:rsid w:val="004B5DCA"/>
    <w:rsid w:val="004D1F87"/>
    <w:rsid w:val="004D4000"/>
    <w:rsid w:val="004D73C0"/>
    <w:rsid w:val="004E0D98"/>
    <w:rsid w:val="004F2F9D"/>
    <w:rsid w:val="00514160"/>
    <w:rsid w:val="0051599B"/>
    <w:rsid w:val="00521788"/>
    <w:rsid w:val="00524700"/>
    <w:rsid w:val="005303CB"/>
    <w:rsid w:val="00536687"/>
    <w:rsid w:val="00544858"/>
    <w:rsid w:val="005611B3"/>
    <w:rsid w:val="00566185"/>
    <w:rsid w:val="00575684"/>
    <w:rsid w:val="00577875"/>
    <w:rsid w:val="005919EC"/>
    <w:rsid w:val="005B79F7"/>
    <w:rsid w:val="005E27FC"/>
    <w:rsid w:val="005E4D2F"/>
    <w:rsid w:val="005F4917"/>
    <w:rsid w:val="005F7351"/>
    <w:rsid w:val="00604E5F"/>
    <w:rsid w:val="006127EC"/>
    <w:rsid w:val="00613581"/>
    <w:rsid w:val="00613F05"/>
    <w:rsid w:val="006208C3"/>
    <w:rsid w:val="00620FBA"/>
    <w:rsid w:val="00631B95"/>
    <w:rsid w:val="00632770"/>
    <w:rsid w:val="00673BCE"/>
    <w:rsid w:val="006742A2"/>
    <w:rsid w:val="0068456C"/>
    <w:rsid w:val="00686B8E"/>
    <w:rsid w:val="00690C38"/>
    <w:rsid w:val="00691D78"/>
    <w:rsid w:val="006D05CB"/>
    <w:rsid w:val="006F5CA5"/>
    <w:rsid w:val="007051B3"/>
    <w:rsid w:val="0072416A"/>
    <w:rsid w:val="00731A36"/>
    <w:rsid w:val="00732892"/>
    <w:rsid w:val="007343A6"/>
    <w:rsid w:val="00740177"/>
    <w:rsid w:val="007418B4"/>
    <w:rsid w:val="00742894"/>
    <w:rsid w:val="00746C93"/>
    <w:rsid w:val="00750801"/>
    <w:rsid w:val="0076130E"/>
    <w:rsid w:val="00764759"/>
    <w:rsid w:val="00775D37"/>
    <w:rsid w:val="0078015B"/>
    <w:rsid w:val="00784EC8"/>
    <w:rsid w:val="007858E4"/>
    <w:rsid w:val="00787F69"/>
    <w:rsid w:val="00791B5E"/>
    <w:rsid w:val="007B004E"/>
    <w:rsid w:val="007B74A9"/>
    <w:rsid w:val="007D23A9"/>
    <w:rsid w:val="007D44BF"/>
    <w:rsid w:val="007E2E32"/>
    <w:rsid w:val="007F1062"/>
    <w:rsid w:val="007F1BEC"/>
    <w:rsid w:val="007F1FC4"/>
    <w:rsid w:val="007F25FF"/>
    <w:rsid w:val="007F2CDA"/>
    <w:rsid w:val="007F5126"/>
    <w:rsid w:val="00804D7F"/>
    <w:rsid w:val="00810300"/>
    <w:rsid w:val="00815EAA"/>
    <w:rsid w:val="008274B2"/>
    <w:rsid w:val="00835DDC"/>
    <w:rsid w:val="00836FCA"/>
    <w:rsid w:val="00840661"/>
    <w:rsid w:val="00842355"/>
    <w:rsid w:val="00844461"/>
    <w:rsid w:val="008500A0"/>
    <w:rsid w:val="008508BF"/>
    <w:rsid w:val="0085556B"/>
    <w:rsid w:val="00864021"/>
    <w:rsid w:val="008739C9"/>
    <w:rsid w:val="008A15E4"/>
    <w:rsid w:val="008B17AC"/>
    <w:rsid w:val="008B1864"/>
    <w:rsid w:val="008B333D"/>
    <w:rsid w:val="008C5C5B"/>
    <w:rsid w:val="008C6CCF"/>
    <w:rsid w:val="008D784B"/>
    <w:rsid w:val="008E1387"/>
    <w:rsid w:val="008F122D"/>
    <w:rsid w:val="008F1DA0"/>
    <w:rsid w:val="008F50D4"/>
    <w:rsid w:val="009060A5"/>
    <w:rsid w:val="009107E2"/>
    <w:rsid w:val="009141D5"/>
    <w:rsid w:val="00930BEF"/>
    <w:rsid w:val="0094061E"/>
    <w:rsid w:val="00955745"/>
    <w:rsid w:val="0096614B"/>
    <w:rsid w:val="00970883"/>
    <w:rsid w:val="00973C33"/>
    <w:rsid w:val="009838BB"/>
    <w:rsid w:val="00990E7B"/>
    <w:rsid w:val="0099129C"/>
    <w:rsid w:val="00995567"/>
    <w:rsid w:val="009A5943"/>
    <w:rsid w:val="009A6937"/>
    <w:rsid w:val="009B6E07"/>
    <w:rsid w:val="009E3EA4"/>
    <w:rsid w:val="00A021F4"/>
    <w:rsid w:val="00A06375"/>
    <w:rsid w:val="00A1018A"/>
    <w:rsid w:val="00A13896"/>
    <w:rsid w:val="00A1799F"/>
    <w:rsid w:val="00A25124"/>
    <w:rsid w:val="00A26D18"/>
    <w:rsid w:val="00A32C2A"/>
    <w:rsid w:val="00A33774"/>
    <w:rsid w:val="00A4305D"/>
    <w:rsid w:val="00A50895"/>
    <w:rsid w:val="00A62B29"/>
    <w:rsid w:val="00A660E2"/>
    <w:rsid w:val="00A72250"/>
    <w:rsid w:val="00A73C90"/>
    <w:rsid w:val="00A74394"/>
    <w:rsid w:val="00A743E1"/>
    <w:rsid w:val="00AA4EC2"/>
    <w:rsid w:val="00AB1831"/>
    <w:rsid w:val="00AB7299"/>
    <w:rsid w:val="00AD199F"/>
    <w:rsid w:val="00AE108A"/>
    <w:rsid w:val="00AE29B5"/>
    <w:rsid w:val="00AE53EC"/>
    <w:rsid w:val="00AE7170"/>
    <w:rsid w:val="00AF028F"/>
    <w:rsid w:val="00AF2C90"/>
    <w:rsid w:val="00AF2DA2"/>
    <w:rsid w:val="00AF7B35"/>
    <w:rsid w:val="00B00824"/>
    <w:rsid w:val="00B038A6"/>
    <w:rsid w:val="00B14DDC"/>
    <w:rsid w:val="00B30C8F"/>
    <w:rsid w:val="00B35481"/>
    <w:rsid w:val="00B376ED"/>
    <w:rsid w:val="00B422AC"/>
    <w:rsid w:val="00B51C02"/>
    <w:rsid w:val="00B560C2"/>
    <w:rsid w:val="00B668B7"/>
    <w:rsid w:val="00B736D9"/>
    <w:rsid w:val="00B74BAD"/>
    <w:rsid w:val="00B8037D"/>
    <w:rsid w:val="00B81C29"/>
    <w:rsid w:val="00B82868"/>
    <w:rsid w:val="00B92B5C"/>
    <w:rsid w:val="00B931E6"/>
    <w:rsid w:val="00B97DC9"/>
    <w:rsid w:val="00BA1851"/>
    <w:rsid w:val="00BA7D2B"/>
    <w:rsid w:val="00BB19E5"/>
    <w:rsid w:val="00BC4301"/>
    <w:rsid w:val="00BD727B"/>
    <w:rsid w:val="00BE1973"/>
    <w:rsid w:val="00BE3218"/>
    <w:rsid w:val="00C10F35"/>
    <w:rsid w:val="00C26984"/>
    <w:rsid w:val="00C27272"/>
    <w:rsid w:val="00C32743"/>
    <w:rsid w:val="00C470BE"/>
    <w:rsid w:val="00C54EBF"/>
    <w:rsid w:val="00C606CE"/>
    <w:rsid w:val="00C6325E"/>
    <w:rsid w:val="00C7011B"/>
    <w:rsid w:val="00C73042"/>
    <w:rsid w:val="00C8079C"/>
    <w:rsid w:val="00C8658E"/>
    <w:rsid w:val="00C902BB"/>
    <w:rsid w:val="00C91F86"/>
    <w:rsid w:val="00C95F87"/>
    <w:rsid w:val="00C97E88"/>
    <w:rsid w:val="00CA0513"/>
    <w:rsid w:val="00CB0903"/>
    <w:rsid w:val="00CC04FE"/>
    <w:rsid w:val="00CD488D"/>
    <w:rsid w:val="00CD77C4"/>
    <w:rsid w:val="00CE0A26"/>
    <w:rsid w:val="00CE3782"/>
    <w:rsid w:val="00CF27AC"/>
    <w:rsid w:val="00CF4204"/>
    <w:rsid w:val="00D00842"/>
    <w:rsid w:val="00D0168D"/>
    <w:rsid w:val="00D06502"/>
    <w:rsid w:val="00D139AD"/>
    <w:rsid w:val="00D20BC2"/>
    <w:rsid w:val="00D22452"/>
    <w:rsid w:val="00D34C4E"/>
    <w:rsid w:val="00D36B80"/>
    <w:rsid w:val="00D416D4"/>
    <w:rsid w:val="00D50414"/>
    <w:rsid w:val="00D514D6"/>
    <w:rsid w:val="00D52310"/>
    <w:rsid w:val="00D56A10"/>
    <w:rsid w:val="00D70A1A"/>
    <w:rsid w:val="00D72F92"/>
    <w:rsid w:val="00D73ADC"/>
    <w:rsid w:val="00D82108"/>
    <w:rsid w:val="00D82E58"/>
    <w:rsid w:val="00D95509"/>
    <w:rsid w:val="00DA64A5"/>
    <w:rsid w:val="00DA7E46"/>
    <w:rsid w:val="00DC72AA"/>
    <w:rsid w:val="00DC75DA"/>
    <w:rsid w:val="00DE089F"/>
    <w:rsid w:val="00DE5DB9"/>
    <w:rsid w:val="00E00131"/>
    <w:rsid w:val="00E00AF4"/>
    <w:rsid w:val="00E21143"/>
    <w:rsid w:val="00E277B9"/>
    <w:rsid w:val="00E27DB5"/>
    <w:rsid w:val="00E35D6B"/>
    <w:rsid w:val="00E577B9"/>
    <w:rsid w:val="00E63203"/>
    <w:rsid w:val="00E63F63"/>
    <w:rsid w:val="00E71A7A"/>
    <w:rsid w:val="00E71DDC"/>
    <w:rsid w:val="00E81972"/>
    <w:rsid w:val="00E95EE9"/>
    <w:rsid w:val="00E97284"/>
    <w:rsid w:val="00E97D5B"/>
    <w:rsid w:val="00EA4499"/>
    <w:rsid w:val="00EB3944"/>
    <w:rsid w:val="00ED63EA"/>
    <w:rsid w:val="00EE3ECB"/>
    <w:rsid w:val="00EE46FD"/>
    <w:rsid w:val="00EF1093"/>
    <w:rsid w:val="00EF437F"/>
    <w:rsid w:val="00F04FBA"/>
    <w:rsid w:val="00F11C84"/>
    <w:rsid w:val="00F14CB4"/>
    <w:rsid w:val="00F163E6"/>
    <w:rsid w:val="00F32932"/>
    <w:rsid w:val="00F50CBA"/>
    <w:rsid w:val="00F602B0"/>
    <w:rsid w:val="00F65ADC"/>
    <w:rsid w:val="00F830E2"/>
    <w:rsid w:val="00F838C7"/>
    <w:rsid w:val="00F94701"/>
    <w:rsid w:val="00F95ECD"/>
    <w:rsid w:val="00FA1BBE"/>
    <w:rsid w:val="00FA26C7"/>
    <w:rsid w:val="00FB598D"/>
    <w:rsid w:val="00FC7B9F"/>
    <w:rsid w:val="00FD2383"/>
    <w:rsid w:val="00FD25B2"/>
    <w:rsid w:val="00FD3BC2"/>
    <w:rsid w:val="00FF23F6"/>
    <w:rsid w:val="0226F426"/>
    <w:rsid w:val="02362781"/>
    <w:rsid w:val="024681A4"/>
    <w:rsid w:val="0424E84B"/>
    <w:rsid w:val="05190A74"/>
    <w:rsid w:val="055E94E8"/>
    <w:rsid w:val="05BC1E3B"/>
    <w:rsid w:val="06B4DAD5"/>
    <w:rsid w:val="06F05618"/>
    <w:rsid w:val="07821C85"/>
    <w:rsid w:val="078276C6"/>
    <w:rsid w:val="08E7F365"/>
    <w:rsid w:val="093C216D"/>
    <w:rsid w:val="09EC7B97"/>
    <w:rsid w:val="0AAC8D88"/>
    <w:rsid w:val="0ABA1788"/>
    <w:rsid w:val="0B62BC6E"/>
    <w:rsid w:val="0B884BF8"/>
    <w:rsid w:val="0CA67CB7"/>
    <w:rsid w:val="0F0A5963"/>
    <w:rsid w:val="0FE53E36"/>
    <w:rsid w:val="1129590C"/>
    <w:rsid w:val="11E509C9"/>
    <w:rsid w:val="129EADB2"/>
    <w:rsid w:val="135594C3"/>
    <w:rsid w:val="139F882F"/>
    <w:rsid w:val="13EB7956"/>
    <w:rsid w:val="151CAA8B"/>
    <w:rsid w:val="161883EB"/>
    <w:rsid w:val="16C7E077"/>
    <w:rsid w:val="1840D0D1"/>
    <w:rsid w:val="18499C09"/>
    <w:rsid w:val="18A43A18"/>
    <w:rsid w:val="193BFE36"/>
    <w:rsid w:val="1AD40B91"/>
    <w:rsid w:val="1B65484A"/>
    <w:rsid w:val="1D22C442"/>
    <w:rsid w:val="1DD1736E"/>
    <w:rsid w:val="1E2E0316"/>
    <w:rsid w:val="1F0050F0"/>
    <w:rsid w:val="1F1DE379"/>
    <w:rsid w:val="1F8C0A5D"/>
    <w:rsid w:val="21FCD723"/>
    <w:rsid w:val="22EE6DD1"/>
    <w:rsid w:val="23F09FB2"/>
    <w:rsid w:val="244B96D5"/>
    <w:rsid w:val="2549B36E"/>
    <w:rsid w:val="25FA5D14"/>
    <w:rsid w:val="265BA6B8"/>
    <w:rsid w:val="274F2AD4"/>
    <w:rsid w:val="28245499"/>
    <w:rsid w:val="286C18A7"/>
    <w:rsid w:val="2937ACD9"/>
    <w:rsid w:val="29E6133B"/>
    <w:rsid w:val="2BC0F9B2"/>
    <w:rsid w:val="2E87A9D8"/>
    <w:rsid w:val="2EA91EC4"/>
    <w:rsid w:val="3038C7E7"/>
    <w:rsid w:val="32A251CD"/>
    <w:rsid w:val="331864F0"/>
    <w:rsid w:val="33D3F91D"/>
    <w:rsid w:val="348737CF"/>
    <w:rsid w:val="358E0B34"/>
    <w:rsid w:val="36057886"/>
    <w:rsid w:val="390A046E"/>
    <w:rsid w:val="3987076A"/>
    <w:rsid w:val="39A200C7"/>
    <w:rsid w:val="3A2A1244"/>
    <w:rsid w:val="3B4C166C"/>
    <w:rsid w:val="3B87C438"/>
    <w:rsid w:val="3C47DB09"/>
    <w:rsid w:val="3F1BBCE3"/>
    <w:rsid w:val="3FF04A09"/>
    <w:rsid w:val="4076FC55"/>
    <w:rsid w:val="424E4C86"/>
    <w:rsid w:val="4278EC28"/>
    <w:rsid w:val="42BBF53F"/>
    <w:rsid w:val="43749C6F"/>
    <w:rsid w:val="43B3B441"/>
    <w:rsid w:val="43BBD790"/>
    <w:rsid w:val="44AA0453"/>
    <w:rsid w:val="452B27FB"/>
    <w:rsid w:val="45FF7F96"/>
    <w:rsid w:val="4721DC0B"/>
    <w:rsid w:val="48032BD3"/>
    <w:rsid w:val="4854656B"/>
    <w:rsid w:val="4A53A06A"/>
    <w:rsid w:val="4A825702"/>
    <w:rsid w:val="4E3BF529"/>
    <w:rsid w:val="507342D8"/>
    <w:rsid w:val="5144848A"/>
    <w:rsid w:val="525E011B"/>
    <w:rsid w:val="5475D6F0"/>
    <w:rsid w:val="54BD9AFE"/>
    <w:rsid w:val="54DADB47"/>
    <w:rsid w:val="55DB5022"/>
    <w:rsid w:val="565D834B"/>
    <w:rsid w:val="5710C1FD"/>
    <w:rsid w:val="57772083"/>
    <w:rsid w:val="57E06521"/>
    <w:rsid w:val="58E0B079"/>
    <w:rsid w:val="58E61C35"/>
    <w:rsid w:val="5977E3C4"/>
    <w:rsid w:val="59935E6E"/>
    <w:rsid w:val="5A5CA401"/>
    <w:rsid w:val="5AEF577E"/>
    <w:rsid w:val="5B30F46E"/>
    <w:rsid w:val="5B7393F8"/>
    <w:rsid w:val="5BC6A376"/>
    <w:rsid w:val="5D7AFA24"/>
    <w:rsid w:val="5F99F110"/>
    <w:rsid w:val="5FDDE060"/>
    <w:rsid w:val="611150E1"/>
    <w:rsid w:val="61166200"/>
    <w:rsid w:val="61A035F2"/>
    <w:rsid w:val="61C446F3"/>
    <w:rsid w:val="62EF4236"/>
    <w:rsid w:val="6688A227"/>
    <w:rsid w:val="66C3B4E7"/>
    <w:rsid w:val="6889FB4B"/>
    <w:rsid w:val="69BE00FF"/>
    <w:rsid w:val="6C5914A7"/>
    <w:rsid w:val="6CEA7BDE"/>
    <w:rsid w:val="6D3A61AA"/>
    <w:rsid w:val="6D86AB4A"/>
    <w:rsid w:val="6DFE9503"/>
    <w:rsid w:val="6EA4DFFC"/>
    <w:rsid w:val="6F13C5F2"/>
    <w:rsid w:val="70F37CE6"/>
    <w:rsid w:val="711D0D68"/>
    <w:rsid w:val="717CAA52"/>
    <w:rsid w:val="718D059A"/>
    <w:rsid w:val="73714918"/>
    <w:rsid w:val="759E8CEA"/>
    <w:rsid w:val="75E1BD71"/>
    <w:rsid w:val="7810487D"/>
    <w:rsid w:val="79652DC8"/>
    <w:rsid w:val="7C9053CF"/>
    <w:rsid w:val="7CB2BB69"/>
    <w:rsid w:val="7D47D3D0"/>
    <w:rsid w:val="7D489D1E"/>
    <w:rsid w:val="7E9CCA4A"/>
    <w:rsid w:val="7ECDAC87"/>
    <w:rsid w:val="7F15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C26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4D2F"/>
    <w:rPr>
      <w:rFonts w:ascii="Trebuchet MS" w:eastAsia="Trebuchet MS" w:hAnsi="Trebuchet MS" w:cs="Trebuchet MS"/>
      <w:lang w:val="pt-PT"/>
    </w:rPr>
  </w:style>
  <w:style w:type="paragraph" w:styleId="Ttulo3">
    <w:name w:val="heading 3"/>
    <w:basedOn w:val="Normal"/>
    <w:link w:val="Ttulo3Char"/>
    <w:uiPriority w:val="9"/>
    <w:qFormat/>
    <w:rsid w:val="0057787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E4D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4D2F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E4D2F"/>
    <w:pPr>
      <w:spacing w:before="136"/>
      <w:ind w:left="23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E4D2F"/>
    <w:pPr>
      <w:spacing w:before="244"/>
      <w:ind w:left="109"/>
    </w:pPr>
  </w:style>
  <w:style w:type="paragraph" w:customStyle="1" w:styleId="TableParagraph">
    <w:name w:val="Table Paragraph"/>
    <w:basedOn w:val="Normal"/>
    <w:uiPriority w:val="1"/>
    <w:qFormat/>
    <w:rsid w:val="005E4D2F"/>
  </w:style>
  <w:style w:type="paragraph" w:styleId="Textodebalo">
    <w:name w:val="Balloon Text"/>
    <w:basedOn w:val="Normal"/>
    <w:link w:val="TextodebaloChar"/>
    <w:uiPriority w:val="99"/>
    <w:semiHidden/>
    <w:unhideWhenUsed/>
    <w:rsid w:val="00673B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BCE"/>
    <w:rPr>
      <w:rFonts w:ascii="Tahoma" w:eastAsia="Trebuchet MS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73B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BC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3B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3BCE"/>
    <w:rPr>
      <w:rFonts w:ascii="Trebuchet MS" w:eastAsia="Trebuchet MS" w:hAnsi="Trebuchet MS" w:cs="Trebuchet MS"/>
      <w:lang w:val="pt-PT"/>
    </w:rPr>
  </w:style>
  <w:style w:type="paragraph" w:styleId="NormalWeb">
    <w:name w:val="Normal (Web)"/>
    <w:basedOn w:val="Normal"/>
    <w:uiPriority w:val="99"/>
    <w:semiHidden/>
    <w:unhideWhenUsed/>
    <w:rsid w:val="00365B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A26D18"/>
  </w:style>
  <w:style w:type="character" w:customStyle="1" w:styleId="eop">
    <w:name w:val="eop"/>
    <w:basedOn w:val="Fontepargpadro"/>
    <w:rsid w:val="00A26D18"/>
  </w:style>
  <w:style w:type="character" w:customStyle="1" w:styleId="CorpodetextoChar">
    <w:name w:val="Corpo de texto Char"/>
    <w:basedOn w:val="Fontepargpadro"/>
    <w:link w:val="Corpodetexto"/>
    <w:uiPriority w:val="1"/>
    <w:rsid w:val="002A1BAB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77875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Forte">
    <w:name w:val="Strong"/>
    <w:basedOn w:val="Fontepargpadro"/>
    <w:uiPriority w:val="22"/>
    <w:qFormat/>
    <w:rsid w:val="00577875"/>
    <w:rPr>
      <w:b/>
      <w:bCs/>
    </w:rPr>
  </w:style>
  <w:style w:type="character" w:customStyle="1" w:styleId="selectable-text">
    <w:name w:val="selectable-text"/>
    <w:basedOn w:val="Fontepargpadro"/>
    <w:rsid w:val="00791B5E"/>
  </w:style>
  <w:style w:type="character" w:styleId="Refdecomentrio">
    <w:name w:val="annotation reference"/>
    <w:basedOn w:val="Fontepargpadro"/>
    <w:uiPriority w:val="99"/>
    <w:semiHidden/>
    <w:unhideWhenUsed/>
    <w:rsid w:val="00D065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65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6502"/>
    <w:rPr>
      <w:rFonts w:ascii="Trebuchet MS" w:eastAsia="Trebuchet MS" w:hAnsi="Trebuchet MS" w:cs="Trebuchet MS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65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6502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D06502"/>
    <w:pPr>
      <w:widowControl/>
      <w:autoSpaceDE/>
      <w:autoSpaceDN/>
    </w:pPr>
    <w:rPr>
      <w:rFonts w:ascii="Trebuchet MS" w:eastAsia="Trebuchet MS" w:hAnsi="Trebuchet MS" w:cs="Trebuchet MS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70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70BE"/>
    <w:rPr>
      <w:rFonts w:ascii="Trebuchet MS" w:eastAsia="Trebuchet MS" w:hAnsi="Trebuchet MS" w:cs="Trebuchet MS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C47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6F9CABF294E47A7F6D60C7666290E" ma:contentTypeVersion="12" ma:contentTypeDescription="Create a new document." ma:contentTypeScope="" ma:versionID="5374a60d7814819936d23b4a1073815c">
  <xsd:schema xmlns:xsd="http://www.w3.org/2001/XMLSchema" xmlns:xs="http://www.w3.org/2001/XMLSchema" xmlns:p="http://schemas.microsoft.com/office/2006/metadata/properties" xmlns:ns3="295231d3-be45-49b6-a8b2-77d3516d7a1a" xmlns:ns4="8c764b72-57ae-4a1a-9c74-ee8b4d31ad26" targetNamespace="http://schemas.microsoft.com/office/2006/metadata/properties" ma:root="true" ma:fieldsID="6c8875cd444f68776c7ad776be286914" ns3:_="" ns4:_="">
    <xsd:import namespace="295231d3-be45-49b6-a8b2-77d3516d7a1a"/>
    <xsd:import namespace="8c764b72-57ae-4a1a-9c74-ee8b4d31a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231d3-be45-49b6-a8b2-77d3516d7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4b72-57ae-4a1a-9c74-ee8b4d31a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BEF6-4335-4709-99E9-7DDF35FCFDF4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8c764b72-57ae-4a1a-9c74-ee8b4d31ad2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95231d3-be45-49b6-a8b2-77d3516d7a1a"/>
  </ds:schemaRefs>
</ds:datastoreItem>
</file>

<file path=customXml/itemProps2.xml><?xml version="1.0" encoding="utf-8"?>
<ds:datastoreItem xmlns:ds="http://schemas.openxmlformats.org/officeDocument/2006/customXml" ds:itemID="{779F4917-C767-4366-B12B-332F3B14E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7CF77-FEBD-4C0A-9B3B-2C434FA3B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231d3-be45-49b6-a8b2-77d3516d7a1a"/>
    <ds:schemaRef ds:uri="8c764b72-57ae-4a1a-9c74-ee8b4d31a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92A5E-1E49-4763-9704-A9E437FF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2022-08-09T18:45:00Z</dcterms:created>
  <dcterms:modified xsi:type="dcterms:W3CDTF">2022-08-10T13:03:00Z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0x010100E036F9CABF294E47A7F6D60C7666290E</vt:lpwstr>
  </property>
</Properties>
</file>