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2A2D" w14:textId="77777777" w:rsidR="00164EAD" w:rsidRDefault="00B01B59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1CFD37E" wp14:editId="1CF13C1A">
                <wp:simplePos x="0" y="0"/>
                <wp:positionH relativeFrom="margin">
                  <wp:posOffset>854028</wp:posOffset>
                </wp:positionH>
                <wp:positionV relativeFrom="topMargin">
                  <wp:posOffset>507981</wp:posOffset>
                </wp:positionV>
                <wp:extent cx="4284980" cy="3937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98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C544" w14:textId="77777777" w:rsidR="00427D5C" w:rsidRPr="00DF6451" w:rsidRDefault="00427D5C">
                            <w:pPr>
                              <w:rPr>
                                <w:rFonts w:ascii="Futura Std Light" w:hAnsi="Futura Std Light"/>
                                <w:b/>
                                <w:sz w:val="28"/>
                              </w:rPr>
                            </w:pPr>
                            <w:r w:rsidRPr="00DF6451">
                              <w:rPr>
                                <w:rFonts w:ascii="Futura Std Light" w:hAnsi="Futura Std Light"/>
                                <w:b/>
                                <w:sz w:val="28"/>
                              </w:rPr>
                              <w:t>Agência Nacional de Vigilância Sanitária | Anvisa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CFD37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7.25pt;margin-top:40pt;width:337.4pt;height:31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" filled="f" stroked="f">
                <v:textbox style="mso-fit-shape-to-text:t">
                  <w:txbxContent>
                    <w:p w14:paraId="799BC544" w14:textId="77777777" w:rsidR="00427D5C" w:rsidRPr="00DF6451" w:rsidRDefault="00427D5C">
                      <w:pPr>
                        <w:rPr>
                          <w:rFonts w:ascii="Futura Std Light" w:hAnsi="Futura Std Light"/>
                          <w:b/>
                          <w:sz w:val="28"/>
                        </w:rPr>
                      </w:pPr>
                      <w:r w:rsidRPr="00DF6451">
                        <w:rPr>
                          <w:rFonts w:ascii="Futura Std Light" w:hAnsi="Futura Std Light"/>
                          <w:b/>
                          <w:sz w:val="28"/>
                        </w:rPr>
                        <w:t>Agência Nacional de Vigilância Sanitária | Anvisa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333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9B752E" wp14:editId="7FEB5E58">
                <wp:simplePos x="0" y="0"/>
                <wp:positionH relativeFrom="column">
                  <wp:posOffset>-1080135</wp:posOffset>
                </wp:positionH>
                <wp:positionV relativeFrom="page">
                  <wp:posOffset>0</wp:posOffset>
                </wp:positionV>
                <wp:extent cx="925830" cy="10675620"/>
                <wp:effectExtent l="0" t="0" r="2667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10675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1098E" id="Rectangle 3" o:spid="_x0000_s1026" style="position:absolute;margin-left:-85.05pt;margin-top:0;width:72.9pt;height:84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" fillcolor="#2e74b5 [2404]" strokecolor="#1f4d78 [1604]" strokeweight="1pt">
                <w10:wrap anchory="page"/>
              </v:rect>
            </w:pict>
          </mc:Fallback>
        </mc:AlternateContent>
      </w:r>
    </w:p>
    <w:p w14:paraId="690FFDDA" w14:textId="77777777" w:rsidR="00164EAD" w:rsidRPr="00164EAD" w:rsidRDefault="00164EAD" w:rsidP="00164EAD"/>
    <w:p w14:paraId="258A778D" w14:textId="77777777" w:rsidR="00164EAD" w:rsidRPr="00164EAD" w:rsidRDefault="00164EAD" w:rsidP="00164EAD"/>
    <w:p w14:paraId="4C193084" w14:textId="77777777" w:rsidR="00164EAD" w:rsidRPr="00164EAD" w:rsidRDefault="00164EAD" w:rsidP="00164EAD"/>
    <w:p w14:paraId="7D671F0D" w14:textId="77777777" w:rsidR="00164EAD" w:rsidRPr="00164EAD" w:rsidRDefault="00164EAD" w:rsidP="00164EAD"/>
    <w:p w14:paraId="781F3386" w14:textId="77777777" w:rsidR="00164EAD" w:rsidRPr="00164EAD" w:rsidRDefault="00164EAD" w:rsidP="00164EAD"/>
    <w:p w14:paraId="60089AFB" w14:textId="77777777" w:rsidR="00164EAD" w:rsidRPr="00164EAD" w:rsidRDefault="00164EAD" w:rsidP="00164EAD"/>
    <w:p w14:paraId="452E8066" w14:textId="77777777" w:rsidR="00164EAD" w:rsidRPr="00164EAD" w:rsidRDefault="00164EAD" w:rsidP="00164EAD"/>
    <w:p w14:paraId="2400B481" w14:textId="77777777" w:rsidR="00164EAD" w:rsidRPr="00164EAD" w:rsidRDefault="00555BCE" w:rsidP="00164EAD">
      <w:r>
        <w:rPr>
          <w:noProof/>
          <w:lang w:eastAsia="pt-BR"/>
        </w:rPr>
        <w:drawing>
          <wp:anchor distT="0" distB="0" distL="114300" distR="114300" simplePos="0" relativeHeight="251658246" behindDoc="1" locked="0" layoutInCell="1" allowOverlap="1" wp14:anchorId="038F40E5" wp14:editId="17A40E33">
            <wp:simplePos x="0" y="0"/>
            <wp:positionH relativeFrom="margin">
              <wp:posOffset>280832</wp:posOffset>
            </wp:positionH>
            <wp:positionV relativeFrom="paragraph">
              <wp:posOffset>195993</wp:posOffset>
            </wp:positionV>
            <wp:extent cx="5400040" cy="1049020"/>
            <wp:effectExtent l="0" t="0" r="0" b="0"/>
            <wp:wrapThrough wrapText="bothSides">
              <wp:wrapPolygon edited="0">
                <wp:start x="0" y="0"/>
                <wp:lineTo x="0" y="21182"/>
                <wp:lineTo x="21260" y="21182"/>
                <wp:lineTo x="21488" y="20005"/>
                <wp:lineTo x="21488" y="11768"/>
                <wp:lineTo x="19736" y="6276"/>
                <wp:lineTo x="19583" y="392"/>
                <wp:lineTo x="1943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rguntas e resposta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97E79" w14:textId="77777777" w:rsidR="00164EAD" w:rsidRPr="00164EAD" w:rsidRDefault="00164EAD" w:rsidP="00164EAD"/>
    <w:p w14:paraId="4F15B7FB" w14:textId="77777777" w:rsidR="00164EAD" w:rsidRPr="00164EAD" w:rsidRDefault="00164EAD" w:rsidP="00164EAD"/>
    <w:p w14:paraId="0F3FF1BA" w14:textId="77777777" w:rsidR="00164EAD" w:rsidRPr="00164EAD" w:rsidRDefault="00164EAD" w:rsidP="00164EAD"/>
    <w:p w14:paraId="2329225F" w14:textId="77777777" w:rsidR="00555BCE" w:rsidRDefault="007A1100" w:rsidP="00164EAD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4B71858" wp14:editId="24A38EE6">
                <wp:simplePos x="0" y="0"/>
                <wp:positionH relativeFrom="margin">
                  <wp:align>right</wp:align>
                </wp:positionH>
                <wp:positionV relativeFrom="paragraph">
                  <wp:posOffset>219710</wp:posOffset>
                </wp:positionV>
                <wp:extent cx="4892040" cy="217170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259F5" w14:textId="31ADC095" w:rsidR="00427D5C" w:rsidRDefault="00427D5C" w:rsidP="00164EAD">
                            <w:pPr>
                              <w:jc w:val="center"/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ascii="Futura Std Medium" w:hAnsi="Futura Std Medium" w:cstheme="minorHAnsi"/>
                                <w:b/>
                                <w:sz w:val="52"/>
                                <w:szCs w:val="48"/>
                              </w:rPr>
                              <w:t>Assuntos</w:t>
                            </w:r>
                            <w:r w:rsidRPr="00164EAD">
                              <w:rPr>
                                <w:rFonts w:ascii="Futura Std Medium" w:hAnsi="Futura Std Medium" w:cstheme="minorHAnsi"/>
                                <w:b/>
                                <w:sz w:val="52"/>
                                <w:szCs w:val="48"/>
                              </w:rPr>
                              <w:t>:</w:t>
                            </w:r>
                            <w:r w:rsidRPr="00164EAD"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  <w:t xml:space="preserve"> </w:t>
                            </w:r>
                          </w:p>
                          <w:p w14:paraId="5BA1E791" w14:textId="7D93EE79" w:rsidR="00427D5C" w:rsidRPr="003F6635" w:rsidRDefault="00427D5C" w:rsidP="00164EAD">
                            <w:pPr>
                              <w:jc w:val="center"/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</w:pPr>
                            <w:r w:rsidRPr="003F6635"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  <w:t xml:space="preserve">RDC </w:t>
                            </w:r>
                            <w:r w:rsidR="003E118F"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  <w:t xml:space="preserve">nº </w:t>
                            </w:r>
                            <w:r w:rsidRPr="003F6635"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  <w:t>749/2022</w:t>
                            </w:r>
                          </w:p>
                          <w:p w14:paraId="36B3C877" w14:textId="1D1D4A8F" w:rsidR="00427D5C" w:rsidRPr="003F6635" w:rsidRDefault="00427D5C" w:rsidP="009416CE">
                            <w:pPr>
                              <w:jc w:val="center"/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</w:pPr>
                            <w:r w:rsidRPr="003F6635"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  <w:t xml:space="preserve">IN </w:t>
                            </w:r>
                            <w:r w:rsidR="003E118F"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  <w:t xml:space="preserve">nº </w:t>
                            </w:r>
                            <w:r w:rsidRPr="003F6635"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  <w:t>182/2022</w:t>
                            </w:r>
                          </w:p>
                          <w:p w14:paraId="237354E0" w14:textId="50087D55" w:rsidR="00427D5C" w:rsidRDefault="00427D5C" w:rsidP="00164EAD">
                            <w:pPr>
                              <w:jc w:val="center"/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</w:pPr>
                            <w:r w:rsidRPr="003F6635"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  <w:t xml:space="preserve">IN </w:t>
                            </w:r>
                            <w:r w:rsidR="003E118F"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  <w:t xml:space="preserve">nº </w:t>
                            </w:r>
                            <w:r w:rsidRPr="003F6635"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  <w:t>183/202</w:t>
                            </w:r>
                            <w:r w:rsidR="00856CB6"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  <w:t>2</w:t>
                            </w:r>
                          </w:p>
                          <w:p w14:paraId="47E40A74" w14:textId="77777777" w:rsidR="00427D5C" w:rsidRPr="00164EAD" w:rsidRDefault="00427D5C" w:rsidP="00164EAD">
                            <w:pPr>
                              <w:jc w:val="center"/>
                              <w:rPr>
                                <w:rFonts w:ascii="Futura Std Light" w:hAnsi="Futura Std Light" w:cstheme="minorHAnsi"/>
                                <w:sz w:val="52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71858" id="Text Box 217" o:spid="_x0000_s1027" type="#_x0000_t202" style="position:absolute;margin-left:334pt;margin-top:17.3pt;width:385.2pt;height:171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" filled="f" stroked="f">
                <v:textbox>
                  <w:txbxContent>
                    <w:p w14:paraId="59E259F5" w14:textId="31ADC095" w:rsidR="00427D5C" w:rsidRDefault="00427D5C" w:rsidP="00164EAD">
                      <w:pPr>
                        <w:jc w:val="center"/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</w:pPr>
                      <w:r>
                        <w:rPr>
                          <w:rFonts w:ascii="Futura Std Medium" w:hAnsi="Futura Std Medium" w:cstheme="minorHAnsi"/>
                          <w:b/>
                          <w:sz w:val="52"/>
                          <w:szCs w:val="48"/>
                        </w:rPr>
                        <w:t>Assuntos</w:t>
                      </w:r>
                      <w:r w:rsidRPr="00164EAD">
                        <w:rPr>
                          <w:rFonts w:ascii="Futura Std Medium" w:hAnsi="Futura Std Medium" w:cstheme="minorHAnsi"/>
                          <w:b/>
                          <w:sz w:val="52"/>
                          <w:szCs w:val="48"/>
                        </w:rPr>
                        <w:t>:</w:t>
                      </w:r>
                      <w:r w:rsidRPr="00164EAD"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  <w:t xml:space="preserve"> </w:t>
                      </w:r>
                    </w:p>
                    <w:p w14:paraId="5BA1E791" w14:textId="7D93EE79" w:rsidR="00427D5C" w:rsidRPr="003F6635" w:rsidRDefault="00427D5C" w:rsidP="00164EAD">
                      <w:pPr>
                        <w:jc w:val="center"/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</w:pPr>
                      <w:r w:rsidRPr="003F6635"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  <w:t xml:space="preserve">RDC </w:t>
                      </w:r>
                      <w:r w:rsidR="003E118F"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  <w:t xml:space="preserve">nº </w:t>
                      </w:r>
                      <w:r w:rsidRPr="003F6635"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  <w:t>749/2022</w:t>
                      </w:r>
                    </w:p>
                    <w:p w14:paraId="36B3C877" w14:textId="1D1D4A8F" w:rsidR="00427D5C" w:rsidRPr="003F6635" w:rsidRDefault="00427D5C" w:rsidP="009416CE">
                      <w:pPr>
                        <w:jc w:val="center"/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</w:pPr>
                      <w:r w:rsidRPr="003F6635"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  <w:t xml:space="preserve">IN </w:t>
                      </w:r>
                      <w:r w:rsidR="003E118F"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  <w:t xml:space="preserve">nº </w:t>
                      </w:r>
                      <w:r w:rsidRPr="003F6635"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  <w:t>182/2022</w:t>
                      </w:r>
                    </w:p>
                    <w:p w14:paraId="237354E0" w14:textId="50087D55" w:rsidR="00427D5C" w:rsidRDefault="00427D5C" w:rsidP="00164EAD">
                      <w:pPr>
                        <w:jc w:val="center"/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</w:pPr>
                      <w:r w:rsidRPr="003F6635"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  <w:t xml:space="preserve">IN </w:t>
                      </w:r>
                      <w:r w:rsidR="003E118F"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  <w:t xml:space="preserve">nº </w:t>
                      </w:r>
                      <w:r w:rsidRPr="003F6635"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  <w:t>183/202</w:t>
                      </w:r>
                      <w:r w:rsidR="00856CB6"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  <w:t>2</w:t>
                      </w:r>
                    </w:p>
                    <w:p w14:paraId="47E40A74" w14:textId="77777777" w:rsidR="00427D5C" w:rsidRPr="00164EAD" w:rsidRDefault="00427D5C" w:rsidP="00164EAD">
                      <w:pPr>
                        <w:jc w:val="center"/>
                        <w:rPr>
                          <w:rFonts w:ascii="Futura Std Light" w:hAnsi="Futura Std Light" w:cstheme="minorHAnsi"/>
                          <w:sz w:val="52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185A05" w14:textId="77777777" w:rsidR="00555BCE" w:rsidRDefault="007A1100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862C007" wp14:editId="5F6DA9AD">
                <wp:simplePos x="0" y="0"/>
                <wp:positionH relativeFrom="margin">
                  <wp:posOffset>2882265</wp:posOffset>
                </wp:positionH>
                <wp:positionV relativeFrom="paragraph">
                  <wp:posOffset>4921250</wp:posOffset>
                </wp:positionV>
                <wp:extent cx="2867025" cy="14046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DFEF3" w14:textId="288F2136" w:rsidR="00427D5C" w:rsidRPr="00694938" w:rsidRDefault="00CC62FB" w:rsidP="00164EAD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sz w:val="28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sz w:val="28"/>
                              </w:rPr>
                              <w:t>2</w:t>
                            </w:r>
                            <w:r w:rsidR="00427D5C" w:rsidRPr="00694938">
                              <w:rPr>
                                <w:rFonts w:ascii="Futura Std Medium" w:hAnsi="Futura Std Medium"/>
                                <w:sz w:val="28"/>
                              </w:rPr>
                              <w:t>ª edição</w:t>
                            </w:r>
                          </w:p>
                          <w:p w14:paraId="78CAAD7B" w14:textId="203C2F86" w:rsidR="00427D5C" w:rsidRPr="00164EAD" w:rsidRDefault="00427D5C" w:rsidP="00164EAD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sz w:val="28"/>
                              </w:rPr>
                            </w:pPr>
                            <w:r w:rsidRPr="00694938">
                              <w:rPr>
                                <w:rFonts w:ascii="Futura Std Medium" w:hAnsi="Futura Std Medium"/>
                                <w:sz w:val="28"/>
                              </w:rPr>
                              <w:t xml:space="preserve">Brasília, </w:t>
                            </w:r>
                            <w:r w:rsidR="005B0251">
                              <w:rPr>
                                <w:rFonts w:ascii="Futura Std Medium" w:hAnsi="Futura Std Medium"/>
                                <w:sz w:val="28"/>
                              </w:rPr>
                              <w:t>04</w:t>
                            </w:r>
                            <w:r w:rsidR="00163851" w:rsidRPr="00694938">
                              <w:rPr>
                                <w:rFonts w:ascii="Futura Std Medium" w:hAnsi="Futura Std Medium"/>
                                <w:sz w:val="28"/>
                              </w:rPr>
                              <w:t xml:space="preserve"> </w:t>
                            </w:r>
                            <w:r w:rsidRPr="00694938">
                              <w:rPr>
                                <w:rFonts w:ascii="Futura Std Medium" w:hAnsi="Futura Std Medium"/>
                                <w:sz w:val="28"/>
                              </w:rPr>
                              <w:t>de</w:t>
                            </w:r>
                            <w:r w:rsidR="00163851">
                              <w:rPr>
                                <w:rFonts w:ascii="Futura Std Medium" w:hAnsi="Futura Std Medium"/>
                                <w:sz w:val="28"/>
                              </w:rPr>
                              <w:t xml:space="preserve"> abril</w:t>
                            </w:r>
                            <w:r w:rsidRPr="00694938">
                              <w:rPr>
                                <w:rFonts w:ascii="Futura Std Medium" w:hAnsi="Futura Std Medium"/>
                                <w:sz w:val="28"/>
                              </w:rPr>
                              <w:t xml:space="preserve"> de 202</w:t>
                            </w:r>
                            <w:r w:rsidR="00CC62FB">
                              <w:rPr>
                                <w:rFonts w:ascii="Futura Std Medium" w:hAnsi="Futura Std Medium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2C007" id="Text Box 4" o:spid="_x0000_s1028" type="#_x0000_t202" style="position:absolute;margin-left:226.95pt;margin-top:387.5pt;width:225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" filled="f" stroked="f">
                <v:textbox style="mso-fit-shape-to-text:t">
                  <w:txbxContent>
                    <w:p w14:paraId="6B1DFEF3" w14:textId="288F2136" w:rsidR="00427D5C" w:rsidRPr="00694938" w:rsidRDefault="00CC62FB" w:rsidP="00164EAD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sz w:val="28"/>
                        </w:rPr>
                      </w:pPr>
                      <w:r>
                        <w:rPr>
                          <w:rFonts w:ascii="Futura Std Medium" w:hAnsi="Futura Std Medium"/>
                          <w:sz w:val="28"/>
                        </w:rPr>
                        <w:t>2</w:t>
                      </w:r>
                      <w:r w:rsidR="00427D5C" w:rsidRPr="00694938">
                        <w:rPr>
                          <w:rFonts w:ascii="Futura Std Medium" w:hAnsi="Futura Std Medium"/>
                          <w:sz w:val="28"/>
                        </w:rPr>
                        <w:t>ª edição</w:t>
                      </w:r>
                    </w:p>
                    <w:p w14:paraId="78CAAD7B" w14:textId="203C2F86" w:rsidR="00427D5C" w:rsidRPr="00164EAD" w:rsidRDefault="00427D5C" w:rsidP="00164EAD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sz w:val="28"/>
                        </w:rPr>
                      </w:pPr>
                      <w:r w:rsidRPr="00694938">
                        <w:rPr>
                          <w:rFonts w:ascii="Futura Std Medium" w:hAnsi="Futura Std Medium"/>
                          <w:sz w:val="28"/>
                        </w:rPr>
                        <w:t xml:space="preserve">Brasília, </w:t>
                      </w:r>
                      <w:r w:rsidR="005B0251">
                        <w:rPr>
                          <w:rFonts w:ascii="Futura Std Medium" w:hAnsi="Futura Std Medium"/>
                          <w:sz w:val="28"/>
                        </w:rPr>
                        <w:t>04</w:t>
                      </w:r>
                      <w:r w:rsidR="00163851" w:rsidRPr="00694938">
                        <w:rPr>
                          <w:rFonts w:ascii="Futura Std Medium" w:hAnsi="Futura Std Medium"/>
                          <w:sz w:val="28"/>
                        </w:rPr>
                        <w:t xml:space="preserve"> </w:t>
                      </w:r>
                      <w:r w:rsidRPr="00694938">
                        <w:rPr>
                          <w:rFonts w:ascii="Futura Std Medium" w:hAnsi="Futura Std Medium"/>
                          <w:sz w:val="28"/>
                        </w:rPr>
                        <w:t>de</w:t>
                      </w:r>
                      <w:r w:rsidR="00163851">
                        <w:rPr>
                          <w:rFonts w:ascii="Futura Std Medium" w:hAnsi="Futura Std Medium"/>
                          <w:sz w:val="28"/>
                        </w:rPr>
                        <w:t xml:space="preserve"> abril</w:t>
                      </w:r>
                      <w:r w:rsidRPr="00694938">
                        <w:rPr>
                          <w:rFonts w:ascii="Futura Std Medium" w:hAnsi="Futura Std Medium"/>
                          <w:sz w:val="28"/>
                        </w:rPr>
                        <w:t xml:space="preserve"> de 202</w:t>
                      </w:r>
                      <w:r w:rsidR="00CC62FB">
                        <w:rPr>
                          <w:rFonts w:ascii="Futura Std Medium" w:hAnsi="Futura Std Medium"/>
                          <w:sz w:val="28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C4E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D134996" wp14:editId="37FABD02">
                <wp:simplePos x="0" y="0"/>
                <wp:positionH relativeFrom="column">
                  <wp:posOffset>-2068830</wp:posOffset>
                </wp:positionH>
                <wp:positionV relativeFrom="paragraph">
                  <wp:posOffset>1499235</wp:posOffset>
                </wp:positionV>
                <wp:extent cx="3902710" cy="140462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027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B40C5" w14:textId="77777777" w:rsidR="00427D5C" w:rsidRPr="00CA6C4E" w:rsidRDefault="00427D5C">
                            <w:pPr>
                              <w:rPr>
                                <w:rFonts w:ascii="Futura Std Medium" w:hAnsi="Futura Std Medium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CA6C4E">
                              <w:rPr>
                                <w:rFonts w:ascii="Futura Std Medium" w:hAnsi="Futura Std Medium"/>
                                <w:b/>
                                <w:color w:val="FFFFFF" w:themeColor="background1"/>
                                <w:sz w:val="48"/>
                              </w:rPr>
                              <w:t>MEDICAMENTOS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4996" id="Text Box 5" o:spid="_x0000_s1029" type="#_x0000_t202" style="position:absolute;margin-left:-162.9pt;margin-top:118.05pt;width:307.3pt;height:110.6pt;rotation:-90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" filled="f" stroked="f">
                <v:textbox style="mso-fit-shape-to-text:t">
                  <w:txbxContent>
                    <w:p w14:paraId="290B40C5" w14:textId="77777777" w:rsidR="00427D5C" w:rsidRPr="00CA6C4E" w:rsidRDefault="00427D5C">
                      <w:pPr>
                        <w:rPr>
                          <w:rFonts w:ascii="Futura Std Medium" w:hAnsi="Futura Std Medium"/>
                          <w:b/>
                          <w:color w:val="FFFFFF" w:themeColor="background1"/>
                          <w:sz w:val="48"/>
                        </w:rPr>
                      </w:pPr>
                      <w:r w:rsidRPr="00CA6C4E">
                        <w:rPr>
                          <w:rFonts w:ascii="Futura Std Medium" w:hAnsi="Futura Std Medium"/>
                          <w:b/>
                          <w:color w:val="FFFFFF" w:themeColor="background1"/>
                          <w:sz w:val="48"/>
                        </w:rPr>
                        <w:t>MEDICAMENTOS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BCE">
        <w:br w:type="page"/>
      </w:r>
    </w:p>
    <w:p w14:paraId="4D4264E8" w14:textId="77777777" w:rsidR="00CA6C4E" w:rsidRDefault="00CA6C4E" w:rsidP="00164EAD"/>
    <w:p w14:paraId="0725F220" w14:textId="77777777" w:rsidR="00CA6C4E" w:rsidRDefault="00CA6C4E" w:rsidP="00164EAD"/>
    <w:p w14:paraId="55C660EF" w14:textId="77777777" w:rsidR="00CA6C4E" w:rsidRDefault="00CA6C4E" w:rsidP="00164EAD"/>
    <w:p w14:paraId="36818A37" w14:textId="77777777" w:rsidR="00CA6C4E" w:rsidRDefault="00CA6C4E" w:rsidP="00F862FB"/>
    <w:p w14:paraId="22A02E35" w14:textId="77777777" w:rsidR="00CA6C4E" w:rsidRDefault="00CA6C4E" w:rsidP="00164EAD"/>
    <w:p w14:paraId="76197301" w14:textId="77777777" w:rsidR="00CA6C4E" w:rsidRDefault="00CA6C4E" w:rsidP="00164EAD"/>
    <w:p w14:paraId="495DDFB4" w14:textId="77777777" w:rsidR="00CA6C4E" w:rsidRDefault="00CA6C4E" w:rsidP="00164EAD"/>
    <w:p w14:paraId="315BDD6D" w14:textId="77777777" w:rsidR="00CA6C4E" w:rsidRDefault="00CA6C4E" w:rsidP="00164EAD"/>
    <w:p w14:paraId="2C4A5AB1" w14:textId="77777777" w:rsidR="00CA6C4E" w:rsidRDefault="00CA6C4E" w:rsidP="00164EAD"/>
    <w:p w14:paraId="3B8605B4" w14:textId="77777777" w:rsidR="00CA6C4E" w:rsidRDefault="00CA6C4E" w:rsidP="00164EAD"/>
    <w:p w14:paraId="1F959638" w14:textId="77777777" w:rsidR="00CA6C4E" w:rsidRDefault="00CA6C4E" w:rsidP="00164EAD"/>
    <w:p w14:paraId="48B0B54A" w14:textId="77777777" w:rsidR="00CA6C4E" w:rsidRDefault="00CA6C4E" w:rsidP="00164EAD"/>
    <w:p w14:paraId="3E27B4A5" w14:textId="77777777" w:rsidR="00CA6C4E" w:rsidRDefault="00CA6C4E" w:rsidP="00164EAD"/>
    <w:p w14:paraId="1449F2D7" w14:textId="77777777" w:rsidR="00CA6C4E" w:rsidRDefault="00CA6C4E" w:rsidP="00164EAD"/>
    <w:p w14:paraId="73F5CDDC" w14:textId="77777777" w:rsidR="00CA6C4E" w:rsidRDefault="00CA6C4E" w:rsidP="00164EAD"/>
    <w:p w14:paraId="37E7741F" w14:textId="77777777" w:rsidR="00CA6C4E" w:rsidRDefault="00CA6C4E" w:rsidP="00164EAD"/>
    <w:p w14:paraId="455EA533" w14:textId="77777777" w:rsidR="00CA6C4E" w:rsidRDefault="00CA6C4E" w:rsidP="00164EAD"/>
    <w:p w14:paraId="5AF46A7F" w14:textId="77777777" w:rsidR="00CA6C4E" w:rsidRDefault="00CA6C4E" w:rsidP="00164EAD"/>
    <w:p w14:paraId="6DA66339" w14:textId="77777777" w:rsidR="00CA6C4E" w:rsidRDefault="00CA6C4E" w:rsidP="00164EAD"/>
    <w:p w14:paraId="233980CA" w14:textId="77777777" w:rsidR="00CA6C4E" w:rsidRDefault="00CA6C4E" w:rsidP="00164EAD"/>
    <w:p w14:paraId="700E7B41" w14:textId="7E70854D" w:rsidR="00CA6C4E" w:rsidRDefault="008A5C5B" w:rsidP="00164EAD">
      <w:r w:rsidRPr="000F1B16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931D470" wp14:editId="40775CA8">
                <wp:simplePos x="0" y="0"/>
                <wp:positionH relativeFrom="margin">
                  <wp:posOffset>-173355</wp:posOffset>
                </wp:positionH>
                <wp:positionV relativeFrom="paragraph">
                  <wp:posOffset>329565</wp:posOffset>
                </wp:positionV>
                <wp:extent cx="5932805" cy="182054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182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AD05A" w14:textId="2E4D3B86" w:rsidR="00427D5C" w:rsidRPr="00243642" w:rsidRDefault="00427D5C" w:rsidP="00F862FB">
                            <w:pPr>
                              <w:pStyle w:val="PargrafodaLista"/>
                              <w:spacing w:after="0"/>
                              <w:ind w:left="0"/>
                              <w:rPr>
                                <w:rStyle w:val="fontstyle01"/>
                              </w:rPr>
                            </w:pPr>
                            <w:r w:rsidRPr="00243642">
                              <w:rPr>
                                <w:rStyle w:val="fontstyle01"/>
                              </w:rPr>
                              <w:t>Coordenador de Equivalência Terapêutica</w:t>
                            </w:r>
                          </w:p>
                          <w:p w14:paraId="725A8C5E" w14:textId="2C68739E" w:rsidR="00427D5C" w:rsidRPr="00243642" w:rsidRDefault="00427D5C" w:rsidP="00F862FB">
                            <w:pPr>
                              <w:pStyle w:val="PargrafodaLista"/>
                              <w:spacing w:after="0"/>
                              <w:ind w:left="0"/>
                              <w:rPr>
                                <w:rStyle w:val="fontstyle01"/>
                                <w:b w:val="0"/>
                                <w:bCs w:val="0"/>
                              </w:rPr>
                            </w:pPr>
                            <w:r w:rsidRPr="00243642">
                              <w:rPr>
                                <w:rStyle w:val="fontstyle01"/>
                                <w:b w:val="0"/>
                                <w:bCs w:val="0"/>
                              </w:rPr>
                              <w:t>Eduardo Agostinho Freitas Fernandes</w:t>
                            </w:r>
                          </w:p>
                          <w:p w14:paraId="3E283BA8" w14:textId="77777777" w:rsidR="00427D5C" w:rsidRPr="00243642" w:rsidRDefault="00427D5C" w:rsidP="00F862FB">
                            <w:pPr>
                              <w:pStyle w:val="PargrafodaLista"/>
                              <w:spacing w:after="0"/>
                              <w:ind w:left="0"/>
                              <w:rPr>
                                <w:rStyle w:val="fontstyle01"/>
                              </w:rPr>
                            </w:pPr>
                          </w:p>
                          <w:p w14:paraId="6EB2485A" w14:textId="3FD891B4" w:rsidR="00427D5C" w:rsidRPr="00243642" w:rsidRDefault="00427D5C" w:rsidP="00F862FB">
                            <w:pPr>
                              <w:pStyle w:val="PargrafodaLista"/>
                              <w:spacing w:after="0"/>
                              <w:ind w:left="0"/>
                              <w:rPr>
                                <w:rStyle w:val="fontstyle21"/>
                              </w:rPr>
                            </w:pPr>
                            <w:r w:rsidRPr="00180058">
                              <w:rPr>
                                <w:rStyle w:val="fontstyle01"/>
                              </w:rPr>
                              <w:t>Gerente de Avaliação da Qualidade de Medicamentos Sintéticos</w:t>
                            </w:r>
                            <w:r w:rsidRPr="00180058">
                              <w:rPr>
                                <w:rFonts w:ascii="Arial-BoldMT" w:hAnsi="Arial-BoldMT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180058">
                              <w:rPr>
                                <w:rStyle w:val="fontstyle21"/>
                              </w:rPr>
                              <w:t>Raphael Sanches Pereira</w:t>
                            </w:r>
                          </w:p>
                          <w:p w14:paraId="03932943" w14:textId="77777777" w:rsidR="00427D5C" w:rsidRPr="00243642" w:rsidRDefault="00427D5C" w:rsidP="00F862FB">
                            <w:pPr>
                              <w:pStyle w:val="PargrafodaLista"/>
                              <w:spacing w:after="0"/>
                              <w:ind w:left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88E9AB5" w14:textId="776DE56F" w:rsidR="00427D5C" w:rsidRPr="00243642" w:rsidRDefault="00427D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24364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Ger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ente</w:t>
                            </w:r>
                            <w:r w:rsidRPr="0024364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Geral de Medicamentos </w:t>
                            </w:r>
                          </w:p>
                          <w:p w14:paraId="21D1EEE4" w14:textId="4E07D21A" w:rsidR="00427D5C" w:rsidRPr="00CA6C4E" w:rsidRDefault="00427D5C" w:rsidP="00355A4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43642">
                              <w:rPr>
                                <w:rFonts w:ascii="Arial" w:hAnsi="Arial" w:cs="Arial"/>
                                <w:sz w:val="24"/>
                              </w:rPr>
                              <w:t>Nélio 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é</w:t>
                            </w:r>
                            <w:r w:rsidRPr="00243642">
                              <w:rPr>
                                <w:rFonts w:ascii="Arial" w:hAnsi="Arial" w:cs="Arial"/>
                                <w:sz w:val="24"/>
                              </w:rPr>
                              <w:t>zar de Aquino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1D470" id="Text Box 7" o:spid="_x0000_s1030" type="#_x0000_t202" style="position:absolute;margin-left:-13.65pt;margin-top:25.95pt;width:467.15pt;height:143.3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" filled="f" stroked="f">
                <v:textbox>
                  <w:txbxContent>
                    <w:p w14:paraId="2C4AD05A" w14:textId="2E4D3B86" w:rsidR="00427D5C" w:rsidRPr="00243642" w:rsidRDefault="00427D5C" w:rsidP="00F862FB">
                      <w:pPr>
                        <w:pStyle w:val="PargrafodaLista"/>
                        <w:spacing w:after="0"/>
                        <w:ind w:left="0"/>
                        <w:rPr>
                          <w:rStyle w:val="fontstyle01"/>
                        </w:rPr>
                      </w:pPr>
                      <w:r w:rsidRPr="00243642">
                        <w:rPr>
                          <w:rStyle w:val="fontstyle01"/>
                        </w:rPr>
                        <w:t>Coordenador de Equivalência Terapêutica</w:t>
                      </w:r>
                    </w:p>
                    <w:p w14:paraId="725A8C5E" w14:textId="2C68739E" w:rsidR="00427D5C" w:rsidRPr="00243642" w:rsidRDefault="00427D5C" w:rsidP="00F862FB">
                      <w:pPr>
                        <w:pStyle w:val="PargrafodaLista"/>
                        <w:spacing w:after="0"/>
                        <w:ind w:left="0"/>
                        <w:rPr>
                          <w:rStyle w:val="fontstyle01"/>
                          <w:b w:val="0"/>
                          <w:bCs w:val="0"/>
                        </w:rPr>
                      </w:pPr>
                      <w:r w:rsidRPr="00243642">
                        <w:rPr>
                          <w:rStyle w:val="fontstyle01"/>
                          <w:b w:val="0"/>
                          <w:bCs w:val="0"/>
                        </w:rPr>
                        <w:t>Eduardo Agostinho Freitas Fernandes</w:t>
                      </w:r>
                    </w:p>
                    <w:p w14:paraId="3E283BA8" w14:textId="77777777" w:rsidR="00427D5C" w:rsidRPr="00243642" w:rsidRDefault="00427D5C" w:rsidP="00F862FB">
                      <w:pPr>
                        <w:pStyle w:val="PargrafodaLista"/>
                        <w:spacing w:after="0"/>
                        <w:ind w:left="0"/>
                        <w:rPr>
                          <w:rStyle w:val="fontstyle01"/>
                        </w:rPr>
                      </w:pPr>
                    </w:p>
                    <w:p w14:paraId="6EB2485A" w14:textId="3FD891B4" w:rsidR="00427D5C" w:rsidRPr="00243642" w:rsidRDefault="00427D5C" w:rsidP="00F862FB">
                      <w:pPr>
                        <w:pStyle w:val="PargrafodaLista"/>
                        <w:spacing w:after="0"/>
                        <w:ind w:left="0"/>
                        <w:rPr>
                          <w:rStyle w:val="fontstyle21"/>
                        </w:rPr>
                      </w:pPr>
                      <w:r w:rsidRPr="00180058">
                        <w:rPr>
                          <w:rStyle w:val="fontstyle01"/>
                        </w:rPr>
                        <w:t>Gerente de Avaliação da Qualidade de Medicamentos Sintéticos</w:t>
                      </w:r>
                      <w:r w:rsidRPr="00180058">
                        <w:rPr>
                          <w:rFonts w:ascii="Arial-BoldMT" w:hAnsi="Arial-BoldMT"/>
                          <w:b/>
                          <w:bCs/>
                          <w:color w:val="000000"/>
                        </w:rPr>
                        <w:br/>
                      </w:r>
                      <w:r w:rsidRPr="00180058">
                        <w:rPr>
                          <w:rStyle w:val="fontstyle21"/>
                        </w:rPr>
                        <w:t>Raphael Sanches Pereira</w:t>
                      </w:r>
                    </w:p>
                    <w:p w14:paraId="03932943" w14:textId="77777777" w:rsidR="00427D5C" w:rsidRPr="00243642" w:rsidRDefault="00427D5C" w:rsidP="00F862FB">
                      <w:pPr>
                        <w:pStyle w:val="PargrafodaLista"/>
                        <w:spacing w:after="0"/>
                        <w:ind w:left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88E9AB5" w14:textId="776DE56F" w:rsidR="00427D5C" w:rsidRPr="00243642" w:rsidRDefault="00427D5C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243642">
                        <w:rPr>
                          <w:rFonts w:ascii="Arial" w:hAnsi="Arial" w:cs="Arial"/>
                          <w:b/>
                          <w:sz w:val="24"/>
                        </w:rPr>
                        <w:t>Ger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ente</w:t>
                      </w:r>
                      <w:r w:rsidRPr="00243642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Geral de Medicamentos </w:t>
                      </w:r>
                    </w:p>
                    <w:p w14:paraId="21D1EEE4" w14:textId="4E07D21A" w:rsidR="00427D5C" w:rsidRPr="00CA6C4E" w:rsidRDefault="00427D5C" w:rsidP="00355A4D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243642">
                        <w:rPr>
                          <w:rFonts w:ascii="Arial" w:hAnsi="Arial" w:cs="Arial"/>
                          <w:sz w:val="24"/>
                        </w:rPr>
                        <w:t>Nélio C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é</w:t>
                      </w:r>
                      <w:r w:rsidRPr="00243642">
                        <w:rPr>
                          <w:rFonts w:ascii="Arial" w:hAnsi="Arial" w:cs="Arial"/>
                          <w:sz w:val="24"/>
                        </w:rPr>
                        <w:t>zar de Aquino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9B5D74" w14:textId="2647B0E3" w:rsidR="00CA6C4E" w:rsidRDefault="00CA6C4E" w:rsidP="00164EAD"/>
    <w:p w14:paraId="415D1A42" w14:textId="705EC320" w:rsidR="00AD20C2" w:rsidRDefault="00AD20C2" w:rsidP="00164EAD"/>
    <w:p w14:paraId="2BC53E34" w14:textId="77777777" w:rsidR="007B4B82" w:rsidRDefault="00AD20C2" w:rsidP="00164EAD">
      <w:pPr>
        <w:sectPr w:rsidR="007B4B82" w:rsidSect="00B974BB">
          <w:headerReference w:type="default" r:id="rId12"/>
          <w:footerReference w:type="default" r:id="rId13"/>
          <w:footerReference w:type="first" r:id="rId14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>
        <w:br w:type="page"/>
      </w:r>
    </w:p>
    <w:p w14:paraId="48F01DC4" w14:textId="77777777" w:rsidR="00F862FB" w:rsidRDefault="00F862FB" w:rsidP="00052185">
      <w:pPr>
        <w:tabs>
          <w:tab w:val="left" w:pos="3400"/>
        </w:tabs>
        <w:rPr>
          <w:rFonts w:ascii="Arial" w:hAnsi="Arial" w:cs="Arial"/>
          <w:b/>
          <w:color w:val="2E74B5" w:themeColor="accent1" w:themeShade="BF"/>
          <w:sz w:val="24"/>
        </w:rPr>
      </w:pPr>
    </w:p>
    <w:p w14:paraId="3EB2CFFB" w14:textId="77777777" w:rsidR="00AD20C2" w:rsidRPr="00052185" w:rsidRDefault="00AD20C2" w:rsidP="00052185">
      <w:pPr>
        <w:tabs>
          <w:tab w:val="left" w:pos="3400"/>
        </w:tabs>
        <w:rPr>
          <w:rFonts w:ascii="Arial" w:hAnsi="Arial" w:cs="Arial"/>
          <w:b/>
          <w:color w:val="2E74B5" w:themeColor="accent1" w:themeShade="BF"/>
          <w:sz w:val="24"/>
        </w:rPr>
      </w:pPr>
      <w:r w:rsidRPr="00052185">
        <w:rPr>
          <w:rFonts w:ascii="Arial" w:hAnsi="Arial" w:cs="Arial"/>
          <w:b/>
          <w:color w:val="2E74B5" w:themeColor="accent1" w:themeShade="BF"/>
          <w:sz w:val="24"/>
        </w:rPr>
        <w:t>SUMÁRIO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529875105"/>
        <w:docPartObj>
          <w:docPartGallery w:val="Table of Contents"/>
          <w:docPartUnique/>
        </w:docPartObj>
      </w:sdtPr>
      <w:sdtEndPr/>
      <w:sdtContent>
        <w:p w14:paraId="6CE1999C" w14:textId="77777777" w:rsidR="00F862FB" w:rsidRDefault="00F862FB">
          <w:pPr>
            <w:pStyle w:val="CabealhodoSumrio"/>
          </w:pPr>
        </w:p>
        <w:p w14:paraId="638BA2BA" w14:textId="27F9A38E" w:rsidR="003E118F" w:rsidRDefault="00F862FB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n-GB" w:eastAsia="en-GB"/>
            </w:rPr>
          </w:pPr>
          <w:r w:rsidRPr="00D2697A">
            <w:rPr>
              <w:color w:val="2E74B5" w:themeColor="accent1" w:themeShade="BF"/>
            </w:rPr>
            <w:fldChar w:fldCharType="begin"/>
          </w:r>
          <w:r w:rsidRPr="00D2697A">
            <w:rPr>
              <w:color w:val="2E74B5" w:themeColor="accent1" w:themeShade="BF"/>
            </w:rPr>
            <w:instrText xml:space="preserve"> TOC \o "1-3" \h \z \u </w:instrText>
          </w:r>
          <w:r w:rsidRPr="00D2697A">
            <w:rPr>
              <w:color w:val="2E74B5" w:themeColor="accent1" w:themeShade="BF"/>
            </w:rPr>
            <w:fldChar w:fldCharType="separate"/>
          </w:r>
          <w:hyperlink w:anchor="_Toc132733805" w:history="1"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1.</w:t>
            </w:r>
            <w:r w:rsidR="003E118F">
              <w:rPr>
                <w:rFonts w:eastAsiaTheme="minorEastAsia"/>
                <w:noProof/>
                <w:lang w:val="en-GB" w:eastAsia="en-GB"/>
              </w:rPr>
              <w:tab/>
            </w:r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INTRODUÇÃO</w:t>
            </w:r>
            <w:r w:rsidR="003E118F">
              <w:rPr>
                <w:noProof/>
                <w:webHidden/>
              </w:rPr>
              <w:tab/>
            </w:r>
            <w:r w:rsidR="003E118F">
              <w:rPr>
                <w:noProof/>
                <w:webHidden/>
              </w:rPr>
              <w:fldChar w:fldCharType="begin"/>
            </w:r>
            <w:r w:rsidR="003E118F">
              <w:rPr>
                <w:noProof/>
                <w:webHidden/>
              </w:rPr>
              <w:instrText xml:space="preserve"> PAGEREF _Toc132733805 \h </w:instrText>
            </w:r>
            <w:r w:rsidR="003E118F">
              <w:rPr>
                <w:noProof/>
                <w:webHidden/>
              </w:rPr>
            </w:r>
            <w:r w:rsidR="003E118F">
              <w:rPr>
                <w:noProof/>
                <w:webHidden/>
              </w:rPr>
              <w:fldChar w:fldCharType="separate"/>
            </w:r>
            <w:r w:rsidR="003E118F">
              <w:rPr>
                <w:noProof/>
                <w:webHidden/>
              </w:rPr>
              <w:t>3</w:t>
            </w:r>
            <w:r w:rsidR="003E118F">
              <w:rPr>
                <w:noProof/>
                <w:webHidden/>
              </w:rPr>
              <w:fldChar w:fldCharType="end"/>
            </w:r>
          </w:hyperlink>
        </w:p>
        <w:p w14:paraId="7EEE9BCC" w14:textId="09DA7632" w:rsidR="003E118F" w:rsidRDefault="005B0251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n-GB" w:eastAsia="en-GB"/>
            </w:rPr>
          </w:pPr>
          <w:hyperlink w:anchor="_Toc132733806" w:history="1"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2.</w:t>
            </w:r>
            <w:r w:rsidR="003E118F">
              <w:rPr>
                <w:rFonts w:eastAsiaTheme="minorEastAsia"/>
                <w:noProof/>
                <w:lang w:val="en-GB" w:eastAsia="en-GB"/>
              </w:rPr>
              <w:tab/>
            </w:r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ESCOPO</w:t>
            </w:r>
            <w:r w:rsidR="003E118F">
              <w:rPr>
                <w:noProof/>
                <w:webHidden/>
              </w:rPr>
              <w:tab/>
            </w:r>
            <w:r w:rsidR="003E118F">
              <w:rPr>
                <w:noProof/>
                <w:webHidden/>
              </w:rPr>
              <w:fldChar w:fldCharType="begin"/>
            </w:r>
            <w:r w:rsidR="003E118F">
              <w:rPr>
                <w:noProof/>
                <w:webHidden/>
              </w:rPr>
              <w:instrText xml:space="preserve"> PAGEREF _Toc132733806 \h </w:instrText>
            </w:r>
            <w:r w:rsidR="003E118F">
              <w:rPr>
                <w:noProof/>
                <w:webHidden/>
              </w:rPr>
            </w:r>
            <w:r w:rsidR="003E118F">
              <w:rPr>
                <w:noProof/>
                <w:webHidden/>
              </w:rPr>
              <w:fldChar w:fldCharType="separate"/>
            </w:r>
            <w:r w:rsidR="003E118F">
              <w:rPr>
                <w:noProof/>
                <w:webHidden/>
              </w:rPr>
              <w:t>3</w:t>
            </w:r>
            <w:r w:rsidR="003E118F">
              <w:rPr>
                <w:noProof/>
                <w:webHidden/>
              </w:rPr>
              <w:fldChar w:fldCharType="end"/>
            </w:r>
          </w:hyperlink>
        </w:p>
        <w:p w14:paraId="22DBE656" w14:textId="1C33AB8A" w:rsidR="003E118F" w:rsidRDefault="005B0251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n-GB" w:eastAsia="en-GB"/>
            </w:rPr>
          </w:pPr>
          <w:hyperlink w:anchor="_Toc132733807" w:history="1"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3.</w:t>
            </w:r>
            <w:r w:rsidR="003E118F">
              <w:rPr>
                <w:rFonts w:eastAsiaTheme="minorEastAsia"/>
                <w:noProof/>
                <w:lang w:val="en-GB" w:eastAsia="en-GB"/>
              </w:rPr>
              <w:tab/>
            </w:r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PERGUNTAS E RESPOSTAS</w:t>
            </w:r>
            <w:r w:rsidR="003E118F">
              <w:rPr>
                <w:noProof/>
                <w:webHidden/>
              </w:rPr>
              <w:tab/>
            </w:r>
            <w:r w:rsidR="003E118F">
              <w:rPr>
                <w:noProof/>
                <w:webHidden/>
              </w:rPr>
              <w:fldChar w:fldCharType="begin"/>
            </w:r>
            <w:r w:rsidR="003E118F">
              <w:rPr>
                <w:noProof/>
                <w:webHidden/>
              </w:rPr>
              <w:instrText xml:space="preserve"> PAGEREF _Toc132733807 \h </w:instrText>
            </w:r>
            <w:r w:rsidR="003E118F">
              <w:rPr>
                <w:noProof/>
                <w:webHidden/>
              </w:rPr>
            </w:r>
            <w:r w:rsidR="003E118F">
              <w:rPr>
                <w:noProof/>
                <w:webHidden/>
              </w:rPr>
              <w:fldChar w:fldCharType="separate"/>
            </w:r>
            <w:r w:rsidR="003E118F">
              <w:rPr>
                <w:noProof/>
                <w:webHidden/>
              </w:rPr>
              <w:t>4</w:t>
            </w:r>
            <w:r w:rsidR="003E118F">
              <w:rPr>
                <w:noProof/>
                <w:webHidden/>
              </w:rPr>
              <w:fldChar w:fldCharType="end"/>
            </w:r>
          </w:hyperlink>
        </w:p>
        <w:p w14:paraId="69202338" w14:textId="2F969454" w:rsidR="003E118F" w:rsidRDefault="005B025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GB" w:eastAsia="en-GB"/>
            </w:rPr>
          </w:pPr>
          <w:hyperlink w:anchor="_Toc132733808" w:history="1"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3.1.</w:t>
            </w:r>
            <w:r w:rsidR="003E118F">
              <w:rPr>
                <w:rFonts w:eastAsiaTheme="minorEastAsia"/>
                <w:noProof/>
                <w:lang w:val="en-GB" w:eastAsia="en-GB"/>
              </w:rPr>
              <w:tab/>
            </w:r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RDC nº 749/2022 – Abrangência</w:t>
            </w:r>
            <w:r w:rsidR="003E118F">
              <w:rPr>
                <w:noProof/>
                <w:webHidden/>
              </w:rPr>
              <w:tab/>
            </w:r>
            <w:r w:rsidR="003E118F">
              <w:rPr>
                <w:noProof/>
                <w:webHidden/>
              </w:rPr>
              <w:fldChar w:fldCharType="begin"/>
            </w:r>
            <w:r w:rsidR="003E118F">
              <w:rPr>
                <w:noProof/>
                <w:webHidden/>
              </w:rPr>
              <w:instrText xml:space="preserve"> PAGEREF _Toc132733808 \h </w:instrText>
            </w:r>
            <w:r w:rsidR="003E118F">
              <w:rPr>
                <w:noProof/>
                <w:webHidden/>
              </w:rPr>
            </w:r>
            <w:r w:rsidR="003E118F">
              <w:rPr>
                <w:noProof/>
                <w:webHidden/>
              </w:rPr>
              <w:fldChar w:fldCharType="separate"/>
            </w:r>
            <w:r w:rsidR="003E118F">
              <w:rPr>
                <w:noProof/>
                <w:webHidden/>
              </w:rPr>
              <w:t>4</w:t>
            </w:r>
            <w:r w:rsidR="003E118F">
              <w:rPr>
                <w:noProof/>
                <w:webHidden/>
              </w:rPr>
              <w:fldChar w:fldCharType="end"/>
            </w:r>
          </w:hyperlink>
        </w:p>
        <w:p w14:paraId="10F3FB1B" w14:textId="2C45D932" w:rsidR="003E118F" w:rsidRDefault="005B025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GB" w:eastAsia="en-GB"/>
            </w:rPr>
          </w:pPr>
          <w:hyperlink w:anchor="_Toc132733809" w:history="1"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3.2.</w:t>
            </w:r>
            <w:r w:rsidR="003E118F">
              <w:rPr>
                <w:rFonts w:eastAsiaTheme="minorEastAsia"/>
                <w:noProof/>
                <w:lang w:val="en-GB" w:eastAsia="en-GB"/>
              </w:rPr>
              <w:tab/>
            </w:r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RDC nº 749/2022 – Bioisenção em razão da forma farmacêutica, via de administração ou local de ação</w:t>
            </w:r>
            <w:r w:rsidR="003E118F">
              <w:rPr>
                <w:noProof/>
                <w:webHidden/>
              </w:rPr>
              <w:tab/>
            </w:r>
            <w:r w:rsidR="003E118F">
              <w:rPr>
                <w:noProof/>
                <w:webHidden/>
              </w:rPr>
              <w:fldChar w:fldCharType="begin"/>
            </w:r>
            <w:r w:rsidR="003E118F">
              <w:rPr>
                <w:noProof/>
                <w:webHidden/>
              </w:rPr>
              <w:instrText xml:space="preserve"> PAGEREF _Toc132733809 \h </w:instrText>
            </w:r>
            <w:r w:rsidR="003E118F">
              <w:rPr>
                <w:noProof/>
                <w:webHidden/>
              </w:rPr>
            </w:r>
            <w:r w:rsidR="003E118F">
              <w:rPr>
                <w:noProof/>
                <w:webHidden/>
              </w:rPr>
              <w:fldChar w:fldCharType="separate"/>
            </w:r>
            <w:r w:rsidR="003E118F">
              <w:rPr>
                <w:noProof/>
                <w:webHidden/>
              </w:rPr>
              <w:t>5</w:t>
            </w:r>
            <w:r w:rsidR="003E118F">
              <w:rPr>
                <w:noProof/>
                <w:webHidden/>
              </w:rPr>
              <w:fldChar w:fldCharType="end"/>
            </w:r>
          </w:hyperlink>
        </w:p>
        <w:p w14:paraId="7AF4F387" w14:textId="12061DC6" w:rsidR="003E118F" w:rsidRDefault="005B025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GB" w:eastAsia="en-GB"/>
            </w:rPr>
          </w:pPr>
          <w:hyperlink w:anchor="_Toc132733810" w:history="1"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3.3.</w:t>
            </w:r>
            <w:r w:rsidR="003E118F">
              <w:rPr>
                <w:rFonts w:eastAsiaTheme="minorEastAsia"/>
                <w:noProof/>
                <w:lang w:val="en-GB" w:eastAsia="en-GB"/>
              </w:rPr>
              <w:tab/>
            </w:r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RDC nº 749/2022 – Bioisenção para as demais concentrações</w:t>
            </w:r>
            <w:r w:rsidR="003E118F">
              <w:rPr>
                <w:noProof/>
                <w:webHidden/>
              </w:rPr>
              <w:tab/>
            </w:r>
            <w:r w:rsidR="003E118F">
              <w:rPr>
                <w:noProof/>
                <w:webHidden/>
              </w:rPr>
              <w:fldChar w:fldCharType="begin"/>
            </w:r>
            <w:r w:rsidR="003E118F">
              <w:rPr>
                <w:noProof/>
                <w:webHidden/>
              </w:rPr>
              <w:instrText xml:space="preserve"> PAGEREF _Toc132733810 \h </w:instrText>
            </w:r>
            <w:r w:rsidR="003E118F">
              <w:rPr>
                <w:noProof/>
                <w:webHidden/>
              </w:rPr>
            </w:r>
            <w:r w:rsidR="003E118F">
              <w:rPr>
                <w:noProof/>
                <w:webHidden/>
              </w:rPr>
              <w:fldChar w:fldCharType="separate"/>
            </w:r>
            <w:r w:rsidR="003E118F">
              <w:rPr>
                <w:noProof/>
                <w:webHidden/>
              </w:rPr>
              <w:t>10</w:t>
            </w:r>
            <w:r w:rsidR="003E118F">
              <w:rPr>
                <w:noProof/>
                <w:webHidden/>
              </w:rPr>
              <w:fldChar w:fldCharType="end"/>
            </w:r>
          </w:hyperlink>
        </w:p>
        <w:p w14:paraId="222F6F24" w14:textId="15930866" w:rsidR="003E118F" w:rsidRDefault="005B025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GB" w:eastAsia="en-GB"/>
            </w:rPr>
          </w:pPr>
          <w:hyperlink w:anchor="_Toc132733811" w:history="1"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3.4.</w:t>
            </w:r>
            <w:r w:rsidR="003E118F">
              <w:rPr>
                <w:rFonts w:eastAsiaTheme="minorEastAsia"/>
                <w:noProof/>
                <w:lang w:val="en-GB" w:eastAsia="en-GB"/>
              </w:rPr>
              <w:tab/>
            </w:r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RDC nº 749/2022 – Bioisenção baseada no sistema de classificação biofarmacêutica</w:t>
            </w:r>
            <w:r w:rsidR="003E118F">
              <w:rPr>
                <w:noProof/>
                <w:webHidden/>
              </w:rPr>
              <w:tab/>
            </w:r>
            <w:r w:rsidR="003E118F">
              <w:rPr>
                <w:noProof/>
                <w:webHidden/>
              </w:rPr>
              <w:fldChar w:fldCharType="begin"/>
            </w:r>
            <w:r w:rsidR="003E118F">
              <w:rPr>
                <w:noProof/>
                <w:webHidden/>
              </w:rPr>
              <w:instrText xml:space="preserve"> PAGEREF _Toc132733811 \h </w:instrText>
            </w:r>
            <w:r w:rsidR="003E118F">
              <w:rPr>
                <w:noProof/>
                <w:webHidden/>
              </w:rPr>
            </w:r>
            <w:r w:rsidR="003E118F">
              <w:rPr>
                <w:noProof/>
                <w:webHidden/>
              </w:rPr>
              <w:fldChar w:fldCharType="separate"/>
            </w:r>
            <w:r w:rsidR="003E118F">
              <w:rPr>
                <w:noProof/>
                <w:webHidden/>
              </w:rPr>
              <w:t>12</w:t>
            </w:r>
            <w:r w:rsidR="003E118F">
              <w:rPr>
                <w:noProof/>
                <w:webHidden/>
              </w:rPr>
              <w:fldChar w:fldCharType="end"/>
            </w:r>
          </w:hyperlink>
        </w:p>
        <w:p w14:paraId="10C77D8A" w14:textId="5EBAA413" w:rsidR="003E118F" w:rsidRDefault="005B025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GB" w:eastAsia="en-GB"/>
            </w:rPr>
          </w:pPr>
          <w:hyperlink w:anchor="_Toc132733812" w:history="1"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3.5.</w:t>
            </w:r>
            <w:r w:rsidR="003E118F">
              <w:rPr>
                <w:rFonts w:eastAsiaTheme="minorEastAsia"/>
                <w:noProof/>
                <w:lang w:val="en-GB" w:eastAsia="en-GB"/>
              </w:rPr>
              <w:tab/>
            </w:r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RDC nº 749/2022 – Disposições finais e transitórias</w:t>
            </w:r>
            <w:r w:rsidR="003E118F">
              <w:rPr>
                <w:noProof/>
                <w:webHidden/>
              </w:rPr>
              <w:tab/>
            </w:r>
            <w:r w:rsidR="003E118F">
              <w:rPr>
                <w:noProof/>
                <w:webHidden/>
              </w:rPr>
              <w:fldChar w:fldCharType="begin"/>
            </w:r>
            <w:r w:rsidR="003E118F">
              <w:rPr>
                <w:noProof/>
                <w:webHidden/>
              </w:rPr>
              <w:instrText xml:space="preserve"> PAGEREF _Toc132733812 \h </w:instrText>
            </w:r>
            <w:r w:rsidR="003E118F">
              <w:rPr>
                <w:noProof/>
                <w:webHidden/>
              </w:rPr>
            </w:r>
            <w:r w:rsidR="003E118F">
              <w:rPr>
                <w:noProof/>
                <w:webHidden/>
              </w:rPr>
              <w:fldChar w:fldCharType="separate"/>
            </w:r>
            <w:r w:rsidR="003E118F">
              <w:rPr>
                <w:noProof/>
                <w:webHidden/>
              </w:rPr>
              <w:t>15</w:t>
            </w:r>
            <w:r w:rsidR="003E118F">
              <w:rPr>
                <w:noProof/>
                <w:webHidden/>
              </w:rPr>
              <w:fldChar w:fldCharType="end"/>
            </w:r>
          </w:hyperlink>
        </w:p>
        <w:p w14:paraId="5027D938" w14:textId="6C51ABAD" w:rsidR="003E118F" w:rsidRDefault="005B025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GB" w:eastAsia="en-GB"/>
            </w:rPr>
          </w:pPr>
          <w:hyperlink w:anchor="_Toc132733813" w:history="1"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3.6.</w:t>
            </w:r>
            <w:r w:rsidR="003E118F">
              <w:rPr>
                <w:rFonts w:eastAsiaTheme="minorEastAsia"/>
                <w:noProof/>
                <w:lang w:val="en-GB" w:eastAsia="en-GB"/>
              </w:rPr>
              <w:tab/>
            </w:r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IN nº 182/2022</w:t>
            </w:r>
            <w:r w:rsidR="003E118F">
              <w:rPr>
                <w:noProof/>
                <w:webHidden/>
              </w:rPr>
              <w:tab/>
            </w:r>
            <w:r w:rsidR="003E118F">
              <w:rPr>
                <w:noProof/>
                <w:webHidden/>
              </w:rPr>
              <w:fldChar w:fldCharType="begin"/>
            </w:r>
            <w:r w:rsidR="003E118F">
              <w:rPr>
                <w:noProof/>
                <w:webHidden/>
              </w:rPr>
              <w:instrText xml:space="preserve"> PAGEREF _Toc132733813 \h </w:instrText>
            </w:r>
            <w:r w:rsidR="003E118F">
              <w:rPr>
                <w:noProof/>
                <w:webHidden/>
              </w:rPr>
            </w:r>
            <w:r w:rsidR="003E118F">
              <w:rPr>
                <w:noProof/>
                <w:webHidden/>
              </w:rPr>
              <w:fldChar w:fldCharType="separate"/>
            </w:r>
            <w:r w:rsidR="003E118F">
              <w:rPr>
                <w:noProof/>
                <w:webHidden/>
              </w:rPr>
              <w:t>16</w:t>
            </w:r>
            <w:r w:rsidR="003E118F">
              <w:rPr>
                <w:noProof/>
                <w:webHidden/>
              </w:rPr>
              <w:fldChar w:fldCharType="end"/>
            </w:r>
          </w:hyperlink>
        </w:p>
        <w:p w14:paraId="23C51B21" w14:textId="21657CBB" w:rsidR="003E118F" w:rsidRDefault="005B0251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n-GB" w:eastAsia="en-GB"/>
            </w:rPr>
          </w:pPr>
          <w:hyperlink w:anchor="_Toc132733814" w:history="1"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3.7.</w:t>
            </w:r>
            <w:r w:rsidR="003E118F">
              <w:rPr>
                <w:rFonts w:eastAsiaTheme="minorEastAsia"/>
                <w:noProof/>
                <w:lang w:val="en-GB" w:eastAsia="en-GB"/>
              </w:rPr>
              <w:tab/>
            </w:r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IN nº 183/2022</w:t>
            </w:r>
            <w:r w:rsidR="003E118F">
              <w:rPr>
                <w:noProof/>
                <w:webHidden/>
              </w:rPr>
              <w:tab/>
            </w:r>
            <w:r w:rsidR="003E118F">
              <w:rPr>
                <w:noProof/>
                <w:webHidden/>
              </w:rPr>
              <w:fldChar w:fldCharType="begin"/>
            </w:r>
            <w:r w:rsidR="003E118F">
              <w:rPr>
                <w:noProof/>
                <w:webHidden/>
              </w:rPr>
              <w:instrText xml:space="preserve"> PAGEREF _Toc132733814 \h </w:instrText>
            </w:r>
            <w:r w:rsidR="003E118F">
              <w:rPr>
                <w:noProof/>
                <w:webHidden/>
              </w:rPr>
            </w:r>
            <w:r w:rsidR="003E118F">
              <w:rPr>
                <w:noProof/>
                <w:webHidden/>
              </w:rPr>
              <w:fldChar w:fldCharType="separate"/>
            </w:r>
            <w:r w:rsidR="003E118F">
              <w:rPr>
                <w:noProof/>
                <w:webHidden/>
              </w:rPr>
              <w:t>16</w:t>
            </w:r>
            <w:r w:rsidR="003E118F">
              <w:rPr>
                <w:noProof/>
                <w:webHidden/>
              </w:rPr>
              <w:fldChar w:fldCharType="end"/>
            </w:r>
          </w:hyperlink>
        </w:p>
        <w:p w14:paraId="5BAE7609" w14:textId="6AFC57B1" w:rsidR="003E118F" w:rsidRDefault="005B0251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n-GB" w:eastAsia="en-GB"/>
            </w:rPr>
          </w:pPr>
          <w:hyperlink w:anchor="_Toc132733815" w:history="1"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4.</w:t>
            </w:r>
            <w:r w:rsidR="003E118F">
              <w:rPr>
                <w:rFonts w:eastAsiaTheme="minorEastAsia"/>
                <w:noProof/>
                <w:lang w:val="en-GB" w:eastAsia="en-GB"/>
              </w:rPr>
              <w:tab/>
            </w:r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NORMAS RELACIONADAS E REFERÊNCIAS</w:t>
            </w:r>
            <w:r w:rsidR="003E118F">
              <w:rPr>
                <w:noProof/>
                <w:webHidden/>
              </w:rPr>
              <w:tab/>
            </w:r>
            <w:r w:rsidR="003E118F">
              <w:rPr>
                <w:noProof/>
                <w:webHidden/>
              </w:rPr>
              <w:fldChar w:fldCharType="begin"/>
            </w:r>
            <w:r w:rsidR="003E118F">
              <w:rPr>
                <w:noProof/>
                <w:webHidden/>
              </w:rPr>
              <w:instrText xml:space="preserve"> PAGEREF _Toc132733815 \h </w:instrText>
            </w:r>
            <w:r w:rsidR="003E118F">
              <w:rPr>
                <w:noProof/>
                <w:webHidden/>
              </w:rPr>
            </w:r>
            <w:r w:rsidR="003E118F">
              <w:rPr>
                <w:noProof/>
                <w:webHidden/>
              </w:rPr>
              <w:fldChar w:fldCharType="separate"/>
            </w:r>
            <w:r w:rsidR="003E118F">
              <w:rPr>
                <w:noProof/>
                <w:webHidden/>
              </w:rPr>
              <w:t>16</w:t>
            </w:r>
            <w:r w:rsidR="003E118F">
              <w:rPr>
                <w:noProof/>
                <w:webHidden/>
              </w:rPr>
              <w:fldChar w:fldCharType="end"/>
            </w:r>
          </w:hyperlink>
        </w:p>
        <w:p w14:paraId="4EF32830" w14:textId="35B40C3A" w:rsidR="003E118F" w:rsidRDefault="005B0251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n-GB" w:eastAsia="en-GB"/>
            </w:rPr>
          </w:pPr>
          <w:hyperlink w:anchor="_Toc132733816" w:history="1"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5.</w:t>
            </w:r>
            <w:r w:rsidR="003E118F">
              <w:rPr>
                <w:rFonts w:eastAsiaTheme="minorEastAsia"/>
                <w:noProof/>
                <w:lang w:val="en-GB" w:eastAsia="en-GB"/>
              </w:rPr>
              <w:tab/>
            </w:r>
            <w:r w:rsidR="003E118F" w:rsidRPr="00F120B8">
              <w:rPr>
                <w:rStyle w:val="Hyperlink"/>
                <w:rFonts w:ascii="Arial" w:hAnsi="Arial" w:cs="Arial"/>
                <w:b/>
                <w:noProof/>
              </w:rPr>
              <w:t>HISTÓRICO DE ALTERAÇÕES</w:t>
            </w:r>
            <w:r w:rsidR="003E118F">
              <w:rPr>
                <w:noProof/>
                <w:webHidden/>
              </w:rPr>
              <w:tab/>
            </w:r>
            <w:r w:rsidR="003E118F">
              <w:rPr>
                <w:noProof/>
                <w:webHidden/>
              </w:rPr>
              <w:fldChar w:fldCharType="begin"/>
            </w:r>
            <w:r w:rsidR="003E118F">
              <w:rPr>
                <w:noProof/>
                <w:webHidden/>
              </w:rPr>
              <w:instrText xml:space="preserve"> PAGEREF _Toc132733816 \h </w:instrText>
            </w:r>
            <w:r w:rsidR="003E118F">
              <w:rPr>
                <w:noProof/>
                <w:webHidden/>
              </w:rPr>
            </w:r>
            <w:r w:rsidR="003E118F">
              <w:rPr>
                <w:noProof/>
                <w:webHidden/>
              </w:rPr>
              <w:fldChar w:fldCharType="separate"/>
            </w:r>
            <w:r w:rsidR="003E118F">
              <w:rPr>
                <w:noProof/>
                <w:webHidden/>
              </w:rPr>
              <w:t>17</w:t>
            </w:r>
            <w:r w:rsidR="003E118F">
              <w:rPr>
                <w:noProof/>
                <w:webHidden/>
              </w:rPr>
              <w:fldChar w:fldCharType="end"/>
            </w:r>
          </w:hyperlink>
        </w:p>
        <w:p w14:paraId="76E84EA4" w14:textId="61598902" w:rsidR="00F862FB" w:rsidRDefault="00F862FB">
          <w:r w:rsidRPr="00D2697A">
            <w:rPr>
              <w:color w:val="2E74B5" w:themeColor="accent1" w:themeShade="BF"/>
            </w:rPr>
            <w:fldChar w:fldCharType="end"/>
          </w:r>
        </w:p>
      </w:sdtContent>
    </w:sdt>
    <w:p w14:paraId="491DECA1" w14:textId="77777777" w:rsidR="00052185" w:rsidRDefault="00052185" w:rsidP="00052185">
      <w:pPr>
        <w:jc w:val="both"/>
        <w:rPr>
          <w:rFonts w:ascii="Arial" w:hAnsi="Arial" w:cs="Arial"/>
          <w:b/>
          <w:color w:val="2E74B5" w:themeColor="accent1" w:themeShade="BF"/>
          <w:sz w:val="24"/>
        </w:rPr>
      </w:pPr>
    </w:p>
    <w:p w14:paraId="47756C0C" w14:textId="77777777" w:rsidR="007C48B7" w:rsidRDefault="007C48B7" w:rsidP="00052185">
      <w:pPr>
        <w:jc w:val="both"/>
        <w:rPr>
          <w:rFonts w:ascii="Arial" w:hAnsi="Arial" w:cs="Arial"/>
          <w:b/>
          <w:color w:val="2E74B5" w:themeColor="accent1" w:themeShade="BF"/>
          <w:sz w:val="24"/>
        </w:rPr>
        <w:sectPr w:rsidR="007C48B7" w:rsidSect="00B974BB">
          <w:footerReference w:type="firs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D06F084" w14:textId="77777777" w:rsidR="00052185" w:rsidRDefault="00052185" w:rsidP="00052185">
      <w:pPr>
        <w:jc w:val="both"/>
        <w:rPr>
          <w:rFonts w:ascii="Arial" w:hAnsi="Arial" w:cs="Arial"/>
          <w:b/>
          <w:color w:val="2E74B5" w:themeColor="accent1" w:themeShade="BF"/>
          <w:sz w:val="24"/>
        </w:rPr>
      </w:pPr>
    </w:p>
    <w:p w14:paraId="338A2B3B" w14:textId="77777777" w:rsidR="0089434E" w:rsidRPr="007A1100" w:rsidRDefault="0089434E" w:rsidP="00490FEA">
      <w:pPr>
        <w:pStyle w:val="PargrafodaLista"/>
        <w:numPr>
          <w:ilvl w:val="0"/>
          <w:numId w:val="10"/>
        </w:numPr>
        <w:spacing w:after="200" w:line="276" w:lineRule="auto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0" w:name="_Toc132733805"/>
      <w:r w:rsidRPr="007A1100">
        <w:rPr>
          <w:rFonts w:ascii="Arial" w:hAnsi="Arial" w:cs="Arial"/>
          <w:b/>
          <w:color w:val="2E74B5" w:themeColor="accent1" w:themeShade="BF"/>
          <w:sz w:val="24"/>
          <w:szCs w:val="24"/>
        </w:rPr>
        <w:t>INTRODUÇÃO</w:t>
      </w:r>
      <w:bookmarkEnd w:id="0"/>
      <w:r w:rsidRPr="007A1100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</w:p>
    <w:p w14:paraId="56A93886" w14:textId="77777777" w:rsidR="004A17A6" w:rsidRPr="004A17A6" w:rsidRDefault="004A17A6" w:rsidP="00F811A1">
      <w:pPr>
        <w:pStyle w:val="PargrafodaLista"/>
        <w:ind w:left="0"/>
        <w:jc w:val="both"/>
        <w:rPr>
          <w:rFonts w:ascii="Arial" w:hAnsi="Arial" w:cs="Arial"/>
          <w:b/>
          <w:color w:val="2E74B5" w:themeColor="accent1" w:themeShade="BF"/>
          <w:sz w:val="24"/>
        </w:rPr>
      </w:pPr>
    </w:p>
    <w:p w14:paraId="1394B2DB" w14:textId="26A370F3" w:rsidR="000217E8" w:rsidRPr="009072FE" w:rsidRDefault="00F7275C" w:rsidP="000217E8">
      <w:pPr>
        <w:pStyle w:val="PargrafodaLista"/>
        <w:spacing w:after="0"/>
        <w:ind w:left="0" w:firstLine="708"/>
        <w:jc w:val="both"/>
        <w:rPr>
          <w:rFonts w:ascii="Arial" w:hAnsi="Arial" w:cs="Arial"/>
        </w:rPr>
      </w:pPr>
      <w:r w:rsidRPr="00F7275C">
        <w:rPr>
          <w:rFonts w:ascii="Arial" w:hAnsi="Arial" w:cs="Arial"/>
        </w:rPr>
        <w:t>A Resolução</w:t>
      </w:r>
      <w:r w:rsidR="00A16D2F">
        <w:rPr>
          <w:rFonts w:ascii="Arial" w:hAnsi="Arial" w:cs="Arial"/>
        </w:rPr>
        <w:t xml:space="preserve"> de Diretoria Colegiada</w:t>
      </w:r>
      <w:r w:rsidRPr="00F7275C">
        <w:rPr>
          <w:rFonts w:ascii="Arial" w:hAnsi="Arial" w:cs="Arial"/>
        </w:rPr>
        <w:t xml:space="preserve"> RDC </w:t>
      </w:r>
      <w:r w:rsidR="00A16D2F">
        <w:rPr>
          <w:rFonts w:ascii="Arial" w:hAnsi="Arial" w:cs="Arial"/>
        </w:rPr>
        <w:t xml:space="preserve">nº </w:t>
      </w:r>
      <w:r w:rsidR="00F811A1">
        <w:rPr>
          <w:rFonts w:ascii="Arial" w:hAnsi="Arial" w:cs="Arial"/>
        </w:rPr>
        <w:t>749</w:t>
      </w:r>
      <w:r w:rsidRPr="00F7275C">
        <w:rPr>
          <w:rFonts w:ascii="Arial" w:hAnsi="Arial" w:cs="Arial"/>
        </w:rPr>
        <w:t xml:space="preserve">, de </w:t>
      </w:r>
      <w:r w:rsidR="00F811A1">
        <w:rPr>
          <w:rFonts w:ascii="Arial" w:hAnsi="Arial" w:cs="Arial"/>
        </w:rPr>
        <w:t>5</w:t>
      </w:r>
      <w:r w:rsidRPr="00F7275C">
        <w:rPr>
          <w:rFonts w:ascii="Arial" w:hAnsi="Arial" w:cs="Arial"/>
        </w:rPr>
        <w:t xml:space="preserve"> de </w:t>
      </w:r>
      <w:r w:rsidR="00F811A1">
        <w:rPr>
          <w:rFonts w:ascii="Arial" w:hAnsi="Arial" w:cs="Arial"/>
        </w:rPr>
        <w:t>setembro</w:t>
      </w:r>
      <w:r w:rsidRPr="00F7275C">
        <w:rPr>
          <w:rFonts w:ascii="Arial" w:hAnsi="Arial" w:cs="Arial"/>
        </w:rPr>
        <w:t xml:space="preserve"> de 20</w:t>
      </w:r>
      <w:r w:rsidR="00F811A1">
        <w:rPr>
          <w:rFonts w:ascii="Arial" w:hAnsi="Arial" w:cs="Arial"/>
        </w:rPr>
        <w:t>22</w:t>
      </w:r>
      <w:r w:rsidR="007545AF">
        <w:rPr>
          <w:rFonts w:ascii="Arial" w:hAnsi="Arial" w:cs="Arial"/>
        </w:rPr>
        <w:t>,</w:t>
      </w:r>
      <w:r w:rsidRPr="00F7275C">
        <w:rPr>
          <w:rFonts w:ascii="Arial" w:hAnsi="Arial" w:cs="Arial"/>
        </w:rPr>
        <w:t xml:space="preserve"> foi publicada no Diário Oficial da</w:t>
      </w:r>
      <w:r w:rsidR="00F811A1">
        <w:rPr>
          <w:rFonts w:ascii="Arial" w:hAnsi="Arial" w:cs="Arial"/>
        </w:rPr>
        <w:t xml:space="preserve"> </w:t>
      </w:r>
      <w:r w:rsidRPr="00F7275C">
        <w:rPr>
          <w:rFonts w:ascii="Arial" w:hAnsi="Arial" w:cs="Arial"/>
        </w:rPr>
        <w:t xml:space="preserve">União de 8 de </w:t>
      </w:r>
      <w:r w:rsidR="00F811A1">
        <w:rPr>
          <w:rFonts w:ascii="Arial" w:hAnsi="Arial" w:cs="Arial"/>
        </w:rPr>
        <w:t xml:space="preserve">setembro de 2022. </w:t>
      </w:r>
      <w:r w:rsidRPr="00CB1EE0">
        <w:rPr>
          <w:rFonts w:ascii="Arial" w:hAnsi="Arial" w:cs="Arial"/>
        </w:rPr>
        <w:t xml:space="preserve">A Resolução dispõe sobre </w:t>
      </w:r>
      <w:r w:rsidR="00CB1EE0" w:rsidRPr="009072FE">
        <w:rPr>
          <w:rFonts w:ascii="Arial" w:hAnsi="Arial" w:cs="Arial"/>
        </w:rPr>
        <w:t>isenção de estudos de bioequivalência/biodisponibilidade relativa.</w:t>
      </w:r>
    </w:p>
    <w:p w14:paraId="08E86557" w14:textId="7B315AF0" w:rsidR="00D939A7" w:rsidRPr="009072FE" w:rsidRDefault="000217E8" w:rsidP="000217E8">
      <w:pPr>
        <w:pStyle w:val="PargrafodaLista"/>
        <w:spacing w:after="0"/>
        <w:ind w:left="0" w:firstLine="708"/>
        <w:jc w:val="both"/>
        <w:rPr>
          <w:rFonts w:ascii="Arial" w:hAnsi="Arial" w:cs="Arial"/>
        </w:rPr>
      </w:pPr>
      <w:r w:rsidRPr="009072FE">
        <w:rPr>
          <w:rFonts w:ascii="Arial" w:hAnsi="Arial" w:cs="Arial"/>
        </w:rPr>
        <w:t xml:space="preserve">Os requisitos para </w:t>
      </w:r>
      <w:proofErr w:type="spellStart"/>
      <w:r w:rsidRPr="009072FE">
        <w:rPr>
          <w:rFonts w:ascii="Arial" w:hAnsi="Arial" w:cs="Arial"/>
        </w:rPr>
        <w:t>bioisenção</w:t>
      </w:r>
      <w:proofErr w:type="spellEnd"/>
      <w:r w:rsidRPr="009072FE">
        <w:rPr>
          <w:rFonts w:ascii="Arial" w:hAnsi="Arial" w:cs="Arial"/>
        </w:rPr>
        <w:t xml:space="preserve"> foram atualizados com base no conhecimento científico</w:t>
      </w:r>
      <w:r w:rsidR="00D939A7" w:rsidRPr="009072FE">
        <w:rPr>
          <w:rFonts w:ascii="Arial" w:hAnsi="Arial" w:cs="Arial"/>
        </w:rPr>
        <w:t xml:space="preserve"> </w:t>
      </w:r>
      <w:r w:rsidRPr="009072FE">
        <w:rPr>
          <w:rFonts w:ascii="Arial" w:hAnsi="Arial" w:cs="Arial"/>
        </w:rPr>
        <w:t xml:space="preserve">atualmente disponível e </w:t>
      </w:r>
      <w:r w:rsidR="00714302">
        <w:rPr>
          <w:rFonts w:ascii="Arial" w:hAnsi="Arial" w:cs="Arial"/>
        </w:rPr>
        <w:t>favorece</w:t>
      </w:r>
      <w:r w:rsidR="00382D38" w:rsidRPr="009072FE">
        <w:rPr>
          <w:rFonts w:ascii="Arial" w:hAnsi="Arial" w:cs="Arial"/>
        </w:rPr>
        <w:t xml:space="preserve"> </w:t>
      </w:r>
      <w:r w:rsidR="00EE31B5" w:rsidRPr="009072FE">
        <w:rPr>
          <w:rFonts w:ascii="Arial" w:hAnsi="Arial" w:cs="Arial"/>
        </w:rPr>
        <w:t>a</w:t>
      </w:r>
      <w:r w:rsidR="00382D38" w:rsidRPr="009072FE">
        <w:rPr>
          <w:rFonts w:ascii="Arial" w:hAnsi="Arial" w:cs="Arial"/>
        </w:rPr>
        <w:t xml:space="preserve"> convergência internacional</w:t>
      </w:r>
      <w:r w:rsidR="00D75D98" w:rsidRPr="009072FE">
        <w:rPr>
          <w:rFonts w:ascii="Arial" w:hAnsi="Arial" w:cs="Arial"/>
        </w:rPr>
        <w:t xml:space="preserve">. </w:t>
      </w:r>
      <w:r w:rsidRPr="009072FE">
        <w:rPr>
          <w:rFonts w:ascii="Arial" w:hAnsi="Arial" w:cs="Arial"/>
        </w:rPr>
        <w:t xml:space="preserve">Essa atualização, portanto, tornará a legislação brasileira </w:t>
      </w:r>
      <w:r w:rsidR="00714302" w:rsidRPr="009072FE">
        <w:rPr>
          <w:rFonts w:ascii="Arial" w:hAnsi="Arial" w:cs="Arial"/>
        </w:rPr>
        <w:t xml:space="preserve">mais robusta </w:t>
      </w:r>
      <w:r w:rsidRPr="009072FE">
        <w:rPr>
          <w:rFonts w:ascii="Arial" w:hAnsi="Arial" w:cs="Arial"/>
        </w:rPr>
        <w:t>no sentido de garantir medicamentos seguros e eficazes quando comparados aos seus respectivos medicamentos de referência.</w:t>
      </w:r>
    </w:p>
    <w:p w14:paraId="555EE426" w14:textId="79C84FFD" w:rsidR="0083059D" w:rsidRDefault="00382D38" w:rsidP="000217E8">
      <w:pPr>
        <w:pStyle w:val="PargrafodaLista"/>
        <w:spacing w:after="0"/>
        <w:ind w:left="0" w:firstLine="708"/>
        <w:jc w:val="both"/>
        <w:rPr>
          <w:rFonts w:ascii="Arial" w:hAnsi="Arial" w:cs="Arial"/>
        </w:rPr>
      </w:pPr>
      <w:r w:rsidRPr="009072FE">
        <w:rPr>
          <w:rFonts w:ascii="Arial" w:hAnsi="Arial" w:cs="Arial"/>
        </w:rPr>
        <w:t xml:space="preserve">Para a </w:t>
      </w:r>
      <w:proofErr w:type="spellStart"/>
      <w:r w:rsidRPr="009072FE">
        <w:rPr>
          <w:rFonts w:ascii="Arial" w:hAnsi="Arial" w:cs="Arial"/>
        </w:rPr>
        <w:t>bi</w:t>
      </w:r>
      <w:r w:rsidR="00FF78F7" w:rsidRPr="009072FE">
        <w:rPr>
          <w:rFonts w:ascii="Arial" w:hAnsi="Arial" w:cs="Arial"/>
        </w:rPr>
        <w:t>o</w:t>
      </w:r>
      <w:r w:rsidRPr="009072FE">
        <w:rPr>
          <w:rFonts w:ascii="Arial" w:hAnsi="Arial" w:cs="Arial"/>
        </w:rPr>
        <w:t>senção</w:t>
      </w:r>
      <w:proofErr w:type="spellEnd"/>
      <w:r w:rsidRPr="009072FE">
        <w:rPr>
          <w:rFonts w:ascii="Arial" w:hAnsi="Arial" w:cs="Arial"/>
        </w:rPr>
        <w:t xml:space="preserve"> em razão da forma farmacêutica, via de administração ou local de ação, os requisitos foram separados por forma farmacêutica/via de administração </w:t>
      </w:r>
      <w:r w:rsidR="00CA30D2" w:rsidRPr="009072FE">
        <w:rPr>
          <w:rFonts w:ascii="Arial" w:hAnsi="Arial" w:cs="Arial"/>
        </w:rPr>
        <w:t>possibilitando</w:t>
      </w:r>
      <w:r w:rsidRPr="009072FE">
        <w:rPr>
          <w:rFonts w:ascii="Arial" w:hAnsi="Arial" w:cs="Arial"/>
        </w:rPr>
        <w:t xml:space="preserve"> maior detalhamento das funções não críticas</w:t>
      </w:r>
      <w:r w:rsidR="0013311B" w:rsidRPr="009072FE">
        <w:rPr>
          <w:rFonts w:ascii="Arial" w:hAnsi="Arial" w:cs="Arial"/>
        </w:rPr>
        <w:t xml:space="preserve"> e</w:t>
      </w:r>
      <w:r w:rsidR="0080290A" w:rsidRPr="009072FE">
        <w:rPr>
          <w:rFonts w:ascii="Arial" w:hAnsi="Arial" w:cs="Arial"/>
        </w:rPr>
        <w:t xml:space="preserve"> </w:t>
      </w:r>
      <w:r w:rsidRPr="009072FE">
        <w:rPr>
          <w:rFonts w:ascii="Arial" w:hAnsi="Arial" w:cs="Arial"/>
        </w:rPr>
        <w:t>críticas aplicáveis a cada caso.</w:t>
      </w:r>
      <w:r w:rsidR="0083059D">
        <w:rPr>
          <w:rFonts w:ascii="Arial" w:hAnsi="Arial" w:cs="Arial"/>
        </w:rPr>
        <w:t xml:space="preserve"> E os</w:t>
      </w:r>
      <w:r w:rsidR="00AF0376" w:rsidRPr="009072FE">
        <w:rPr>
          <w:rFonts w:ascii="Arial" w:hAnsi="Arial" w:cs="Arial"/>
        </w:rPr>
        <w:t xml:space="preserve"> requisitos de proporcionalidade</w:t>
      </w:r>
      <w:r w:rsidR="00AC3C16" w:rsidRPr="009072FE">
        <w:rPr>
          <w:rFonts w:ascii="Arial" w:hAnsi="Arial" w:cs="Arial"/>
        </w:rPr>
        <w:t xml:space="preserve"> para a </w:t>
      </w:r>
      <w:proofErr w:type="spellStart"/>
      <w:r w:rsidR="00AC3C16" w:rsidRPr="009072FE">
        <w:rPr>
          <w:rFonts w:ascii="Arial" w:hAnsi="Arial" w:cs="Arial"/>
        </w:rPr>
        <w:t>bioisenção</w:t>
      </w:r>
      <w:proofErr w:type="spellEnd"/>
      <w:r w:rsidR="00AC3C16" w:rsidRPr="009072FE">
        <w:rPr>
          <w:rFonts w:ascii="Arial" w:hAnsi="Arial" w:cs="Arial"/>
        </w:rPr>
        <w:t xml:space="preserve"> para demais concentrações</w:t>
      </w:r>
      <w:r w:rsidR="00AF0376" w:rsidRPr="009072FE">
        <w:rPr>
          <w:rFonts w:ascii="Arial" w:hAnsi="Arial" w:cs="Arial"/>
        </w:rPr>
        <w:t xml:space="preserve"> e</w:t>
      </w:r>
      <w:r w:rsidR="00AC3C16" w:rsidRPr="009072FE">
        <w:rPr>
          <w:rFonts w:ascii="Arial" w:hAnsi="Arial" w:cs="Arial"/>
        </w:rPr>
        <w:t xml:space="preserve"> para as formas farmacêuticas em que o estudo de dissolução é aplicável</w:t>
      </w:r>
      <w:r w:rsidR="0083059D">
        <w:rPr>
          <w:rFonts w:ascii="Arial" w:hAnsi="Arial" w:cs="Arial"/>
        </w:rPr>
        <w:t xml:space="preserve"> foram atualizados.</w:t>
      </w:r>
      <w:r w:rsidR="00AC3C16" w:rsidRPr="009072FE">
        <w:rPr>
          <w:rFonts w:ascii="Arial" w:hAnsi="Arial" w:cs="Arial"/>
        </w:rPr>
        <w:t xml:space="preserve"> </w:t>
      </w:r>
    </w:p>
    <w:p w14:paraId="1F10F0AE" w14:textId="42149CFA" w:rsidR="00AF0376" w:rsidRPr="008D5B2E" w:rsidRDefault="0083059D" w:rsidP="000217E8">
      <w:pPr>
        <w:pStyle w:val="PargrafodaLista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C3C16" w:rsidRPr="009072FE">
        <w:rPr>
          <w:rFonts w:ascii="Arial" w:hAnsi="Arial" w:cs="Arial"/>
        </w:rPr>
        <w:t xml:space="preserve">s </w:t>
      </w:r>
      <w:r w:rsidR="00CA30D2" w:rsidRPr="009072FE">
        <w:rPr>
          <w:rFonts w:ascii="Arial" w:hAnsi="Arial" w:cs="Arial"/>
        </w:rPr>
        <w:t xml:space="preserve">perfis de dissolução comparativos </w:t>
      </w:r>
      <w:r w:rsidR="00AC3C16" w:rsidRPr="009072FE">
        <w:rPr>
          <w:rFonts w:ascii="Arial" w:hAnsi="Arial" w:cs="Arial"/>
        </w:rPr>
        <w:t xml:space="preserve">deverão ser realizados </w:t>
      </w:r>
      <w:r w:rsidR="00CA30D2" w:rsidRPr="009072FE">
        <w:rPr>
          <w:rFonts w:ascii="Arial" w:hAnsi="Arial" w:cs="Arial"/>
        </w:rPr>
        <w:t xml:space="preserve">em </w:t>
      </w:r>
      <w:r w:rsidR="00A82B90" w:rsidRPr="009072FE">
        <w:rPr>
          <w:rFonts w:ascii="Arial" w:hAnsi="Arial" w:cs="Arial"/>
        </w:rPr>
        <w:t>três (</w:t>
      </w:r>
      <w:r w:rsidR="00AF0376" w:rsidRPr="009072FE">
        <w:rPr>
          <w:rFonts w:ascii="Arial" w:hAnsi="Arial" w:cs="Arial"/>
        </w:rPr>
        <w:t>3</w:t>
      </w:r>
      <w:r w:rsidR="00A82B90" w:rsidRPr="009072FE">
        <w:rPr>
          <w:rFonts w:ascii="Arial" w:hAnsi="Arial" w:cs="Arial"/>
        </w:rPr>
        <w:t>)</w:t>
      </w:r>
      <w:r w:rsidR="00AF0376" w:rsidRPr="009072FE">
        <w:rPr>
          <w:rFonts w:ascii="Arial" w:hAnsi="Arial" w:cs="Arial"/>
        </w:rPr>
        <w:t xml:space="preserve"> meios</w:t>
      </w:r>
      <w:r w:rsidR="00957DE2" w:rsidRPr="009072FE">
        <w:rPr>
          <w:rFonts w:ascii="Arial" w:hAnsi="Arial" w:cs="Arial"/>
        </w:rPr>
        <w:t xml:space="preserve"> </w:t>
      </w:r>
      <w:r w:rsidR="00672DFD" w:rsidRPr="009072FE">
        <w:rPr>
          <w:rFonts w:ascii="Arial" w:hAnsi="Arial" w:cs="Arial"/>
        </w:rPr>
        <w:t>na faixa de pH fisiológico</w:t>
      </w:r>
      <w:r>
        <w:rPr>
          <w:rFonts w:ascii="Arial" w:hAnsi="Arial" w:cs="Arial"/>
        </w:rPr>
        <w:t>,</w:t>
      </w:r>
      <w:r w:rsidR="00CA30D2" w:rsidRPr="009072FE">
        <w:rPr>
          <w:rFonts w:ascii="Arial" w:hAnsi="Arial" w:cs="Arial"/>
        </w:rPr>
        <w:t xml:space="preserve"> </w:t>
      </w:r>
      <w:r w:rsidR="00AF0376" w:rsidRPr="009072FE">
        <w:rPr>
          <w:rFonts w:ascii="Arial" w:hAnsi="Arial" w:cs="Arial"/>
        </w:rPr>
        <w:t>além</w:t>
      </w:r>
      <w:r w:rsidR="00CA30D2" w:rsidRPr="009072FE">
        <w:rPr>
          <w:rFonts w:ascii="Arial" w:hAnsi="Arial" w:cs="Arial"/>
        </w:rPr>
        <w:t xml:space="preserve"> </w:t>
      </w:r>
      <w:r w:rsidR="00AF0376" w:rsidRPr="009072FE">
        <w:rPr>
          <w:rFonts w:ascii="Arial" w:hAnsi="Arial" w:cs="Arial"/>
        </w:rPr>
        <w:t xml:space="preserve">do </w:t>
      </w:r>
      <w:r w:rsidR="00AC3C16" w:rsidRPr="009072FE">
        <w:rPr>
          <w:rFonts w:ascii="Arial" w:hAnsi="Arial" w:cs="Arial"/>
        </w:rPr>
        <w:t xml:space="preserve">método aprovado no registro </w:t>
      </w:r>
      <w:r>
        <w:rPr>
          <w:rFonts w:ascii="Arial" w:hAnsi="Arial" w:cs="Arial"/>
        </w:rPr>
        <w:t xml:space="preserve">para o controle de qualidade </w:t>
      </w:r>
      <w:r w:rsidR="00AC3C16" w:rsidRPr="009072FE">
        <w:rPr>
          <w:rFonts w:ascii="Arial" w:hAnsi="Arial" w:cs="Arial"/>
        </w:rPr>
        <w:t>do produto</w:t>
      </w:r>
      <w:r w:rsidR="00CA30D2" w:rsidRPr="009072FE">
        <w:rPr>
          <w:rFonts w:ascii="Arial" w:hAnsi="Arial" w:cs="Arial"/>
        </w:rPr>
        <w:t xml:space="preserve">. Também </w:t>
      </w:r>
      <w:r w:rsidR="00AF0376" w:rsidRPr="009072FE">
        <w:rPr>
          <w:rFonts w:ascii="Arial" w:hAnsi="Arial" w:cs="Arial"/>
        </w:rPr>
        <w:t xml:space="preserve">foi </w:t>
      </w:r>
      <w:r>
        <w:rPr>
          <w:rFonts w:ascii="Arial" w:hAnsi="Arial" w:cs="Arial"/>
        </w:rPr>
        <w:t>prevista</w:t>
      </w:r>
      <w:r w:rsidRPr="009072FE">
        <w:rPr>
          <w:rFonts w:ascii="Arial" w:hAnsi="Arial" w:cs="Arial"/>
        </w:rPr>
        <w:t xml:space="preserve"> </w:t>
      </w:r>
      <w:r w:rsidR="00AF0376" w:rsidRPr="009072FE">
        <w:rPr>
          <w:rFonts w:ascii="Arial" w:hAnsi="Arial" w:cs="Arial"/>
        </w:rPr>
        <w:t xml:space="preserve">a possibilidade de justificativa </w:t>
      </w:r>
      <w:r w:rsidR="007F76BD">
        <w:rPr>
          <w:rFonts w:ascii="Arial" w:hAnsi="Arial" w:cs="Arial"/>
        </w:rPr>
        <w:t xml:space="preserve">para a </w:t>
      </w:r>
      <w:r w:rsidR="007F76BD" w:rsidRPr="007F76BD">
        <w:rPr>
          <w:rFonts w:ascii="Arial" w:hAnsi="Arial" w:cs="Arial"/>
        </w:rPr>
        <w:t>não realização de perfil em uma das condições</w:t>
      </w:r>
      <w:r w:rsidR="007F76BD">
        <w:rPr>
          <w:rFonts w:ascii="Arial" w:hAnsi="Arial" w:cs="Arial"/>
        </w:rPr>
        <w:t>,</w:t>
      </w:r>
      <w:r w:rsidR="00CA30D2" w:rsidRPr="009072FE">
        <w:rPr>
          <w:rFonts w:ascii="Arial" w:hAnsi="Arial" w:cs="Arial"/>
        </w:rPr>
        <w:t xml:space="preserve"> com base n</w:t>
      </w:r>
      <w:r w:rsidR="00AF0376" w:rsidRPr="009072FE">
        <w:rPr>
          <w:rFonts w:ascii="Arial" w:hAnsi="Arial" w:cs="Arial"/>
        </w:rPr>
        <w:t xml:space="preserve">a via de administração, o local de absorção do fármaco, a estabilidade da molécula ou quando as características de </w:t>
      </w:r>
      <w:r w:rsidR="00AF0376" w:rsidRPr="008D5B2E">
        <w:rPr>
          <w:rFonts w:ascii="Arial" w:hAnsi="Arial" w:cs="Arial"/>
        </w:rPr>
        <w:t>dissolução não dependam do pH ou da concentração.</w:t>
      </w:r>
    </w:p>
    <w:p w14:paraId="5B788621" w14:textId="007CFCF2" w:rsidR="0073660F" w:rsidRPr="00C413FE" w:rsidRDefault="0073660F" w:rsidP="000217E8">
      <w:pPr>
        <w:pStyle w:val="PargrafodaLista"/>
        <w:spacing w:after="0"/>
        <w:ind w:left="0" w:firstLine="708"/>
        <w:jc w:val="both"/>
        <w:rPr>
          <w:rFonts w:ascii="Arial" w:hAnsi="Arial" w:cs="Arial"/>
        </w:rPr>
      </w:pPr>
      <w:r w:rsidRPr="00482A77">
        <w:rPr>
          <w:rFonts w:ascii="Arial" w:hAnsi="Arial" w:cs="Arial"/>
        </w:rPr>
        <w:t xml:space="preserve">A </w:t>
      </w:r>
      <w:proofErr w:type="spellStart"/>
      <w:r w:rsidRPr="00482A77">
        <w:rPr>
          <w:rFonts w:ascii="Arial" w:hAnsi="Arial" w:cs="Arial"/>
        </w:rPr>
        <w:t>bioisenção</w:t>
      </w:r>
      <w:proofErr w:type="spellEnd"/>
      <w:r w:rsidRPr="00482A77">
        <w:rPr>
          <w:rFonts w:ascii="Arial" w:hAnsi="Arial" w:cs="Arial"/>
        </w:rPr>
        <w:t xml:space="preserve"> baseada no sistema de classificação biofarmacêutica (SCB) foi revisada conforme o guia ICH M9 </w:t>
      </w:r>
      <w:proofErr w:type="spellStart"/>
      <w:r w:rsidRPr="00482A77">
        <w:rPr>
          <w:rFonts w:ascii="Arial" w:hAnsi="Arial" w:cs="Arial"/>
        </w:rPr>
        <w:t>Biopharmaceutics</w:t>
      </w:r>
      <w:proofErr w:type="spellEnd"/>
      <w:r w:rsidRPr="00482A77">
        <w:rPr>
          <w:rFonts w:ascii="Arial" w:hAnsi="Arial" w:cs="Arial"/>
        </w:rPr>
        <w:t xml:space="preserve"> </w:t>
      </w:r>
      <w:proofErr w:type="spellStart"/>
      <w:r w:rsidR="00EA0CB3" w:rsidRPr="00482A77">
        <w:rPr>
          <w:rFonts w:ascii="Arial" w:hAnsi="Arial" w:cs="Arial"/>
        </w:rPr>
        <w:t>C</w:t>
      </w:r>
      <w:r w:rsidRPr="00482A77">
        <w:rPr>
          <w:rFonts w:ascii="Arial" w:hAnsi="Arial" w:cs="Arial"/>
        </w:rPr>
        <w:t>lassification</w:t>
      </w:r>
      <w:proofErr w:type="spellEnd"/>
      <w:r w:rsidRPr="00482A77">
        <w:rPr>
          <w:rFonts w:ascii="Arial" w:hAnsi="Arial" w:cs="Arial"/>
        </w:rPr>
        <w:t xml:space="preserve"> </w:t>
      </w:r>
      <w:r w:rsidR="00EA0CB3" w:rsidRPr="00482A77">
        <w:rPr>
          <w:rFonts w:ascii="Arial" w:hAnsi="Arial" w:cs="Arial"/>
        </w:rPr>
        <w:t>S</w:t>
      </w:r>
      <w:r w:rsidRPr="00482A77">
        <w:rPr>
          <w:rFonts w:ascii="Arial" w:hAnsi="Arial" w:cs="Arial"/>
        </w:rPr>
        <w:t>ystem-</w:t>
      </w:r>
      <w:proofErr w:type="spellStart"/>
      <w:r w:rsidR="00EA0CB3" w:rsidRPr="00482A77">
        <w:rPr>
          <w:rFonts w:ascii="Arial" w:hAnsi="Arial" w:cs="Arial"/>
        </w:rPr>
        <w:t>B</w:t>
      </w:r>
      <w:r w:rsidRPr="00482A77">
        <w:rPr>
          <w:rFonts w:ascii="Arial" w:hAnsi="Arial" w:cs="Arial"/>
        </w:rPr>
        <w:t>ased</w:t>
      </w:r>
      <w:proofErr w:type="spellEnd"/>
      <w:r w:rsidRPr="00482A77">
        <w:rPr>
          <w:rFonts w:ascii="Arial" w:hAnsi="Arial" w:cs="Arial"/>
        </w:rPr>
        <w:t xml:space="preserve"> </w:t>
      </w:r>
      <w:proofErr w:type="spellStart"/>
      <w:r w:rsidR="00EA0CB3" w:rsidRPr="00482A77">
        <w:rPr>
          <w:rFonts w:ascii="Arial" w:hAnsi="Arial" w:cs="Arial"/>
        </w:rPr>
        <w:t>B</w:t>
      </w:r>
      <w:r w:rsidRPr="00482A77">
        <w:rPr>
          <w:rFonts w:ascii="Arial" w:hAnsi="Arial" w:cs="Arial"/>
        </w:rPr>
        <w:t>iowaivers</w:t>
      </w:r>
      <w:proofErr w:type="spellEnd"/>
      <w:r w:rsidRPr="00482A77">
        <w:rPr>
          <w:rFonts w:ascii="Arial" w:hAnsi="Arial" w:cs="Arial"/>
        </w:rPr>
        <w:t>.</w:t>
      </w:r>
      <w:r w:rsidR="004A38EC" w:rsidRPr="008D5B2E">
        <w:rPr>
          <w:rFonts w:ascii="Arial" w:hAnsi="Arial" w:cs="Arial"/>
        </w:rPr>
        <w:t xml:space="preserve"> </w:t>
      </w:r>
      <w:r w:rsidR="00D01A8B" w:rsidRPr="008D5B2E">
        <w:rPr>
          <w:rFonts w:ascii="Arial" w:hAnsi="Arial" w:cs="Arial"/>
        </w:rPr>
        <w:t>De</w:t>
      </w:r>
      <w:r w:rsidR="004A38EC" w:rsidRPr="008D5B2E">
        <w:rPr>
          <w:rFonts w:ascii="Arial" w:hAnsi="Arial" w:cs="Arial"/>
        </w:rPr>
        <w:t>ntre as principais alterações</w:t>
      </w:r>
      <w:r w:rsidR="00C44236" w:rsidRPr="008D5B2E">
        <w:rPr>
          <w:rFonts w:ascii="Arial" w:hAnsi="Arial" w:cs="Arial"/>
        </w:rPr>
        <w:t xml:space="preserve"> pode-se destacar a </w:t>
      </w:r>
      <w:r w:rsidR="00A45D7D" w:rsidRPr="008D5B2E">
        <w:rPr>
          <w:rFonts w:ascii="Arial" w:hAnsi="Arial" w:cs="Arial"/>
        </w:rPr>
        <w:t>revogação da</w:t>
      </w:r>
      <w:r w:rsidR="008E60AA" w:rsidRPr="008D5B2E">
        <w:rPr>
          <w:rFonts w:ascii="Arial" w:hAnsi="Arial" w:cs="Arial"/>
        </w:rPr>
        <w:t xml:space="preserve"> Instrução </w:t>
      </w:r>
      <w:r w:rsidR="00E6768B" w:rsidRPr="008D5B2E">
        <w:rPr>
          <w:rFonts w:ascii="Arial" w:hAnsi="Arial" w:cs="Arial"/>
        </w:rPr>
        <w:t>Normativa</w:t>
      </w:r>
      <w:r w:rsidR="005F232E" w:rsidRPr="008D5B2E">
        <w:rPr>
          <w:rFonts w:ascii="Arial" w:hAnsi="Arial" w:cs="Arial"/>
        </w:rPr>
        <w:t xml:space="preserve"> IN </w:t>
      </w:r>
      <w:r w:rsidR="007F76BD">
        <w:rPr>
          <w:rFonts w:ascii="Arial" w:hAnsi="Arial" w:cs="Arial"/>
        </w:rPr>
        <w:t xml:space="preserve">nº </w:t>
      </w:r>
      <w:r w:rsidR="005F232E" w:rsidRPr="008D5B2E">
        <w:rPr>
          <w:rFonts w:ascii="Arial" w:hAnsi="Arial" w:cs="Arial"/>
        </w:rPr>
        <w:t>10, de</w:t>
      </w:r>
      <w:r w:rsidR="005F232E" w:rsidRPr="00C413FE">
        <w:rPr>
          <w:rFonts w:ascii="Arial" w:hAnsi="Arial" w:cs="Arial"/>
        </w:rPr>
        <w:t xml:space="preserve"> 29 de setembro de 2016, que descrevia a</w:t>
      </w:r>
      <w:r w:rsidR="00A45D7D" w:rsidRPr="00C413FE">
        <w:rPr>
          <w:rFonts w:ascii="Arial" w:hAnsi="Arial" w:cs="Arial"/>
        </w:rPr>
        <w:t xml:space="preserve"> lista de fármacos candidatos à </w:t>
      </w:r>
      <w:proofErr w:type="spellStart"/>
      <w:r w:rsidR="00A45D7D" w:rsidRPr="00C413FE">
        <w:rPr>
          <w:rFonts w:ascii="Arial" w:hAnsi="Arial" w:cs="Arial"/>
        </w:rPr>
        <w:t>bioisenç</w:t>
      </w:r>
      <w:r w:rsidR="00245C9C" w:rsidRPr="00C413FE">
        <w:rPr>
          <w:rFonts w:ascii="Arial" w:hAnsi="Arial" w:cs="Arial"/>
        </w:rPr>
        <w:t>ão</w:t>
      </w:r>
      <w:proofErr w:type="spellEnd"/>
      <w:r w:rsidR="00245C9C" w:rsidRPr="00C413FE">
        <w:rPr>
          <w:rFonts w:ascii="Arial" w:hAnsi="Arial" w:cs="Arial"/>
        </w:rPr>
        <w:t xml:space="preserve"> </w:t>
      </w:r>
      <w:r w:rsidR="002733DC" w:rsidRPr="00C413FE">
        <w:rPr>
          <w:rFonts w:ascii="Arial" w:hAnsi="Arial" w:cs="Arial"/>
        </w:rPr>
        <w:t>baseada no SCB</w:t>
      </w:r>
      <w:r w:rsidR="005F232E" w:rsidRPr="00C413FE">
        <w:rPr>
          <w:rFonts w:ascii="Arial" w:hAnsi="Arial" w:cs="Arial"/>
        </w:rPr>
        <w:t xml:space="preserve">. </w:t>
      </w:r>
      <w:r w:rsidR="00190A57" w:rsidRPr="00C413FE">
        <w:rPr>
          <w:rFonts w:ascii="Arial" w:hAnsi="Arial" w:cs="Arial"/>
        </w:rPr>
        <w:t>Com a revogação da lista, a possibilidade de isenção</w:t>
      </w:r>
      <w:r w:rsidR="00E6768B" w:rsidRPr="00C413FE">
        <w:rPr>
          <w:rFonts w:ascii="Arial" w:hAnsi="Arial" w:cs="Arial"/>
        </w:rPr>
        <w:t xml:space="preserve"> do</w:t>
      </w:r>
      <w:r w:rsidR="0058491E" w:rsidRPr="00C413FE">
        <w:rPr>
          <w:rFonts w:ascii="Arial" w:hAnsi="Arial" w:cs="Arial"/>
        </w:rPr>
        <w:t>s</w:t>
      </w:r>
      <w:r w:rsidR="00E6768B" w:rsidRPr="00C413FE">
        <w:rPr>
          <w:rFonts w:ascii="Arial" w:hAnsi="Arial" w:cs="Arial"/>
        </w:rPr>
        <w:t xml:space="preserve"> estudo</w:t>
      </w:r>
      <w:r w:rsidR="0058491E" w:rsidRPr="00C413FE">
        <w:rPr>
          <w:rFonts w:ascii="Arial" w:hAnsi="Arial" w:cs="Arial"/>
        </w:rPr>
        <w:t>s</w:t>
      </w:r>
      <w:r w:rsidR="00E6768B" w:rsidRPr="00C413FE">
        <w:rPr>
          <w:rFonts w:ascii="Arial" w:hAnsi="Arial" w:cs="Arial"/>
        </w:rPr>
        <w:t xml:space="preserve"> de bioeq</w:t>
      </w:r>
      <w:r w:rsidR="0058491E" w:rsidRPr="00C413FE">
        <w:rPr>
          <w:rFonts w:ascii="Arial" w:hAnsi="Arial" w:cs="Arial"/>
        </w:rPr>
        <w:t>uivalência/biodisponibilidade relativa</w:t>
      </w:r>
      <w:r w:rsidR="00190A57" w:rsidRPr="00C413FE">
        <w:rPr>
          <w:rFonts w:ascii="Arial" w:hAnsi="Arial" w:cs="Arial"/>
        </w:rPr>
        <w:t xml:space="preserve"> baseada no SCB foi ampliada para todos os fármacos </w:t>
      </w:r>
      <w:r w:rsidR="000D1EF3" w:rsidRPr="00C413FE">
        <w:rPr>
          <w:rFonts w:ascii="Arial" w:hAnsi="Arial" w:cs="Arial"/>
        </w:rPr>
        <w:t xml:space="preserve">que atendam satisfatoriamente os critérios definidos na Seção III do </w:t>
      </w:r>
      <w:r w:rsidR="008E60AA" w:rsidRPr="00C413FE">
        <w:rPr>
          <w:rFonts w:ascii="Arial" w:hAnsi="Arial" w:cs="Arial"/>
        </w:rPr>
        <w:t>Capítulo II da</w:t>
      </w:r>
      <w:r w:rsidR="008E60AA" w:rsidRPr="009072FE">
        <w:rPr>
          <w:rFonts w:ascii="Arial" w:hAnsi="Arial" w:cs="Arial"/>
        </w:rPr>
        <w:t xml:space="preserve"> RDC nº 749/2022.</w:t>
      </w:r>
      <w:r w:rsidR="008E60AA" w:rsidRPr="00C413FE">
        <w:rPr>
          <w:rFonts w:ascii="Arial" w:hAnsi="Arial" w:cs="Arial"/>
        </w:rPr>
        <w:t xml:space="preserve"> </w:t>
      </w:r>
      <w:r w:rsidR="00B259A3" w:rsidRPr="00C413FE">
        <w:rPr>
          <w:rFonts w:ascii="Arial" w:hAnsi="Arial" w:cs="Arial"/>
        </w:rPr>
        <w:t xml:space="preserve"> </w:t>
      </w:r>
      <w:r w:rsidR="009E4903" w:rsidRPr="00C413FE">
        <w:rPr>
          <w:rFonts w:ascii="Arial" w:hAnsi="Arial" w:cs="Arial"/>
        </w:rPr>
        <w:t xml:space="preserve">Também </w:t>
      </w:r>
      <w:r w:rsidR="00836D64" w:rsidRPr="00C413FE">
        <w:rPr>
          <w:rFonts w:ascii="Arial" w:hAnsi="Arial" w:cs="Arial"/>
        </w:rPr>
        <w:t>se destaca</w:t>
      </w:r>
      <w:r w:rsidR="009E4903" w:rsidRPr="00C413FE">
        <w:rPr>
          <w:rFonts w:ascii="Arial" w:hAnsi="Arial" w:cs="Arial"/>
        </w:rPr>
        <w:t xml:space="preserve"> a</w:t>
      </w:r>
      <w:r w:rsidR="008C1CBD" w:rsidRPr="00C413FE">
        <w:rPr>
          <w:rFonts w:ascii="Arial" w:hAnsi="Arial" w:cs="Arial"/>
        </w:rPr>
        <w:t xml:space="preserve"> possibilidade</w:t>
      </w:r>
      <w:r w:rsidR="009E4903" w:rsidRPr="00C413FE">
        <w:rPr>
          <w:rFonts w:ascii="Arial" w:hAnsi="Arial" w:cs="Arial"/>
        </w:rPr>
        <w:t xml:space="preserve"> de apresentação de informações sobre a permeabilidade </w:t>
      </w:r>
      <w:r w:rsidR="00836D64" w:rsidRPr="00C413FE">
        <w:rPr>
          <w:rFonts w:ascii="Arial" w:hAnsi="Arial" w:cs="Arial"/>
        </w:rPr>
        <w:t xml:space="preserve">intestinal </w:t>
      </w:r>
      <w:r w:rsidR="009E4903" w:rsidRPr="00C413FE">
        <w:rPr>
          <w:rFonts w:ascii="Arial" w:hAnsi="Arial" w:cs="Arial"/>
        </w:rPr>
        <w:t>do fármaco</w:t>
      </w:r>
      <w:r w:rsidR="00836D64" w:rsidRPr="00C413FE">
        <w:rPr>
          <w:rFonts w:ascii="Arial" w:hAnsi="Arial" w:cs="Arial"/>
        </w:rPr>
        <w:t xml:space="preserve"> como critério para avaliação da </w:t>
      </w:r>
      <w:proofErr w:type="spellStart"/>
      <w:r w:rsidR="00836D64" w:rsidRPr="00C413FE">
        <w:rPr>
          <w:rFonts w:ascii="Arial" w:hAnsi="Arial" w:cs="Arial"/>
        </w:rPr>
        <w:t>bioisenção</w:t>
      </w:r>
      <w:proofErr w:type="spellEnd"/>
      <w:r w:rsidR="00836D64" w:rsidRPr="00C413FE">
        <w:rPr>
          <w:rFonts w:ascii="Arial" w:hAnsi="Arial" w:cs="Arial"/>
        </w:rPr>
        <w:t xml:space="preserve"> pelo SCB.</w:t>
      </w:r>
    </w:p>
    <w:p w14:paraId="440DA4A8" w14:textId="4065F67C" w:rsidR="00CB1EE0" w:rsidRPr="00BB1796" w:rsidRDefault="00BB260B" w:rsidP="009A3E5E">
      <w:pPr>
        <w:pStyle w:val="PargrafodaLista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Complementarmente, n</w:t>
      </w:r>
      <w:r w:rsidR="00B42CF2">
        <w:rPr>
          <w:rFonts w:ascii="Arial" w:hAnsi="Arial" w:cs="Arial"/>
        </w:rPr>
        <w:t xml:space="preserve">esta edição do </w:t>
      </w:r>
      <w:r w:rsidR="00B42CF2" w:rsidRPr="00F7275C">
        <w:rPr>
          <w:rFonts w:ascii="Arial" w:hAnsi="Arial" w:cs="Arial"/>
        </w:rPr>
        <w:t>Diário Oficial da</w:t>
      </w:r>
      <w:r w:rsidR="00B42CF2">
        <w:rPr>
          <w:rFonts w:ascii="Arial" w:hAnsi="Arial" w:cs="Arial"/>
        </w:rPr>
        <w:t xml:space="preserve"> </w:t>
      </w:r>
      <w:r w:rsidR="00B42CF2" w:rsidRPr="00F7275C">
        <w:rPr>
          <w:rFonts w:ascii="Arial" w:hAnsi="Arial" w:cs="Arial"/>
        </w:rPr>
        <w:t>União</w:t>
      </w:r>
      <w:r w:rsidR="00B42CF2">
        <w:rPr>
          <w:rFonts w:ascii="Arial" w:hAnsi="Arial" w:cs="Arial"/>
        </w:rPr>
        <w:t>, foram publicadas as I</w:t>
      </w:r>
      <w:r w:rsidR="00BB1796">
        <w:rPr>
          <w:rFonts w:ascii="Arial" w:hAnsi="Arial" w:cs="Arial"/>
        </w:rPr>
        <w:t xml:space="preserve">nstruções Normativas IN </w:t>
      </w:r>
      <w:r w:rsidR="007F76BD">
        <w:rPr>
          <w:rFonts w:ascii="Arial" w:hAnsi="Arial" w:cs="Arial"/>
        </w:rPr>
        <w:t xml:space="preserve">nº </w:t>
      </w:r>
      <w:r w:rsidR="00BB1796">
        <w:rPr>
          <w:rFonts w:ascii="Arial" w:hAnsi="Arial" w:cs="Arial"/>
        </w:rPr>
        <w:t>182</w:t>
      </w:r>
      <w:r>
        <w:rPr>
          <w:rFonts w:ascii="Arial" w:hAnsi="Arial" w:cs="Arial"/>
        </w:rPr>
        <w:t>,</w:t>
      </w:r>
      <w:r w:rsidR="00BB1796">
        <w:rPr>
          <w:rFonts w:ascii="Arial" w:hAnsi="Arial" w:cs="Arial"/>
        </w:rPr>
        <w:t xml:space="preserve"> de 05 de setembro de 2022, que dispõe </w:t>
      </w:r>
      <w:r w:rsidR="00BB1796" w:rsidRPr="00BB1796">
        <w:rPr>
          <w:rFonts w:ascii="Arial" w:hAnsi="Arial" w:cs="Arial"/>
        </w:rPr>
        <w:t>sobre a validação e ensaios de permeabilidade com</w:t>
      </w:r>
      <w:r w:rsidR="00BB1796">
        <w:rPr>
          <w:rFonts w:ascii="Arial" w:hAnsi="Arial" w:cs="Arial"/>
        </w:rPr>
        <w:t xml:space="preserve"> </w:t>
      </w:r>
      <w:r w:rsidR="00BB1796" w:rsidRPr="00BB1796">
        <w:rPr>
          <w:rFonts w:ascii="Arial" w:hAnsi="Arial" w:cs="Arial"/>
        </w:rPr>
        <w:t>células Caco-2</w:t>
      </w:r>
      <w:r w:rsidR="00BB1796">
        <w:rPr>
          <w:rFonts w:ascii="Arial" w:hAnsi="Arial" w:cs="Arial"/>
        </w:rPr>
        <w:t>, e a IN</w:t>
      </w:r>
      <w:r>
        <w:rPr>
          <w:rFonts w:ascii="Arial" w:hAnsi="Arial" w:cs="Arial"/>
        </w:rPr>
        <w:t xml:space="preserve"> </w:t>
      </w:r>
      <w:r w:rsidR="007F76BD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183,</w:t>
      </w:r>
      <w:r w:rsidR="00BB17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05 de setembro de 2022</w:t>
      </w:r>
      <w:r w:rsidR="009A3E5E">
        <w:rPr>
          <w:rFonts w:ascii="Arial" w:hAnsi="Arial" w:cs="Arial"/>
        </w:rPr>
        <w:t>, que i</w:t>
      </w:r>
      <w:r w:rsidR="009A3E5E" w:rsidRPr="009A3E5E">
        <w:rPr>
          <w:rFonts w:ascii="Arial" w:hAnsi="Arial" w:cs="Arial"/>
        </w:rPr>
        <w:t>nstitui a lista de fármacos de uso oral destinados à ação local</w:t>
      </w:r>
      <w:r w:rsidR="009A3E5E">
        <w:rPr>
          <w:rFonts w:ascii="Arial" w:hAnsi="Arial" w:cs="Arial"/>
        </w:rPr>
        <w:t xml:space="preserve"> </w:t>
      </w:r>
      <w:r w:rsidR="009A3E5E" w:rsidRPr="009A3E5E">
        <w:rPr>
          <w:rFonts w:ascii="Arial" w:hAnsi="Arial" w:cs="Arial"/>
        </w:rPr>
        <w:t xml:space="preserve">no trato gastrintestinal candidatos à </w:t>
      </w:r>
      <w:proofErr w:type="spellStart"/>
      <w:r w:rsidR="009A3E5E" w:rsidRPr="009A3E5E">
        <w:rPr>
          <w:rFonts w:ascii="Arial" w:hAnsi="Arial" w:cs="Arial"/>
        </w:rPr>
        <w:t>bioisenção</w:t>
      </w:r>
      <w:proofErr w:type="spellEnd"/>
      <w:r w:rsidR="009A3E5E" w:rsidRPr="009A3E5E">
        <w:rPr>
          <w:rFonts w:ascii="Arial" w:hAnsi="Arial" w:cs="Arial"/>
        </w:rPr>
        <w:t>, conforme</w:t>
      </w:r>
      <w:r w:rsidR="009A3E5E">
        <w:rPr>
          <w:rFonts w:ascii="Arial" w:hAnsi="Arial" w:cs="Arial"/>
        </w:rPr>
        <w:t xml:space="preserve"> </w:t>
      </w:r>
      <w:r w:rsidR="009A3E5E" w:rsidRPr="009A3E5E">
        <w:rPr>
          <w:rFonts w:ascii="Arial" w:hAnsi="Arial" w:cs="Arial"/>
        </w:rPr>
        <w:t>previsto no inciso VI do art. 7º da RDC nº 749</w:t>
      </w:r>
      <w:r w:rsidR="00201798">
        <w:rPr>
          <w:rFonts w:ascii="Arial" w:hAnsi="Arial" w:cs="Arial"/>
        </w:rPr>
        <w:t>/2022.</w:t>
      </w:r>
    </w:p>
    <w:p w14:paraId="34EA3F1A" w14:textId="49D53F16" w:rsidR="0089434E" w:rsidRPr="007E3647" w:rsidRDefault="00F7275C" w:rsidP="009A3E5E">
      <w:pPr>
        <w:pStyle w:val="PargrafodaLista"/>
        <w:spacing w:after="0"/>
        <w:ind w:left="0" w:firstLine="708"/>
        <w:jc w:val="both"/>
        <w:rPr>
          <w:rFonts w:ascii="Arial" w:hAnsi="Arial" w:cs="Arial"/>
        </w:rPr>
      </w:pPr>
      <w:r w:rsidRPr="00F7275C">
        <w:rPr>
          <w:rFonts w:ascii="Arial" w:hAnsi="Arial" w:cs="Arial"/>
        </w:rPr>
        <w:t>Este documento tem o objetivo de sanar as dúvidas mais frequentes</w:t>
      </w:r>
      <w:r w:rsidR="009A3E5E">
        <w:rPr>
          <w:rFonts w:ascii="Arial" w:hAnsi="Arial" w:cs="Arial"/>
        </w:rPr>
        <w:t xml:space="preserve"> </w:t>
      </w:r>
      <w:r w:rsidRPr="00F7275C">
        <w:rPr>
          <w:rFonts w:ascii="Arial" w:hAnsi="Arial" w:cs="Arial"/>
        </w:rPr>
        <w:t>relacionadas a esta Resolução e</w:t>
      </w:r>
      <w:r w:rsidR="009A3E5E">
        <w:rPr>
          <w:rFonts w:ascii="Arial" w:hAnsi="Arial" w:cs="Arial"/>
        </w:rPr>
        <w:t xml:space="preserve"> Instruções Normativas a ela relacionadas.</w:t>
      </w:r>
    </w:p>
    <w:p w14:paraId="19839ACB" w14:textId="77777777" w:rsidR="004A17A6" w:rsidRPr="0089434E" w:rsidRDefault="004A17A6" w:rsidP="0089434E">
      <w:pPr>
        <w:ind w:left="360"/>
        <w:jc w:val="both"/>
        <w:rPr>
          <w:rFonts w:ascii="Arial" w:hAnsi="Arial" w:cs="Arial"/>
          <w:sz w:val="24"/>
        </w:rPr>
      </w:pPr>
    </w:p>
    <w:p w14:paraId="68D6291F" w14:textId="77777777" w:rsidR="0089434E" w:rsidRPr="007A1100" w:rsidRDefault="007A1100" w:rsidP="00490FEA">
      <w:pPr>
        <w:pStyle w:val="PargrafodaLista"/>
        <w:numPr>
          <w:ilvl w:val="0"/>
          <w:numId w:val="10"/>
        </w:numPr>
        <w:spacing w:after="200" w:line="276" w:lineRule="auto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1" w:name="_Toc132733806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ESCOPO</w:t>
      </w:r>
      <w:bookmarkEnd w:id="1"/>
    </w:p>
    <w:p w14:paraId="7AF4801F" w14:textId="77777777" w:rsidR="004A17A6" w:rsidRPr="004A17A6" w:rsidRDefault="004A17A6" w:rsidP="004A17A6">
      <w:pPr>
        <w:pStyle w:val="PargrafodaLista"/>
        <w:jc w:val="both"/>
        <w:rPr>
          <w:rFonts w:ascii="Arial" w:hAnsi="Arial" w:cs="Arial"/>
          <w:b/>
          <w:color w:val="2E74B5" w:themeColor="accent1" w:themeShade="BF"/>
          <w:sz w:val="24"/>
        </w:rPr>
      </w:pPr>
    </w:p>
    <w:p w14:paraId="10E41AC1" w14:textId="06EE791C" w:rsidR="0089434E" w:rsidRPr="007E3647" w:rsidRDefault="004728AF" w:rsidP="00D939A7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4728AF">
        <w:rPr>
          <w:rFonts w:ascii="Arial" w:hAnsi="Arial" w:cs="Arial"/>
        </w:rPr>
        <w:t xml:space="preserve">Este documento se aplica ao cumprimento da RDC </w:t>
      </w:r>
      <w:r w:rsidR="007F76BD">
        <w:rPr>
          <w:rFonts w:ascii="Arial" w:hAnsi="Arial" w:cs="Arial"/>
        </w:rPr>
        <w:t xml:space="preserve">nº </w:t>
      </w:r>
      <w:r w:rsidR="00990059">
        <w:rPr>
          <w:rFonts w:ascii="Arial" w:hAnsi="Arial" w:cs="Arial"/>
        </w:rPr>
        <w:t xml:space="preserve">749/2022, IN </w:t>
      </w:r>
      <w:r w:rsidR="007F76BD">
        <w:rPr>
          <w:rFonts w:ascii="Arial" w:hAnsi="Arial" w:cs="Arial"/>
        </w:rPr>
        <w:t xml:space="preserve">nº </w:t>
      </w:r>
      <w:r w:rsidR="00990059">
        <w:rPr>
          <w:rFonts w:ascii="Arial" w:hAnsi="Arial" w:cs="Arial"/>
        </w:rPr>
        <w:t xml:space="preserve">182/2022 e IN </w:t>
      </w:r>
      <w:r w:rsidR="007F76BD">
        <w:rPr>
          <w:rFonts w:ascii="Arial" w:hAnsi="Arial" w:cs="Arial"/>
        </w:rPr>
        <w:t xml:space="preserve">nº </w:t>
      </w:r>
      <w:r w:rsidR="00990059">
        <w:rPr>
          <w:rFonts w:ascii="Arial" w:hAnsi="Arial" w:cs="Arial"/>
        </w:rPr>
        <w:t>183/2022</w:t>
      </w:r>
      <w:r w:rsidRPr="004728AF">
        <w:rPr>
          <w:rFonts w:ascii="Arial" w:hAnsi="Arial" w:cs="Arial"/>
        </w:rPr>
        <w:t>, durante o seu</w:t>
      </w:r>
      <w:r w:rsidR="00990059">
        <w:rPr>
          <w:rFonts w:ascii="Arial" w:hAnsi="Arial" w:cs="Arial"/>
        </w:rPr>
        <w:t xml:space="preserve"> </w:t>
      </w:r>
      <w:r w:rsidRPr="004728AF">
        <w:rPr>
          <w:rFonts w:ascii="Arial" w:hAnsi="Arial" w:cs="Arial"/>
        </w:rPr>
        <w:t xml:space="preserve">período de vigência. </w:t>
      </w:r>
    </w:p>
    <w:p w14:paraId="19E30A66" w14:textId="31C74555" w:rsidR="004A17A6" w:rsidRDefault="004A17A6" w:rsidP="004728AF">
      <w:pPr>
        <w:ind w:firstLine="851"/>
        <w:jc w:val="both"/>
        <w:rPr>
          <w:rFonts w:ascii="Arial" w:hAnsi="Arial" w:cs="Arial"/>
          <w:sz w:val="24"/>
        </w:rPr>
      </w:pPr>
    </w:p>
    <w:p w14:paraId="44BB91B0" w14:textId="77777777" w:rsidR="000A7678" w:rsidRPr="0089434E" w:rsidRDefault="000A7678" w:rsidP="004728AF">
      <w:pPr>
        <w:ind w:firstLine="851"/>
        <w:jc w:val="both"/>
        <w:rPr>
          <w:rFonts w:ascii="Arial" w:hAnsi="Arial" w:cs="Arial"/>
          <w:sz w:val="24"/>
        </w:rPr>
      </w:pPr>
    </w:p>
    <w:p w14:paraId="3612ABF2" w14:textId="03A7DA40" w:rsidR="007A1100" w:rsidRDefault="007A1100" w:rsidP="00490FEA">
      <w:pPr>
        <w:pStyle w:val="PargrafodaLista"/>
        <w:numPr>
          <w:ilvl w:val="0"/>
          <w:numId w:val="10"/>
        </w:numPr>
        <w:spacing w:after="200" w:line="276" w:lineRule="auto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2" w:name="_Toc132733807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lastRenderedPageBreak/>
        <w:t>PERGUNTAS E RESPOSTAS</w:t>
      </w:r>
      <w:bookmarkEnd w:id="2"/>
    </w:p>
    <w:p w14:paraId="055B21EF" w14:textId="77777777" w:rsidR="00490FEA" w:rsidRPr="00F862FB" w:rsidRDefault="00490FEA" w:rsidP="00F862FB">
      <w:pPr>
        <w:pStyle w:val="PargrafodaLista"/>
        <w:jc w:val="both"/>
        <w:rPr>
          <w:rFonts w:ascii="Arial" w:hAnsi="Arial" w:cs="Arial"/>
          <w:b/>
          <w:color w:val="2E74B5" w:themeColor="accent1" w:themeShade="BF"/>
          <w:sz w:val="24"/>
        </w:rPr>
      </w:pPr>
    </w:p>
    <w:p w14:paraId="14317816" w14:textId="65845A9F" w:rsidR="00490FEA" w:rsidRDefault="00DB070A" w:rsidP="00490FEA">
      <w:pPr>
        <w:pStyle w:val="PargrafodaLista"/>
        <w:numPr>
          <w:ilvl w:val="1"/>
          <w:numId w:val="10"/>
        </w:numPr>
        <w:spacing w:after="0" w:line="276" w:lineRule="auto"/>
        <w:ind w:left="0" w:firstLine="0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3" w:name="_Toc132733808"/>
      <w:r w:rsidRPr="00B656C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RDC </w:t>
      </w:r>
      <w:r w:rsidR="00110B0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nº </w:t>
      </w:r>
      <w:r w:rsidRPr="00B656C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749/2022 – </w:t>
      </w:r>
      <w:r w:rsidR="001B100F">
        <w:rPr>
          <w:rFonts w:ascii="Arial" w:hAnsi="Arial" w:cs="Arial"/>
          <w:b/>
          <w:color w:val="2E74B5" w:themeColor="accent1" w:themeShade="BF"/>
          <w:sz w:val="24"/>
          <w:szCs w:val="24"/>
        </w:rPr>
        <w:t>Abrangência</w:t>
      </w:r>
      <w:bookmarkEnd w:id="3"/>
    </w:p>
    <w:p w14:paraId="75CD0C15" w14:textId="77777777" w:rsidR="00614BFF" w:rsidRDefault="00614BFF" w:rsidP="005A50DB">
      <w:pPr>
        <w:pStyle w:val="PargrafodaLista"/>
        <w:spacing w:after="0" w:line="276" w:lineRule="auto"/>
        <w:ind w:left="360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44382322" w14:textId="6C1AD917" w:rsidR="00D939A7" w:rsidRPr="00482A77" w:rsidRDefault="00EA5774" w:rsidP="00D939A7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 objetivo </w:t>
      </w:r>
      <w:r w:rsidR="00584797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>da</w:t>
      </w:r>
      <w:r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RDC foi aumentar o escopo de </w:t>
      </w:r>
      <w:proofErr w:type="spellStart"/>
      <w:r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>biosenção</w:t>
      </w:r>
      <w:proofErr w:type="spellEnd"/>
      <w:r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para</w:t>
      </w:r>
      <w:r w:rsidR="002B3F30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medicamentos </w:t>
      </w:r>
      <w:r w:rsidR="004344E0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>novos e inovadores?</w:t>
      </w:r>
    </w:p>
    <w:p w14:paraId="4B9F1C1D" w14:textId="77777777" w:rsidR="00D22C18" w:rsidRPr="00482A77" w:rsidRDefault="00D22C18" w:rsidP="001B100F">
      <w:pPr>
        <w:spacing w:after="0"/>
        <w:ind w:firstLine="851"/>
        <w:jc w:val="both"/>
        <w:rPr>
          <w:rFonts w:ascii="Arial" w:hAnsi="Arial" w:cs="Arial"/>
        </w:rPr>
      </w:pPr>
    </w:p>
    <w:p w14:paraId="26B7A0C0" w14:textId="11B443F0" w:rsidR="007F46EF" w:rsidRPr="00482A77" w:rsidRDefault="007F46EF" w:rsidP="001B100F">
      <w:pPr>
        <w:spacing w:after="0"/>
        <w:ind w:firstLine="851"/>
        <w:jc w:val="both"/>
        <w:rPr>
          <w:rFonts w:ascii="Arial" w:hAnsi="Arial" w:cs="Arial"/>
        </w:rPr>
      </w:pPr>
      <w:r w:rsidRPr="00482A77">
        <w:rPr>
          <w:rFonts w:ascii="Arial" w:hAnsi="Arial" w:cs="Arial"/>
        </w:rPr>
        <w:t xml:space="preserve">Não. Como regra geral, a aplicação para </w:t>
      </w:r>
      <w:r w:rsidR="00DE2A7A" w:rsidRPr="00482A77">
        <w:rPr>
          <w:rFonts w:ascii="Arial" w:hAnsi="Arial" w:cs="Arial"/>
        </w:rPr>
        <w:t>os</w:t>
      </w:r>
      <w:r w:rsidRPr="00482A77">
        <w:rPr>
          <w:rFonts w:ascii="Arial" w:hAnsi="Arial" w:cs="Arial"/>
        </w:rPr>
        <w:t xml:space="preserve"> medicamentos </w:t>
      </w:r>
      <w:r w:rsidR="00DE2A7A" w:rsidRPr="00482A77">
        <w:rPr>
          <w:rFonts w:ascii="Arial" w:hAnsi="Arial" w:cs="Arial"/>
        </w:rPr>
        <w:t xml:space="preserve">novos e inovadores </w:t>
      </w:r>
      <w:r w:rsidRPr="00482A77">
        <w:rPr>
          <w:rFonts w:ascii="Arial" w:hAnsi="Arial" w:cs="Arial"/>
        </w:rPr>
        <w:t>é limitada a:</w:t>
      </w:r>
    </w:p>
    <w:p w14:paraId="001A2DAE" w14:textId="7ECC1043" w:rsidR="007F46EF" w:rsidRPr="00482A77" w:rsidRDefault="007F46EF" w:rsidP="007C1076">
      <w:pPr>
        <w:pStyle w:val="PargrafodaLista"/>
        <w:numPr>
          <w:ilvl w:val="0"/>
          <w:numId w:val="14"/>
        </w:numPr>
        <w:spacing w:after="0"/>
        <w:ind w:left="1276"/>
        <w:jc w:val="both"/>
        <w:rPr>
          <w:rFonts w:ascii="Arial" w:hAnsi="Arial" w:cs="Arial"/>
        </w:rPr>
      </w:pPr>
      <w:proofErr w:type="spellStart"/>
      <w:r w:rsidRPr="00482A77">
        <w:rPr>
          <w:rFonts w:ascii="Arial" w:hAnsi="Arial" w:cs="Arial"/>
        </w:rPr>
        <w:t>bioisenção</w:t>
      </w:r>
      <w:proofErr w:type="spellEnd"/>
      <w:r w:rsidRPr="00482A77">
        <w:rPr>
          <w:rFonts w:ascii="Arial" w:hAnsi="Arial" w:cs="Arial"/>
        </w:rPr>
        <w:t xml:space="preserve"> das demais concentrações</w:t>
      </w:r>
      <w:r w:rsidR="009E473F" w:rsidRPr="00482A77">
        <w:rPr>
          <w:rFonts w:ascii="Arial" w:hAnsi="Arial" w:cs="Arial"/>
        </w:rPr>
        <w:t xml:space="preserve"> em relação à concentração para a qual a bioequivalência </w:t>
      </w:r>
      <w:r w:rsidR="009E473F" w:rsidRPr="00482A77">
        <w:rPr>
          <w:rFonts w:ascii="Arial" w:hAnsi="Arial" w:cs="Arial"/>
          <w:i/>
          <w:iCs/>
        </w:rPr>
        <w:t xml:space="preserve">in vivo </w:t>
      </w:r>
      <w:r w:rsidR="009E473F" w:rsidRPr="00482A77">
        <w:rPr>
          <w:rFonts w:ascii="Arial" w:hAnsi="Arial" w:cs="Arial"/>
        </w:rPr>
        <w:t>foi demonstrada, nos casos em que as demais concentrações propostas estejam dentro da faixa terapêutica aprovada</w:t>
      </w:r>
      <w:r w:rsidRPr="00482A77">
        <w:rPr>
          <w:rFonts w:ascii="Arial" w:hAnsi="Arial" w:cs="Arial"/>
        </w:rPr>
        <w:t>;</w:t>
      </w:r>
    </w:p>
    <w:p w14:paraId="55E332ED" w14:textId="1FC02722" w:rsidR="007F46EF" w:rsidRPr="00482A77" w:rsidRDefault="007F46EF" w:rsidP="007C1076">
      <w:pPr>
        <w:pStyle w:val="PargrafodaLista"/>
        <w:numPr>
          <w:ilvl w:val="0"/>
          <w:numId w:val="14"/>
        </w:numPr>
        <w:spacing w:after="0"/>
        <w:ind w:left="1276"/>
        <w:jc w:val="both"/>
        <w:rPr>
          <w:rFonts w:ascii="Arial" w:hAnsi="Arial" w:cs="Arial"/>
        </w:rPr>
      </w:pPr>
      <w:proofErr w:type="spellStart"/>
      <w:r w:rsidRPr="00482A77">
        <w:rPr>
          <w:rFonts w:ascii="Arial" w:hAnsi="Arial" w:cs="Arial"/>
        </w:rPr>
        <w:t>biosenção</w:t>
      </w:r>
      <w:proofErr w:type="spellEnd"/>
      <w:r w:rsidRPr="00482A77">
        <w:rPr>
          <w:rFonts w:ascii="Arial" w:hAnsi="Arial" w:cs="Arial"/>
        </w:rPr>
        <w:t xml:space="preserve"> em razão da forma farmacêutica, via de administração ou local de ação nos casos de mudanças pós-registro, com algumas exceções</w:t>
      </w:r>
      <w:r w:rsidR="00700557" w:rsidRPr="00482A77">
        <w:rPr>
          <w:rFonts w:ascii="Arial" w:hAnsi="Arial" w:cs="Arial"/>
        </w:rPr>
        <w:t xml:space="preserve"> previstas na RDC</w:t>
      </w:r>
      <w:r w:rsidRPr="00482A77">
        <w:rPr>
          <w:rFonts w:ascii="Arial" w:hAnsi="Arial" w:cs="Arial"/>
        </w:rPr>
        <w:t>;</w:t>
      </w:r>
    </w:p>
    <w:p w14:paraId="33241801" w14:textId="2A73A4E9" w:rsidR="007F46EF" w:rsidRPr="00482A77" w:rsidRDefault="007F46EF" w:rsidP="007C1076">
      <w:pPr>
        <w:pStyle w:val="PargrafodaLista"/>
        <w:numPr>
          <w:ilvl w:val="0"/>
          <w:numId w:val="14"/>
        </w:numPr>
        <w:spacing w:after="0"/>
        <w:ind w:left="1276"/>
        <w:jc w:val="both"/>
        <w:rPr>
          <w:rFonts w:ascii="Arial" w:hAnsi="Arial" w:cs="Arial"/>
        </w:rPr>
      </w:pPr>
      <w:proofErr w:type="spellStart"/>
      <w:r w:rsidRPr="00482A77">
        <w:rPr>
          <w:rFonts w:ascii="Arial" w:hAnsi="Arial" w:cs="Arial"/>
        </w:rPr>
        <w:t>biosenção</w:t>
      </w:r>
      <w:proofErr w:type="spellEnd"/>
      <w:r w:rsidRPr="00482A77">
        <w:rPr>
          <w:rFonts w:ascii="Arial" w:hAnsi="Arial" w:cs="Arial"/>
        </w:rPr>
        <w:t xml:space="preserve"> baseada no sistema de classificação biofarmacêutica nos casos de mudanças pós-registro, com algumas exceções</w:t>
      </w:r>
      <w:r w:rsidR="00700557" w:rsidRPr="00482A77">
        <w:rPr>
          <w:rFonts w:ascii="Arial" w:hAnsi="Arial" w:cs="Arial"/>
        </w:rPr>
        <w:t xml:space="preserve"> previstas na RDC</w:t>
      </w:r>
      <w:r w:rsidRPr="00482A77">
        <w:rPr>
          <w:rFonts w:ascii="Arial" w:hAnsi="Arial" w:cs="Arial"/>
        </w:rPr>
        <w:t xml:space="preserve">. </w:t>
      </w:r>
    </w:p>
    <w:p w14:paraId="72396C53" w14:textId="2406EA8F" w:rsidR="00790F0A" w:rsidRPr="001B100F" w:rsidRDefault="00584797" w:rsidP="001B100F">
      <w:pPr>
        <w:spacing w:after="0"/>
        <w:ind w:firstLine="851"/>
        <w:jc w:val="both"/>
        <w:rPr>
          <w:rFonts w:ascii="Arial" w:hAnsi="Arial" w:cs="Arial"/>
        </w:rPr>
      </w:pPr>
      <w:r w:rsidRPr="00482A77">
        <w:rPr>
          <w:rFonts w:ascii="Arial" w:hAnsi="Arial" w:cs="Arial"/>
        </w:rPr>
        <w:t>De qualquer forma, c</w:t>
      </w:r>
      <w:r w:rsidR="00DE2A7A" w:rsidRPr="00482A77">
        <w:rPr>
          <w:rFonts w:ascii="Arial" w:hAnsi="Arial" w:cs="Arial"/>
        </w:rPr>
        <w:t xml:space="preserve">onforme </w:t>
      </w:r>
      <w:r w:rsidR="00790F0A" w:rsidRPr="00482A77">
        <w:rPr>
          <w:rFonts w:ascii="Arial" w:hAnsi="Arial" w:cs="Arial"/>
        </w:rPr>
        <w:t xml:space="preserve">Art. 4º </w:t>
      </w:r>
      <w:r w:rsidR="00DE2A7A" w:rsidRPr="00482A77">
        <w:rPr>
          <w:rFonts w:ascii="Arial" w:hAnsi="Arial" w:cs="Arial"/>
        </w:rPr>
        <w:t xml:space="preserve">da RDC, </w:t>
      </w:r>
      <w:r w:rsidR="00790F0A" w:rsidRPr="00482A77">
        <w:rPr>
          <w:rFonts w:ascii="Arial" w:hAnsi="Arial" w:cs="Arial"/>
        </w:rPr>
        <w:t xml:space="preserve">casos </w:t>
      </w:r>
      <w:r w:rsidR="00DE2A7A" w:rsidRPr="00482A77">
        <w:rPr>
          <w:rFonts w:ascii="Arial" w:hAnsi="Arial" w:cs="Arial"/>
        </w:rPr>
        <w:t>excepcionais</w:t>
      </w:r>
      <w:r w:rsidR="00790F0A" w:rsidRPr="00482A77">
        <w:rPr>
          <w:rFonts w:ascii="Arial" w:hAnsi="Arial" w:cs="Arial"/>
        </w:rPr>
        <w:t xml:space="preserve"> </w:t>
      </w:r>
      <w:r w:rsidR="00DE2A7A" w:rsidRPr="00482A77">
        <w:rPr>
          <w:rFonts w:ascii="Arial" w:hAnsi="Arial" w:cs="Arial"/>
        </w:rPr>
        <w:t>poderão ser aceitos desde que</w:t>
      </w:r>
      <w:r w:rsidR="00790F0A" w:rsidRPr="00482A77">
        <w:rPr>
          <w:rFonts w:ascii="Arial" w:hAnsi="Arial" w:cs="Arial"/>
        </w:rPr>
        <w:t xml:space="preserve"> sejam tecnicamente aceitáveis e deverão ser avaliados previamente pela Agência.</w:t>
      </w:r>
    </w:p>
    <w:p w14:paraId="6FBEAD4D" w14:textId="77777777" w:rsidR="00D939A7" w:rsidRPr="00D939A7" w:rsidRDefault="00D939A7" w:rsidP="00D939A7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387A4D74" w14:textId="51953DE0" w:rsidR="00D939A7" w:rsidRPr="00482A77" w:rsidRDefault="000E1216" w:rsidP="005A6A20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>A</w:t>
      </w:r>
      <w:r w:rsidR="00D939A7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1B100F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="001B100F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5A6A20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baseada no sistema de classificação biofarmacêutica </w:t>
      </w:r>
      <w:r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>pode ser usada</w:t>
      </w:r>
      <w:r w:rsidR="005A6A20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para</w:t>
      </w:r>
      <w:r w:rsidR="002E1515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fins de</w:t>
      </w:r>
      <w:r w:rsidR="005A6A20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registro de </w:t>
      </w:r>
      <w:r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>medicamentos</w:t>
      </w:r>
      <w:r w:rsidR="00AF390D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novos e</w:t>
      </w:r>
      <w:r w:rsidR="005A6A20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inovadores?</w:t>
      </w:r>
      <w:r w:rsidR="000856E7" w:rsidRPr="00482A7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</w:p>
    <w:p w14:paraId="46FA3F05" w14:textId="77777777" w:rsidR="00D939A7" w:rsidRPr="00482A77" w:rsidRDefault="00D939A7" w:rsidP="00D939A7">
      <w:pPr>
        <w:spacing w:after="0"/>
        <w:jc w:val="both"/>
        <w:rPr>
          <w:rFonts w:ascii="Arial" w:hAnsi="Arial" w:cs="Arial"/>
        </w:rPr>
      </w:pPr>
    </w:p>
    <w:p w14:paraId="75D98BE2" w14:textId="4356C147" w:rsidR="00266141" w:rsidRPr="008D5B2E" w:rsidRDefault="0089769B" w:rsidP="0072203C">
      <w:pPr>
        <w:spacing w:after="0"/>
        <w:ind w:firstLine="708"/>
        <w:jc w:val="both"/>
        <w:rPr>
          <w:rFonts w:ascii="Arial" w:hAnsi="Arial" w:cs="Arial"/>
        </w:rPr>
      </w:pPr>
      <w:r w:rsidRPr="0072203C">
        <w:rPr>
          <w:rFonts w:ascii="Arial" w:hAnsi="Arial" w:cs="Arial"/>
        </w:rPr>
        <w:t xml:space="preserve">Não. </w:t>
      </w:r>
      <w:r w:rsidR="00266141" w:rsidRPr="0072203C">
        <w:rPr>
          <w:rFonts w:ascii="Arial" w:hAnsi="Arial" w:cs="Arial"/>
        </w:rPr>
        <w:t>O uso do SCB para medicamentos novos e inovadores é limitado para casos de mudanças pós-registro, com algumas exceções previstas na RDC. De qualquer forma, conforme Art. 4º da RDC, casos excepcionais poderão ser aceitos desde que sejam tecnicamente aceitáveis e deverão ser avaliados previamente pela Agência.</w:t>
      </w:r>
    </w:p>
    <w:p w14:paraId="3756833B" w14:textId="4C152DA7" w:rsidR="000856E7" w:rsidRDefault="000856E7" w:rsidP="007330C9">
      <w:pPr>
        <w:spacing w:after="0"/>
        <w:jc w:val="both"/>
        <w:rPr>
          <w:rFonts w:ascii="Arial" w:hAnsi="Arial" w:cs="Arial"/>
        </w:rPr>
      </w:pPr>
    </w:p>
    <w:p w14:paraId="19363572" w14:textId="77777777" w:rsidR="00D07B75" w:rsidRDefault="00D07B75" w:rsidP="000856E7">
      <w:pPr>
        <w:spacing w:after="0"/>
        <w:ind w:firstLine="851"/>
        <w:jc w:val="both"/>
        <w:rPr>
          <w:rFonts w:ascii="Arial" w:hAnsi="Arial" w:cs="Arial"/>
        </w:rPr>
      </w:pPr>
    </w:p>
    <w:p w14:paraId="4AD248B3" w14:textId="6C44C4B8" w:rsidR="00D07B75" w:rsidRPr="0072203C" w:rsidRDefault="00D07B75" w:rsidP="00D07B75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72203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Pode ser utilizada a </w:t>
      </w:r>
      <w:proofErr w:type="spellStart"/>
      <w:r w:rsidRPr="0072203C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Pr="0072203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no caso de registro de diferentes sais conforme previsto no ICH M9?</w:t>
      </w:r>
    </w:p>
    <w:p w14:paraId="003BD7B8" w14:textId="77777777" w:rsidR="00D07B75" w:rsidRPr="0072203C" w:rsidRDefault="00D07B75" w:rsidP="00D07B75">
      <w:pPr>
        <w:spacing w:after="0"/>
        <w:jc w:val="both"/>
        <w:rPr>
          <w:rFonts w:ascii="Arial" w:hAnsi="Arial" w:cs="Arial"/>
        </w:rPr>
      </w:pPr>
    </w:p>
    <w:p w14:paraId="12CF5569" w14:textId="77777777" w:rsidR="00D07B75" w:rsidRPr="0072203C" w:rsidRDefault="00D07B75" w:rsidP="00D07B75">
      <w:pPr>
        <w:spacing w:after="0"/>
        <w:ind w:firstLine="851"/>
        <w:jc w:val="both"/>
        <w:rPr>
          <w:rFonts w:ascii="Arial" w:hAnsi="Arial" w:cs="Arial"/>
        </w:rPr>
      </w:pPr>
      <w:r w:rsidRPr="0072203C">
        <w:rPr>
          <w:rFonts w:ascii="Arial" w:hAnsi="Arial" w:cs="Arial"/>
        </w:rPr>
        <w:t xml:space="preserve">Não. O escopo do guia ICH M9 – e, consequentemente, da RDC – é a </w:t>
      </w:r>
      <w:proofErr w:type="spellStart"/>
      <w:r w:rsidRPr="0072203C">
        <w:rPr>
          <w:rFonts w:ascii="Arial" w:hAnsi="Arial" w:cs="Arial"/>
        </w:rPr>
        <w:t>bioisenção</w:t>
      </w:r>
      <w:proofErr w:type="spellEnd"/>
      <w:r w:rsidRPr="0072203C">
        <w:rPr>
          <w:rFonts w:ascii="Arial" w:hAnsi="Arial" w:cs="Arial"/>
        </w:rPr>
        <w:t xml:space="preserve"> para registro de medicamentos com mesmo IFA, forma farmacêutica e concentração, o que limita a aplicação dessa via para medicamentos novos e inovadores. </w:t>
      </w:r>
    </w:p>
    <w:p w14:paraId="370C4D07" w14:textId="38D65E30" w:rsidR="00D07B75" w:rsidRDefault="00D07B75" w:rsidP="00D07B75">
      <w:pPr>
        <w:spacing w:after="0"/>
        <w:ind w:firstLine="851"/>
        <w:jc w:val="both"/>
        <w:rPr>
          <w:rFonts w:ascii="Arial" w:hAnsi="Arial" w:cs="Arial"/>
        </w:rPr>
      </w:pPr>
      <w:r w:rsidRPr="0072203C">
        <w:rPr>
          <w:rFonts w:ascii="Arial" w:hAnsi="Arial" w:cs="Arial"/>
        </w:rPr>
        <w:t xml:space="preserve">Apesar </w:t>
      </w:r>
      <w:r w:rsidR="00110B08">
        <w:rPr>
          <w:rFonts w:ascii="Arial" w:hAnsi="Arial" w:cs="Arial"/>
        </w:rPr>
        <w:t>do</w:t>
      </w:r>
      <w:r w:rsidRPr="0072203C">
        <w:rPr>
          <w:rFonts w:ascii="Arial" w:hAnsi="Arial" w:cs="Arial"/>
        </w:rPr>
        <w:t xml:space="preserve"> guia ICH M9 permitir a </w:t>
      </w:r>
      <w:proofErr w:type="spellStart"/>
      <w:r w:rsidRPr="0072203C">
        <w:rPr>
          <w:rFonts w:ascii="Arial" w:hAnsi="Arial" w:cs="Arial"/>
        </w:rPr>
        <w:t>bioisenção</w:t>
      </w:r>
      <w:proofErr w:type="spellEnd"/>
      <w:r w:rsidRPr="0072203C">
        <w:rPr>
          <w:rFonts w:ascii="Arial" w:hAnsi="Arial" w:cs="Arial"/>
        </w:rPr>
        <w:t xml:space="preserve"> para diferentes sais, a definição de equivalente farmacêutico não inclui diferentes sais (RDC </w:t>
      </w:r>
      <w:r w:rsidR="00110B08">
        <w:rPr>
          <w:rFonts w:ascii="Arial" w:hAnsi="Arial" w:cs="Arial"/>
        </w:rPr>
        <w:t xml:space="preserve">nº </w:t>
      </w:r>
      <w:r w:rsidRPr="0072203C">
        <w:rPr>
          <w:rFonts w:ascii="Arial" w:hAnsi="Arial" w:cs="Arial"/>
        </w:rPr>
        <w:t xml:space="preserve">31/2010), portanto, a </w:t>
      </w:r>
      <w:proofErr w:type="spellStart"/>
      <w:r w:rsidRPr="0072203C">
        <w:rPr>
          <w:rFonts w:ascii="Arial" w:hAnsi="Arial" w:cs="Arial"/>
        </w:rPr>
        <w:t>bioisenção</w:t>
      </w:r>
      <w:proofErr w:type="spellEnd"/>
      <w:r w:rsidRPr="0072203C">
        <w:rPr>
          <w:rFonts w:ascii="Arial" w:hAnsi="Arial" w:cs="Arial"/>
        </w:rPr>
        <w:t xml:space="preserve"> de registro de diferentes sais não pode ser pleiteada.</w:t>
      </w:r>
    </w:p>
    <w:p w14:paraId="1A322F00" w14:textId="43E027E1" w:rsidR="00821414" w:rsidRDefault="00821414" w:rsidP="000856E7">
      <w:pPr>
        <w:spacing w:after="0"/>
        <w:ind w:firstLine="851"/>
        <w:jc w:val="both"/>
        <w:rPr>
          <w:rFonts w:ascii="Arial" w:hAnsi="Arial" w:cs="Arial"/>
        </w:rPr>
      </w:pPr>
    </w:p>
    <w:p w14:paraId="0966BEAE" w14:textId="58D13DE6" w:rsidR="00821414" w:rsidRPr="0072203C" w:rsidRDefault="00821414" w:rsidP="00821414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72203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Como é possível realizar consulta prévia sobre </w:t>
      </w:r>
      <w:proofErr w:type="spellStart"/>
      <w:r w:rsidRPr="0072203C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Pr="0072203C">
        <w:rPr>
          <w:rFonts w:ascii="Arial" w:hAnsi="Arial" w:cs="Arial"/>
          <w:b/>
          <w:color w:val="2E74B5" w:themeColor="accent1" w:themeShade="BF"/>
          <w:sz w:val="24"/>
          <w:szCs w:val="24"/>
        </w:rPr>
        <w:t>, no escopo desta Norma?</w:t>
      </w:r>
    </w:p>
    <w:p w14:paraId="20A779E3" w14:textId="4B1A9F0E" w:rsidR="00744A28" w:rsidRDefault="00744A28" w:rsidP="00821414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consulta de </w:t>
      </w:r>
      <w:proofErr w:type="spellStart"/>
      <w:r>
        <w:rPr>
          <w:rFonts w:ascii="Arial" w:hAnsi="Arial" w:cs="Arial"/>
        </w:rPr>
        <w:t>bioisenção</w:t>
      </w:r>
      <w:proofErr w:type="spellEnd"/>
      <w:r>
        <w:rPr>
          <w:rFonts w:ascii="Arial" w:hAnsi="Arial" w:cs="Arial"/>
        </w:rPr>
        <w:t xml:space="preserve"> em qualquer assunto não deve ser realizada com dados gerais </w:t>
      </w:r>
      <w:r w:rsidR="00B8284D">
        <w:rPr>
          <w:rFonts w:ascii="Arial" w:hAnsi="Arial" w:cs="Arial"/>
        </w:rPr>
        <w:t xml:space="preserve">ou dados hipotéticos, mas somente com dados concretos. </w:t>
      </w:r>
      <w:r w:rsidR="00652D51">
        <w:rPr>
          <w:rFonts w:ascii="Arial" w:hAnsi="Arial" w:cs="Arial"/>
        </w:rPr>
        <w:t xml:space="preserve">Estes dados devem ser submetidos na consulta </w:t>
      </w:r>
      <w:r w:rsidR="00C67802">
        <w:rPr>
          <w:rFonts w:ascii="Arial" w:hAnsi="Arial" w:cs="Arial"/>
        </w:rPr>
        <w:t xml:space="preserve">e incluem: avaliação da semelhança da formulação </w:t>
      </w:r>
      <w:r w:rsidR="00C67802">
        <w:rPr>
          <w:rFonts w:ascii="Arial" w:hAnsi="Arial" w:cs="Arial"/>
        </w:rPr>
        <w:lastRenderedPageBreak/>
        <w:t>com o medicamento de referência (</w:t>
      </w:r>
      <w:proofErr w:type="spellStart"/>
      <w:r w:rsidR="00C67802">
        <w:rPr>
          <w:rFonts w:ascii="Arial" w:hAnsi="Arial" w:cs="Arial"/>
        </w:rPr>
        <w:t>deformulação</w:t>
      </w:r>
      <w:proofErr w:type="spellEnd"/>
      <w:r w:rsidR="00C67802">
        <w:rPr>
          <w:rFonts w:ascii="Arial" w:hAnsi="Arial" w:cs="Arial"/>
        </w:rPr>
        <w:t>)</w:t>
      </w:r>
      <w:r w:rsidR="00550DA8">
        <w:rPr>
          <w:rFonts w:ascii="Arial" w:hAnsi="Arial" w:cs="Arial"/>
        </w:rPr>
        <w:t>; avaliação sobre impacto farmacocinético de eventuais diferenças na formulação</w:t>
      </w:r>
      <w:r w:rsidR="00110B08">
        <w:rPr>
          <w:rFonts w:ascii="Arial" w:hAnsi="Arial" w:cs="Arial"/>
        </w:rPr>
        <w:t xml:space="preserve"> e;</w:t>
      </w:r>
      <w:r w:rsidR="00334773">
        <w:rPr>
          <w:rFonts w:ascii="Arial" w:hAnsi="Arial" w:cs="Arial"/>
        </w:rPr>
        <w:t xml:space="preserve"> resultados de ensaios </w:t>
      </w:r>
      <w:r w:rsidR="00334773" w:rsidRPr="00A0418F">
        <w:rPr>
          <w:rFonts w:ascii="Arial" w:hAnsi="Arial" w:cs="Arial"/>
          <w:i/>
          <w:iCs/>
        </w:rPr>
        <w:t>in vitro</w:t>
      </w:r>
      <w:r w:rsidR="00334773">
        <w:rPr>
          <w:rFonts w:ascii="Arial" w:hAnsi="Arial" w:cs="Arial"/>
        </w:rPr>
        <w:t xml:space="preserve"> que já tenham sido realizados. </w:t>
      </w:r>
    </w:p>
    <w:p w14:paraId="1A3C0ACC" w14:textId="12E82059" w:rsidR="00334773" w:rsidRDefault="00334773" w:rsidP="00821414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resposta da </w:t>
      </w:r>
      <w:r w:rsidR="007C1076">
        <w:rPr>
          <w:rFonts w:ascii="Arial" w:hAnsi="Arial" w:cs="Arial"/>
        </w:rPr>
        <w:t>ANVISA</w:t>
      </w:r>
      <w:r>
        <w:rPr>
          <w:rFonts w:ascii="Arial" w:hAnsi="Arial" w:cs="Arial"/>
        </w:rPr>
        <w:t xml:space="preserve"> a estas consultas será no sentido de confirmar se </w:t>
      </w:r>
      <w:r w:rsidR="00110B08">
        <w:rPr>
          <w:rFonts w:ascii="Arial" w:hAnsi="Arial" w:cs="Arial"/>
        </w:rPr>
        <w:t>o racional técnico</w:t>
      </w:r>
      <w:r>
        <w:rPr>
          <w:rFonts w:ascii="Arial" w:hAnsi="Arial" w:cs="Arial"/>
        </w:rPr>
        <w:t xml:space="preserve"> para a </w:t>
      </w:r>
      <w:proofErr w:type="spellStart"/>
      <w:r>
        <w:rPr>
          <w:rFonts w:ascii="Arial" w:hAnsi="Arial" w:cs="Arial"/>
        </w:rPr>
        <w:t>bioisenção</w:t>
      </w:r>
      <w:proofErr w:type="spellEnd"/>
      <w:r>
        <w:rPr>
          <w:rFonts w:ascii="Arial" w:hAnsi="Arial" w:cs="Arial"/>
        </w:rPr>
        <w:t xml:space="preserve"> será ou não aceita. </w:t>
      </w:r>
      <w:r w:rsidR="00631288">
        <w:rPr>
          <w:rFonts w:ascii="Arial" w:hAnsi="Arial" w:cs="Arial"/>
        </w:rPr>
        <w:t xml:space="preserve">Não serão avaliados nesta consulta dados detalhados sobre a obtenção dos resultados, tais como, adequabilidade dos métodos utilizados na </w:t>
      </w:r>
      <w:proofErr w:type="spellStart"/>
      <w:r w:rsidR="00631288">
        <w:rPr>
          <w:rFonts w:ascii="Arial" w:hAnsi="Arial" w:cs="Arial"/>
        </w:rPr>
        <w:t>deformulação</w:t>
      </w:r>
      <w:proofErr w:type="spellEnd"/>
      <w:r w:rsidR="000260B7">
        <w:rPr>
          <w:rFonts w:ascii="Arial" w:hAnsi="Arial" w:cs="Arial"/>
        </w:rPr>
        <w:t xml:space="preserve">, adequabilidade dos métodos de desempenho utilizados e </w:t>
      </w:r>
      <w:r w:rsidR="005255DD">
        <w:rPr>
          <w:rFonts w:ascii="Arial" w:hAnsi="Arial" w:cs="Arial"/>
        </w:rPr>
        <w:t xml:space="preserve">demais dados de qualidade do produto. Estes documentos devem ser submetidos no dossiê do registro e sua avaliação </w:t>
      </w:r>
      <w:r w:rsidR="008319A5">
        <w:rPr>
          <w:rFonts w:ascii="Arial" w:hAnsi="Arial" w:cs="Arial"/>
        </w:rPr>
        <w:t>será realizada neste momento.</w:t>
      </w:r>
    </w:p>
    <w:p w14:paraId="362DBF40" w14:textId="77777777" w:rsidR="0072203C" w:rsidRDefault="0072203C" w:rsidP="00821414">
      <w:pPr>
        <w:spacing w:after="0"/>
        <w:ind w:firstLine="851"/>
        <w:jc w:val="both"/>
        <w:rPr>
          <w:rFonts w:ascii="Arial" w:hAnsi="Arial" w:cs="Arial"/>
        </w:rPr>
      </w:pPr>
    </w:p>
    <w:p w14:paraId="17504654" w14:textId="326F46CB" w:rsidR="0072203C" w:rsidRDefault="0072203C" w:rsidP="00821414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consulta deve ser realizada usando os códigos de assunto abaixo:</w:t>
      </w:r>
    </w:p>
    <w:p w14:paraId="299A826D" w14:textId="77777777" w:rsidR="0072203C" w:rsidRDefault="0072203C" w:rsidP="00821414">
      <w:pPr>
        <w:spacing w:after="0"/>
        <w:ind w:firstLine="851"/>
        <w:jc w:val="both"/>
        <w:rPr>
          <w:rFonts w:ascii="Arial" w:hAnsi="Arial" w:cs="Arial"/>
        </w:rPr>
      </w:pPr>
    </w:p>
    <w:tbl>
      <w:tblPr>
        <w:tblStyle w:val="Tabelacomgrade"/>
        <w:tblW w:w="8563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235"/>
        <w:gridCol w:w="7328"/>
      </w:tblGrid>
      <w:tr w:rsidR="00BC00E5" w14:paraId="2149D241" w14:textId="77777777" w:rsidTr="00BC00E5">
        <w:trPr>
          <w:trHeight w:val="295"/>
        </w:trPr>
        <w:tc>
          <w:tcPr>
            <w:tcW w:w="1235" w:type="dxa"/>
            <w:shd w:val="clear" w:color="auto" w:fill="2E74B5" w:themeFill="accent1" w:themeFillShade="BF"/>
          </w:tcPr>
          <w:p w14:paraId="2E7DC4E5" w14:textId="3F9C7321" w:rsidR="00BC00E5" w:rsidRPr="00F0486A" w:rsidRDefault="00BC00E5" w:rsidP="0099366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7328" w:type="dxa"/>
            <w:shd w:val="clear" w:color="auto" w:fill="2E74B5" w:themeFill="accent1" w:themeFillShade="BF"/>
          </w:tcPr>
          <w:p w14:paraId="0DB2D95F" w14:textId="4C096441" w:rsidR="00BC00E5" w:rsidRPr="00F0486A" w:rsidRDefault="0099366A" w:rsidP="0099366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Assunto</w:t>
            </w:r>
          </w:p>
        </w:tc>
      </w:tr>
      <w:tr w:rsidR="00BC00E5" w:rsidRPr="007E3647" w14:paraId="6724D48F" w14:textId="77777777" w:rsidTr="00BC00E5">
        <w:trPr>
          <w:trHeight w:val="271"/>
        </w:trPr>
        <w:tc>
          <w:tcPr>
            <w:tcW w:w="1235" w:type="dxa"/>
          </w:tcPr>
          <w:p w14:paraId="2813B8B1" w14:textId="3713BE30" w:rsidR="00BC00E5" w:rsidRPr="007E3647" w:rsidRDefault="0099366A" w:rsidP="00427D5C">
            <w:pPr>
              <w:pStyle w:val="PargrafodaLista"/>
              <w:ind w:left="0"/>
              <w:rPr>
                <w:rFonts w:ascii="Arial" w:hAnsi="Arial" w:cs="Arial"/>
              </w:rPr>
            </w:pPr>
            <w:r w:rsidRPr="0072203C">
              <w:rPr>
                <w:rFonts w:ascii="Arial" w:hAnsi="Arial" w:cs="Arial"/>
              </w:rPr>
              <w:t>10928</w:t>
            </w:r>
          </w:p>
        </w:tc>
        <w:tc>
          <w:tcPr>
            <w:tcW w:w="7328" w:type="dxa"/>
          </w:tcPr>
          <w:p w14:paraId="1ECE306F" w14:textId="6D7854B0" w:rsidR="00BC00E5" w:rsidRPr="007E3647" w:rsidRDefault="0099366A" w:rsidP="00427D5C">
            <w:pPr>
              <w:pStyle w:val="PargrafodaLista"/>
              <w:ind w:left="0"/>
              <w:rPr>
                <w:rFonts w:ascii="Arial" w:hAnsi="Arial" w:cs="Arial"/>
              </w:rPr>
            </w:pPr>
            <w:r w:rsidRPr="0072203C">
              <w:rPr>
                <w:rFonts w:ascii="Arial" w:hAnsi="Arial" w:cs="Arial"/>
              </w:rPr>
              <w:t xml:space="preserve">Consulta GQMED - </w:t>
            </w:r>
            <w:proofErr w:type="spellStart"/>
            <w:r w:rsidRPr="0072203C">
              <w:rPr>
                <w:rFonts w:ascii="Arial" w:hAnsi="Arial" w:cs="Arial"/>
              </w:rPr>
              <w:t>Bioisenção</w:t>
            </w:r>
            <w:proofErr w:type="spellEnd"/>
            <w:r w:rsidRPr="0072203C">
              <w:rPr>
                <w:rFonts w:ascii="Arial" w:hAnsi="Arial" w:cs="Arial"/>
              </w:rPr>
              <w:t xml:space="preserve"> em razão da forma</w:t>
            </w:r>
            <w:r>
              <w:rPr>
                <w:rFonts w:ascii="Arial" w:hAnsi="Arial" w:cs="Arial"/>
              </w:rPr>
              <w:t xml:space="preserve"> f</w:t>
            </w:r>
            <w:r w:rsidRPr="0072203C">
              <w:rPr>
                <w:rFonts w:ascii="Arial" w:hAnsi="Arial" w:cs="Arial"/>
              </w:rPr>
              <w:t>armacêutica</w:t>
            </w:r>
          </w:p>
        </w:tc>
      </w:tr>
      <w:tr w:rsidR="00BC00E5" w:rsidRPr="007E3647" w14:paraId="561070AE" w14:textId="77777777" w:rsidTr="00BC00E5">
        <w:trPr>
          <w:trHeight w:val="271"/>
        </w:trPr>
        <w:tc>
          <w:tcPr>
            <w:tcW w:w="1235" w:type="dxa"/>
          </w:tcPr>
          <w:p w14:paraId="5F72CE6A" w14:textId="158AE178" w:rsidR="00BC00E5" w:rsidRPr="007E3647" w:rsidRDefault="0099366A" w:rsidP="00427D5C">
            <w:pPr>
              <w:pStyle w:val="PargrafodaLista"/>
              <w:ind w:left="0"/>
              <w:rPr>
                <w:rFonts w:ascii="Arial" w:hAnsi="Arial" w:cs="Arial"/>
              </w:rPr>
            </w:pPr>
            <w:r w:rsidRPr="0072203C">
              <w:rPr>
                <w:rFonts w:ascii="Arial" w:hAnsi="Arial" w:cs="Arial"/>
              </w:rPr>
              <w:t>10927</w:t>
            </w:r>
          </w:p>
        </w:tc>
        <w:tc>
          <w:tcPr>
            <w:tcW w:w="7328" w:type="dxa"/>
          </w:tcPr>
          <w:p w14:paraId="200AB6B8" w14:textId="31EB3067" w:rsidR="00BC00E5" w:rsidRPr="007E3647" w:rsidRDefault="0099366A" w:rsidP="00427D5C">
            <w:pPr>
              <w:pStyle w:val="PargrafodaLista"/>
              <w:ind w:left="0"/>
              <w:rPr>
                <w:rFonts w:ascii="Arial" w:hAnsi="Arial" w:cs="Arial"/>
              </w:rPr>
            </w:pPr>
            <w:r w:rsidRPr="0072203C">
              <w:rPr>
                <w:rFonts w:ascii="Arial" w:hAnsi="Arial" w:cs="Arial"/>
              </w:rPr>
              <w:t xml:space="preserve">Consulta GQMED - Proporcionalidade das formulações para fins de </w:t>
            </w:r>
            <w:proofErr w:type="spellStart"/>
            <w:r w:rsidRPr="0072203C">
              <w:rPr>
                <w:rFonts w:ascii="Arial" w:hAnsi="Arial" w:cs="Arial"/>
              </w:rPr>
              <w:t>bioisenção</w:t>
            </w:r>
            <w:proofErr w:type="spellEnd"/>
            <w:r w:rsidRPr="0072203C">
              <w:rPr>
                <w:rFonts w:ascii="Arial" w:hAnsi="Arial" w:cs="Arial"/>
              </w:rPr>
              <w:t xml:space="preserve"> das demais concentrações</w:t>
            </w:r>
          </w:p>
        </w:tc>
      </w:tr>
    </w:tbl>
    <w:p w14:paraId="0E06AD6A" w14:textId="77777777" w:rsidR="00FC14ED" w:rsidRDefault="00FC14ED" w:rsidP="00871602">
      <w:pPr>
        <w:spacing w:after="0"/>
        <w:jc w:val="both"/>
        <w:rPr>
          <w:rFonts w:ascii="Arial" w:hAnsi="Arial" w:cs="Arial"/>
          <w:highlight w:val="red"/>
        </w:rPr>
      </w:pPr>
    </w:p>
    <w:p w14:paraId="39544771" w14:textId="77777777" w:rsidR="008C53FD" w:rsidRPr="000339AA" w:rsidRDefault="008C53FD" w:rsidP="008C53FD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0339AA">
        <w:rPr>
          <w:rFonts w:ascii="Arial" w:hAnsi="Arial" w:cs="Arial"/>
          <w:b/>
          <w:color w:val="2E74B5" w:themeColor="accent1" w:themeShade="BF"/>
          <w:sz w:val="24"/>
          <w:szCs w:val="24"/>
        </w:rPr>
        <w:t>Qual a definição de medicamento comparador?</w:t>
      </w:r>
    </w:p>
    <w:p w14:paraId="71458AD2" w14:textId="77777777" w:rsidR="008C53FD" w:rsidRPr="000339AA" w:rsidRDefault="008C53FD" w:rsidP="008C53FD">
      <w:pPr>
        <w:spacing w:after="0"/>
        <w:ind w:firstLine="851"/>
        <w:jc w:val="both"/>
        <w:rPr>
          <w:rFonts w:ascii="Arial" w:hAnsi="Arial" w:cs="Arial"/>
        </w:rPr>
      </w:pPr>
    </w:p>
    <w:p w14:paraId="208E8831" w14:textId="6E2D9FB1" w:rsidR="008C53FD" w:rsidRPr="000339AA" w:rsidRDefault="008C53FD" w:rsidP="00821414">
      <w:pPr>
        <w:spacing w:after="0"/>
        <w:ind w:firstLine="851"/>
        <w:jc w:val="both"/>
        <w:rPr>
          <w:rFonts w:ascii="Arial" w:hAnsi="Arial" w:cs="Arial"/>
        </w:rPr>
      </w:pPr>
      <w:r w:rsidRPr="000339AA">
        <w:rPr>
          <w:rFonts w:ascii="Arial" w:hAnsi="Arial" w:cs="Arial"/>
        </w:rPr>
        <w:t xml:space="preserve">O medicamento comparador é o medicamento com o qual o medicamento teste será comparado, para o qual a eficácia, a segurança e a qualidade foram comprovadas cientificamente junto à autoridade sanitária competente, podendo ser o medicamento referência ou outro indicado pela </w:t>
      </w:r>
      <w:r w:rsidR="007C1076">
        <w:rPr>
          <w:rFonts w:ascii="Arial" w:hAnsi="Arial" w:cs="Arial"/>
        </w:rPr>
        <w:t>ANVISA</w:t>
      </w:r>
      <w:r w:rsidRPr="000339AA">
        <w:rPr>
          <w:rFonts w:ascii="Arial" w:hAnsi="Arial" w:cs="Arial"/>
        </w:rPr>
        <w:t xml:space="preserve">. Por exemplo, no caso de registro de um medicamento genérico, o medicamento comparador é o medicamento de referência. No caso de mudanças pós-registro em que não se apresenta estudo de bioequivalência, em geral, o medicamento comparador é o </w:t>
      </w:r>
      <w:r w:rsidR="00463CCD">
        <w:rPr>
          <w:rFonts w:ascii="Arial" w:hAnsi="Arial" w:cs="Arial"/>
        </w:rPr>
        <w:t xml:space="preserve">próprio </w:t>
      </w:r>
      <w:r w:rsidRPr="000339AA">
        <w:rPr>
          <w:rFonts w:ascii="Arial" w:hAnsi="Arial" w:cs="Arial"/>
        </w:rPr>
        <w:t xml:space="preserve">medicamento </w:t>
      </w:r>
      <w:r w:rsidR="00463CCD">
        <w:rPr>
          <w:rFonts w:ascii="Arial" w:hAnsi="Arial" w:cs="Arial"/>
        </w:rPr>
        <w:t>em sua</w:t>
      </w:r>
      <w:r w:rsidRPr="000339AA">
        <w:rPr>
          <w:rFonts w:ascii="Arial" w:hAnsi="Arial" w:cs="Arial"/>
        </w:rPr>
        <w:t xml:space="preserve"> condição </w:t>
      </w:r>
      <w:r w:rsidR="00463CCD">
        <w:rPr>
          <w:rFonts w:ascii="Arial" w:hAnsi="Arial" w:cs="Arial"/>
        </w:rPr>
        <w:t xml:space="preserve">já </w:t>
      </w:r>
      <w:r w:rsidRPr="000339AA">
        <w:rPr>
          <w:rFonts w:ascii="Arial" w:hAnsi="Arial" w:cs="Arial"/>
        </w:rPr>
        <w:t>aprovada.</w:t>
      </w:r>
    </w:p>
    <w:p w14:paraId="089F6482" w14:textId="251D335E" w:rsidR="008C53FD" w:rsidRDefault="008C53FD" w:rsidP="00821414">
      <w:pPr>
        <w:spacing w:after="0"/>
        <w:ind w:firstLine="851"/>
        <w:jc w:val="both"/>
        <w:rPr>
          <w:rFonts w:ascii="Arial" w:hAnsi="Arial" w:cs="Arial"/>
          <w:highlight w:val="cyan"/>
        </w:rPr>
      </w:pPr>
    </w:p>
    <w:p w14:paraId="037A644A" w14:textId="77777777" w:rsidR="008C53FD" w:rsidRPr="00AF390D" w:rsidRDefault="008C53FD" w:rsidP="008C53FD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Como a empresa deverá pleitear a </w:t>
      </w:r>
      <w:proofErr w:type="spellStart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após o início da vigência da RDC</w:t>
      </w:r>
      <w:r w:rsidRPr="00AF390D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096629AD" w14:textId="77777777" w:rsidR="008C53FD" w:rsidRDefault="008C53FD" w:rsidP="008C53FD">
      <w:pPr>
        <w:spacing w:after="0"/>
        <w:ind w:firstLine="851"/>
        <w:jc w:val="both"/>
        <w:rPr>
          <w:rFonts w:ascii="Arial" w:hAnsi="Arial" w:cs="Arial"/>
        </w:rPr>
      </w:pPr>
    </w:p>
    <w:p w14:paraId="2F598D91" w14:textId="235BDC3D" w:rsidR="008C53FD" w:rsidRDefault="008C53FD" w:rsidP="008C53FD">
      <w:pPr>
        <w:spacing w:after="0"/>
        <w:ind w:firstLine="851"/>
        <w:jc w:val="both"/>
        <w:rPr>
          <w:rFonts w:ascii="Arial" w:hAnsi="Arial" w:cs="Arial"/>
        </w:rPr>
      </w:pPr>
      <w:r w:rsidRPr="00F77B9A">
        <w:rPr>
          <w:rFonts w:ascii="Arial" w:hAnsi="Arial" w:cs="Arial"/>
        </w:rPr>
        <w:t xml:space="preserve">A empresa deverá apresentar um relatório específico na petição de registro ou de pós-registro contendo o racional técnico para a </w:t>
      </w:r>
      <w:proofErr w:type="spellStart"/>
      <w:r w:rsidRPr="00F77B9A">
        <w:rPr>
          <w:rFonts w:ascii="Arial" w:hAnsi="Arial" w:cs="Arial"/>
        </w:rPr>
        <w:t>bioisenção</w:t>
      </w:r>
      <w:proofErr w:type="spellEnd"/>
      <w:r>
        <w:rPr>
          <w:rFonts w:ascii="Arial" w:hAnsi="Arial" w:cs="Arial"/>
        </w:rPr>
        <w:t>, com base nos requisitos previstos na nova Resolução</w:t>
      </w:r>
      <w:r w:rsidRPr="00F77B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</w:t>
      </w:r>
      <w:r w:rsidR="00463CCD">
        <w:rPr>
          <w:rFonts w:ascii="Arial" w:hAnsi="Arial" w:cs="Arial"/>
        </w:rPr>
        <w:t xml:space="preserve">Anvisa </w:t>
      </w:r>
      <w:r>
        <w:rPr>
          <w:rFonts w:ascii="Arial" w:hAnsi="Arial" w:cs="Arial"/>
        </w:rPr>
        <w:t>disponibilizará modelos de relatório com as informações e dados mínimos a serem apresentados.</w:t>
      </w:r>
    </w:p>
    <w:p w14:paraId="2DAB3230" w14:textId="77777777" w:rsidR="00821414" w:rsidRDefault="00821414" w:rsidP="00871602">
      <w:pPr>
        <w:spacing w:after="0"/>
        <w:jc w:val="both"/>
        <w:rPr>
          <w:rFonts w:ascii="Arial" w:hAnsi="Arial" w:cs="Arial"/>
          <w:highlight w:val="cyan"/>
        </w:rPr>
      </w:pPr>
    </w:p>
    <w:p w14:paraId="054289A4" w14:textId="77777777" w:rsidR="007C1076" w:rsidRPr="00821414" w:rsidRDefault="007C1076" w:rsidP="00871602">
      <w:pPr>
        <w:spacing w:after="0"/>
        <w:jc w:val="both"/>
        <w:rPr>
          <w:rFonts w:ascii="Arial" w:hAnsi="Arial" w:cs="Arial"/>
          <w:highlight w:val="cyan"/>
        </w:rPr>
      </w:pPr>
    </w:p>
    <w:p w14:paraId="6809A0CC" w14:textId="60BBD54C" w:rsidR="001B100F" w:rsidRDefault="001B100F" w:rsidP="00672DFD">
      <w:pPr>
        <w:pStyle w:val="PargrafodaLista"/>
        <w:numPr>
          <w:ilvl w:val="1"/>
          <w:numId w:val="10"/>
        </w:numPr>
        <w:spacing w:after="0" w:line="276" w:lineRule="auto"/>
        <w:ind w:left="0" w:firstLine="0"/>
        <w:jc w:val="both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4" w:name="_Toc132733809"/>
      <w:r w:rsidRPr="00B656C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RDC </w:t>
      </w:r>
      <w:r w:rsidR="003E79D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nº </w:t>
      </w:r>
      <w:r w:rsidRPr="00B656C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749/2022 – </w:t>
      </w:r>
      <w:proofErr w:type="spellStart"/>
      <w:r w:rsidR="00123537">
        <w:rPr>
          <w:rFonts w:ascii="Arial" w:hAnsi="Arial" w:cs="Arial"/>
          <w:b/>
          <w:color w:val="2E74B5" w:themeColor="accent1" w:themeShade="BF"/>
          <w:sz w:val="24"/>
          <w:szCs w:val="24"/>
        </w:rPr>
        <w:t>B</w:t>
      </w:r>
      <w:r w:rsidR="00672DFD" w:rsidRPr="00672DFD">
        <w:rPr>
          <w:rFonts w:ascii="Arial" w:hAnsi="Arial" w:cs="Arial"/>
          <w:b/>
          <w:color w:val="2E74B5" w:themeColor="accent1" w:themeShade="BF"/>
          <w:sz w:val="24"/>
          <w:szCs w:val="24"/>
        </w:rPr>
        <w:t>ioisenção</w:t>
      </w:r>
      <w:proofErr w:type="spellEnd"/>
      <w:r w:rsidR="00672DFD" w:rsidRPr="00672DF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em razão da forma farmacêutica, via de administração ou local de ação</w:t>
      </w:r>
      <w:bookmarkEnd w:id="4"/>
    </w:p>
    <w:p w14:paraId="69C5E5B1" w14:textId="4183F2DF" w:rsidR="001B100F" w:rsidRDefault="001B100F" w:rsidP="00A55C7A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53DE8EA2" w14:textId="69461145" w:rsidR="00AF390D" w:rsidRPr="00EA59B4" w:rsidRDefault="00AF390D" w:rsidP="00AF390D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EA59B4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Por que a formulação do medicamento </w:t>
      </w:r>
      <w:r w:rsidR="00B87C7F" w:rsidRPr="00EA59B4">
        <w:rPr>
          <w:rFonts w:ascii="Arial" w:hAnsi="Arial" w:cs="Arial"/>
          <w:b/>
          <w:color w:val="2E74B5" w:themeColor="accent1" w:themeShade="BF"/>
          <w:sz w:val="24"/>
          <w:szCs w:val="24"/>
        </w:rPr>
        <w:t>teste</w:t>
      </w:r>
      <w:r w:rsidRPr="00EA59B4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deve mimetizar </w:t>
      </w:r>
      <w:r w:rsidR="000236A5" w:rsidRPr="00EA59B4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idealmente </w:t>
      </w:r>
      <w:r w:rsidRPr="00EA59B4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a do medicamento </w:t>
      </w:r>
      <w:r w:rsidR="00B87C7F" w:rsidRPr="00EA59B4">
        <w:rPr>
          <w:rFonts w:ascii="Arial" w:hAnsi="Arial" w:cs="Arial"/>
          <w:b/>
          <w:color w:val="2E74B5" w:themeColor="accent1" w:themeShade="BF"/>
          <w:sz w:val="24"/>
          <w:szCs w:val="24"/>
        </w:rPr>
        <w:t>comparador</w:t>
      </w:r>
      <w:r w:rsidRPr="00EA59B4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38D560C1" w14:textId="77777777" w:rsidR="00D22C18" w:rsidRPr="00EA59B4" w:rsidRDefault="00D22C18" w:rsidP="00AF390D">
      <w:pPr>
        <w:spacing w:after="0"/>
        <w:ind w:firstLine="851"/>
        <w:jc w:val="both"/>
        <w:rPr>
          <w:rFonts w:ascii="Arial" w:hAnsi="Arial" w:cs="Arial"/>
        </w:rPr>
      </w:pPr>
    </w:p>
    <w:p w14:paraId="2C6954E9" w14:textId="6BC310C5" w:rsidR="00705DEB" w:rsidRPr="00EA59B4" w:rsidRDefault="00AF390D" w:rsidP="002444F2">
      <w:pPr>
        <w:spacing w:after="0"/>
        <w:ind w:firstLine="851"/>
        <w:jc w:val="both"/>
        <w:rPr>
          <w:rFonts w:ascii="Arial" w:hAnsi="Arial" w:cs="Arial"/>
        </w:rPr>
      </w:pPr>
      <w:r w:rsidRPr="00EA59B4">
        <w:rPr>
          <w:rFonts w:ascii="Arial" w:hAnsi="Arial" w:cs="Arial"/>
        </w:rPr>
        <w:t xml:space="preserve">A semelhança da formulação teste e </w:t>
      </w:r>
      <w:r w:rsidR="00B87C7F" w:rsidRPr="00EA59B4">
        <w:rPr>
          <w:rFonts w:ascii="Arial" w:hAnsi="Arial" w:cs="Arial"/>
        </w:rPr>
        <w:t xml:space="preserve">comparador </w:t>
      </w:r>
      <w:r w:rsidRPr="00EA59B4">
        <w:rPr>
          <w:rFonts w:ascii="Arial" w:hAnsi="Arial" w:cs="Arial"/>
        </w:rPr>
        <w:t xml:space="preserve">irá minimizar o risco de </w:t>
      </w:r>
      <w:proofErr w:type="spellStart"/>
      <w:r w:rsidRPr="00EA59B4">
        <w:rPr>
          <w:rFonts w:ascii="Arial" w:hAnsi="Arial" w:cs="Arial"/>
        </w:rPr>
        <w:t>bioinequivalência</w:t>
      </w:r>
      <w:proofErr w:type="spellEnd"/>
      <w:r w:rsidR="009D2A24" w:rsidRPr="00EA59B4">
        <w:rPr>
          <w:rFonts w:ascii="Arial" w:hAnsi="Arial" w:cs="Arial"/>
        </w:rPr>
        <w:t xml:space="preserve">, como também assegurar que </w:t>
      </w:r>
      <w:r w:rsidR="00471BE3" w:rsidRPr="00EA59B4">
        <w:rPr>
          <w:rFonts w:ascii="Arial" w:hAnsi="Arial" w:cs="Arial"/>
        </w:rPr>
        <w:t xml:space="preserve">apresentem o </w:t>
      </w:r>
      <w:r w:rsidR="009D2A24" w:rsidRPr="00EA59B4">
        <w:rPr>
          <w:rFonts w:ascii="Arial" w:hAnsi="Arial" w:cs="Arial"/>
        </w:rPr>
        <w:t>mesmo perfil de segurança</w:t>
      </w:r>
      <w:r w:rsidRPr="00EA59B4">
        <w:rPr>
          <w:rFonts w:ascii="Arial" w:hAnsi="Arial" w:cs="Arial"/>
        </w:rPr>
        <w:t xml:space="preserve">. </w:t>
      </w:r>
      <w:r w:rsidR="00705DEB" w:rsidRPr="00EA59B4">
        <w:rPr>
          <w:rFonts w:ascii="Arial" w:hAnsi="Arial" w:cs="Arial"/>
        </w:rPr>
        <w:t xml:space="preserve">A garantia de que um produto será </w:t>
      </w:r>
      <w:proofErr w:type="spellStart"/>
      <w:r w:rsidR="00705DEB" w:rsidRPr="00EA59B4">
        <w:rPr>
          <w:rFonts w:ascii="Arial" w:hAnsi="Arial" w:cs="Arial"/>
        </w:rPr>
        <w:t>bioisento</w:t>
      </w:r>
      <w:proofErr w:type="spellEnd"/>
      <w:r w:rsidR="00705DEB" w:rsidRPr="00EA59B4">
        <w:rPr>
          <w:rFonts w:ascii="Arial" w:hAnsi="Arial" w:cs="Arial"/>
        </w:rPr>
        <w:t xml:space="preserve"> pela forma farmacêutica/via </w:t>
      </w:r>
      <w:r w:rsidR="000779E1">
        <w:rPr>
          <w:rFonts w:ascii="Arial" w:hAnsi="Arial" w:cs="Arial"/>
        </w:rPr>
        <w:t xml:space="preserve">de administração </w:t>
      </w:r>
      <w:r w:rsidR="00705DEB" w:rsidRPr="00EA59B4">
        <w:rPr>
          <w:rFonts w:ascii="Arial" w:hAnsi="Arial" w:cs="Arial"/>
        </w:rPr>
        <w:t xml:space="preserve">ou local de ação depende </w:t>
      </w:r>
      <w:r w:rsidR="000779E1">
        <w:rPr>
          <w:rFonts w:ascii="Arial" w:hAnsi="Arial" w:cs="Arial"/>
        </w:rPr>
        <w:t>do</w:t>
      </w:r>
      <w:r w:rsidR="00DE2A7A" w:rsidRPr="00EA59B4">
        <w:rPr>
          <w:rFonts w:ascii="Arial" w:hAnsi="Arial" w:cs="Arial"/>
        </w:rPr>
        <w:t xml:space="preserve"> medicamento teste</w:t>
      </w:r>
      <w:r w:rsidR="00705DEB" w:rsidRPr="00EA59B4">
        <w:rPr>
          <w:rFonts w:ascii="Arial" w:hAnsi="Arial" w:cs="Arial"/>
        </w:rPr>
        <w:t xml:space="preserve"> apresentar a mesma composição qualitativa que o medicamento </w:t>
      </w:r>
      <w:r w:rsidR="00DE2A7A" w:rsidRPr="00EA59B4">
        <w:rPr>
          <w:rFonts w:ascii="Arial" w:hAnsi="Arial" w:cs="Arial"/>
        </w:rPr>
        <w:t>comparador</w:t>
      </w:r>
      <w:r w:rsidR="00705DEB" w:rsidRPr="00EA59B4">
        <w:rPr>
          <w:rFonts w:ascii="Arial" w:hAnsi="Arial" w:cs="Arial"/>
        </w:rPr>
        <w:t xml:space="preserve"> (Q1) e quantitativamente similar para os excipientes com função crítica para a forma farmacêutica e via de administração</w:t>
      </w:r>
      <w:r w:rsidR="00F77B9A" w:rsidRPr="00EA59B4">
        <w:rPr>
          <w:rFonts w:ascii="Arial" w:hAnsi="Arial" w:cs="Arial"/>
        </w:rPr>
        <w:t xml:space="preserve"> (Q2)</w:t>
      </w:r>
      <w:r w:rsidR="00705DEB" w:rsidRPr="00EA59B4">
        <w:rPr>
          <w:rFonts w:ascii="Arial" w:hAnsi="Arial" w:cs="Arial"/>
        </w:rPr>
        <w:t>. No caso de medicamentos complexos,</w:t>
      </w:r>
      <w:r w:rsidR="00BD7751" w:rsidRPr="00EA59B4">
        <w:rPr>
          <w:rFonts w:ascii="Arial" w:hAnsi="Arial" w:cs="Arial"/>
        </w:rPr>
        <w:t xml:space="preserve"> como </w:t>
      </w:r>
      <w:r w:rsidR="00463E0F" w:rsidRPr="00EA59B4">
        <w:rPr>
          <w:rFonts w:ascii="Arial" w:hAnsi="Arial" w:cs="Arial"/>
        </w:rPr>
        <w:t>as formulações</w:t>
      </w:r>
      <w:r w:rsidR="00D22C18" w:rsidRPr="00EA59B4">
        <w:rPr>
          <w:rFonts w:ascii="Arial" w:hAnsi="Arial" w:cs="Arial"/>
        </w:rPr>
        <w:t xml:space="preserve"> semissólidas</w:t>
      </w:r>
      <w:r w:rsidR="00DE2A7A" w:rsidRPr="00EA59B4">
        <w:rPr>
          <w:rFonts w:ascii="Arial" w:hAnsi="Arial" w:cs="Arial"/>
        </w:rPr>
        <w:t xml:space="preserve"> de </w:t>
      </w:r>
      <w:r w:rsidR="00DE2A7A" w:rsidRPr="00EA59B4">
        <w:rPr>
          <w:rFonts w:ascii="Arial" w:hAnsi="Arial" w:cs="Arial"/>
        </w:rPr>
        <w:lastRenderedPageBreak/>
        <w:t>aplicação tópica</w:t>
      </w:r>
      <w:r w:rsidR="00BD7751" w:rsidRPr="00EA59B4">
        <w:rPr>
          <w:rFonts w:ascii="Arial" w:hAnsi="Arial" w:cs="Arial"/>
        </w:rPr>
        <w:t>,</w:t>
      </w:r>
      <w:r w:rsidR="00705DEB" w:rsidRPr="00EA59B4">
        <w:rPr>
          <w:rFonts w:ascii="Arial" w:hAnsi="Arial" w:cs="Arial"/>
        </w:rPr>
        <w:t xml:space="preserve"> também deverá ser comprovada a semelhança físico-química e microestrutural (Q3).</w:t>
      </w:r>
    </w:p>
    <w:p w14:paraId="0787F522" w14:textId="05D3DD51" w:rsidR="0065146B" w:rsidRDefault="0065146B" w:rsidP="00AF390D">
      <w:pPr>
        <w:spacing w:after="0"/>
        <w:ind w:firstLine="851"/>
        <w:jc w:val="both"/>
        <w:rPr>
          <w:rFonts w:ascii="Arial" w:hAnsi="Arial" w:cs="Arial"/>
        </w:rPr>
      </w:pPr>
    </w:p>
    <w:p w14:paraId="3456947B" w14:textId="77777777" w:rsidR="008C53FD" w:rsidRPr="00D145D8" w:rsidRDefault="008C53FD" w:rsidP="008C53FD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D145D8">
        <w:rPr>
          <w:rFonts w:ascii="Arial" w:hAnsi="Arial" w:cs="Arial"/>
          <w:b/>
          <w:color w:val="2E74B5" w:themeColor="accent1" w:themeShade="BF"/>
          <w:sz w:val="24"/>
          <w:szCs w:val="24"/>
        </w:rPr>
        <w:t>A que se refere a semelhança “microestrutural” de semissólidos tópicos descrita na norma?</w:t>
      </w:r>
    </w:p>
    <w:p w14:paraId="788AEFAC" w14:textId="77777777" w:rsidR="008C53FD" w:rsidRDefault="008C53FD" w:rsidP="008C53FD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199425" w14:textId="1DBE63B6" w:rsidR="008C53FD" w:rsidRPr="00596C3E" w:rsidRDefault="008C53FD" w:rsidP="008C53FD">
      <w:pPr>
        <w:spacing w:after="0"/>
        <w:ind w:firstLine="851"/>
        <w:jc w:val="both"/>
        <w:rPr>
          <w:rFonts w:ascii="Arial" w:hAnsi="Arial" w:cs="Arial"/>
        </w:rPr>
      </w:pPr>
      <w:r w:rsidRPr="000017F7">
        <w:rPr>
          <w:rFonts w:ascii="Arial" w:hAnsi="Arial" w:cs="Arial"/>
        </w:rPr>
        <w:t xml:space="preserve">Para possibilitar a </w:t>
      </w:r>
      <w:proofErr w:type="spellStart"/>
      <w:r w:rsidRPr="000017F7">
        <w:rPr>
          <w:rFonts w:ascii="Arial" w:hAnsi="Arial" w:cs="Arial"/>
        </w:rPr>
        <w:t>bioisenção</w:t>
      </w:r>
      <w:proofErr w:type="spellEnd"/>
      <w:r w:rsidRPr="000017F7">
        <w:rPr>
          <w:rFonts w:ascii="Arial" w:hAnsi="Arial" w:cs="Arial"/>
        </w:rPr>
        <w:t xml:space="preserve"> de semissólidos tópicos, espera-se a demonstração de semelhança qualitativa (também conhecida como Q1) e quantitativa (também conhecida como Q2) de formulação. Além disso, outros aspectos podem interferir no desempenho do produto, mesmo que ele tenha uma formulação </w:t>
      </w:r>
      <w:proofErr w:type="spellStart"/>
      <w:r w:rsidRPr="000017F7">
        <w:rPr>
          <w:rFonts w:ascii="Arial" w:hAnsi="Arial" w:cs="Arial"/>
        </w:rPr>
        <w:t>quali</w:t>
      </w:r>
      <w:proofErr w:type="spellEnd"/>
      <w:r w:rsidRPr="000017F7">
        <w:rPr>
          <w:rFonts w:ascii="Arial" w:hAnsi="Arial" w:cs="Arial"/>
        </w:rPr>
        <w:t xml:space="preserve"> e quantitativamente idêntica ao medicamento de referência. Esses aspectos são dependentes de variáveis, tais como parâmetros de produção e qualidade dos excipientes utilizados. Assim, há necessidade de comprovação de uma terceira semelhança nesses produtos (também chamada de Q3</w:t>
      </w:r>
      <w:r w:rsidRPr="00596C3E">
        <w:rPr>
          <w:rFonts w:ascii="Arial" w:hAnsi="Arial" w:cs="Arial"/>
        </w:rPr>
        <w:t>)</w:t>
      </w:r>
      <w:r w:rsidRPr="000017F7">
        <w:rPr>
          <w:rFonts w:ascii="Arial" w:hAnsi="Arial" w:cs="Arial"/>
        </w:rPr>
        <w:t>. Essa semelhança envolve uma caracterização físico-química</w:t>
      </w:r>
      <w:r w:rsidR="00330FCA">
        <w:rPr>
          <w:rFonts w:ascii="Arial" w:hAnsi="Arial" w:cs="Arial"/>
        </w:rPr>
        <w:t xml:space="preserve"> básica</w:t>
      </w:r>
      <w:r w:rsidRPr="000017F7">
        <w:rPr>
          <w:rFonts w:ascii="Arial" w:hAnsi="Arial" w:cs="Arial"/>
        </w:rPr>
        <w:t xml:space="preserve"> </w:t>
      </w:r>
      <w:r w:rsidR="00330FCA">
        <w:rPr>
          <w:rFonts w:ascii="Arial" w:hAnsi="Arial" w:cs="Arial"/>
        </w:rPr>
        <w:t>com base em parâmetros como</w:t>
      </w:r>
      <w:r w:rsidRPr="000017F7">
        <w:rPr>
          <w:rFonts w:ascii="Arial" w:hAnsi="Arial" w:cs="Arial"/>
        </w:rPr>
        <w:t xml:space="preserve"> aparência, estado de fases, propriedades reológicas, pH, atividade de água e/ou taxa de </w:t>
      </w:r>
      <w:proofErr w:type="gramStart"/>
      <w:r w:rsidRPr="000017F7">
        <w:rPr>
          <w:rFonts w:ascii="Arial" w:hAnsi="Arial" w:cs="Arial"/>
        </w:rPr>
        <w:t>evaporação</w:t>
      </w:r>
      <w:r w:rsidR="00330FCA">
        <w:rPr>
          <w:rFonts w:ascii="Arial" w:hAnsi="Arial" w:cs="Arial"/>
        </w:rPr>
        <w:t>,</w:t>
      </w:r>
      <w:r w:rsidRPr="000017F7">
        <w:rPr>
          <w:rFonts w:ascii="Arial" w:hAnsi="Arial" w:cs="Arial"/>
        </w:rPr>
        <w:t xml:space="preserve"> etc</w:t>
      </w:r>
      <w:r w:rsidR="00330FCA">
        <w:rPr>
          <w:rFonts w:ascii="Arial" w:hAnsi="Arial" w:cs="Arial"/>
        </w:rPr>
        <w:t>.</w:t>
      </w:r>
      <w:proofErr w:type="gramEnd"/>
      <w:r w:rsidRPr="000017F7">
        <w:rPr>
          <w:rFonts w:ascii="Arial" w:hAnsi="Arial" w:cs="Arial"/>
        </w:rPr>
        <w:t>)</w:t>
      </w:r>
      <w:r w:rsidR="00330FCA">
        <w:rPr>
          <w:rFonts w:ascii="Arial" w:hAnsi="Arial" w:cs="Arial"/>
        </w:rPr>
        <w:t xml:space="preserve">, assim como </w:t>
      </w:r>
      <w:r w:rsidRPr="000017F7">
        <w:rPr>
          <w:rFonts w:ascii="Arial" w:hAnsi="Arial" w:cs="Arial"/>
        </w:rPr>
        <w:t xml:space="preserve">uma caracterização microestrutural </w:t>
      </w:r>
      <w:r w:rsidR="00330FCA">
        <w:rPr>
          <w:rFonts w:ascii="Arial" w:hAnsi="Arial" w:cs="Arial"/>
        </w:rPr>
        <w:t>com base em parâmetros como</w:t>
      </w:r>
      <w:r w:rsidRPr="000017F7">
        <w:rPr>
          <w:rFonts w:ascii="Arial" w:hAnsi="Arial" w:cs="Arial"/>
        </w:rPr>
        <w:t xml:space="preserve"> distribuição do tamanho de partículas/gotículas, forma polimórfica, hábito cristalino, etc. </w:t>
      </w:r>
    </w:p>
    <w:p w14:paraId="41551041" w14:textId="77777777" w:rsidR="008C53FD" w:rsidRPr="00596C3E" w:rsidRDefault="008C53FD" w:rsidP="008C53FD">
      <w:pPr>
        <w:spacing w:after="0"/>
        <w:ind w:firstLine="851"/>
        <w:jc w:val="both"/>
        <w:rPr>
          <w:rFonts w:ascii="Arial" w:hAnsi="Arial" w:cs="Arial"/>
        </w:rPr>
      </w:pPr>
    </w:p>
    <w:p w14:paraId="775D6C05" w14:textId="2C03F5EA" w:rsidR="008C53FD" w:rsidRPr="00596C3E" w:rsidRDefault="008C53FD" w:rsidP="008C53FD">
      <w:pPr>
        <w:spacing w:after="0"/>
        <w:ind w:firstLine="851"/>
        <w:jc w:val="both"/>
        <w:rPr>
          <w:rFonts w:ascii="Arial" w:hAnsi="Arial" w:cs="Arial"/>
        </w:rPr>
      </w:pPr>
      <w:r w:rsidRPr="000017F7">
        <w:rPr>
          <w:rFonts w:ascii="Arial" w:hAnsi="Arial" w:cs="Arial"/>
        </w:rPr>
        <w:t xml:space="preserve">Os aspectos de qualidade e dos testes a serem realizados dependem do produto e devem ser definidos durante o seu desenvolvimento, entretanto em todos os casos é fundamental haver relação entre os parâmetros testados e o desempenho do produto. Cabe destacar que a microestrutura de um produto tópico </w:t>
      </w:r>
      <w:r w:rsidR="00C413FE" w:rsidRPr="000017F7">
        <w:rPr>
          <w:rFonts w:ascii="Arial" w:hAnsi="Arial" w:cs="Arial"/>
        </w:rPr>
        <w:t>se refere</w:t>
      </w:r>
      <w:r w:rsidRPr="000017F7">
        <w:rPr>
          <w:rFonts w:ascii="Arial" w:hAnsi="Arial" w:cs="Arial"/>
        </w:rPr>
        <w:t xml:space="preserve"> à organização interna da matriz da formulação que pode ser visualizada através de técnicas analíticas (</w:t>
      </w:r>
      <w:r w:rsidR="00733065">
        <w:rPr>
          <w:rFonts w:ascii="Arial" w:hAnsi="Arial" w:cs="Arial"/>
        </w:rPr>
        <w:t>por exemplo,</w:t>
      </w:r>
      <w:r w:rsidRPr="000017F7">
        <w:rPr>
          <w:rFonts w:ascii="Arial" w:hAnsi="Arial" w:cs="Arial"/>
        </w:rPr>
        <w:t xml:space="preserve"> difração a laser, raios-x, </w:t>
      </w:r>
      <w:proofErr w:type="gramStart"/>
      <w:r w:rsidRPr="000017F7">
        <w:rPr>
          <w:rFonts w:ascii="Arial" w:hAnsi="Arial" w:cs="Arial"/>
        </w:rPr>
        <w:t>microscopia</w:t>
      </w:r>
      <w:r w:rsidR="00330FCA">
        <w:rPr>
          <w:rFonts w:ascii="Arial" w:hAnsi="Arial" w:cs="Arial"/>
        </w:rPr>
        <w:t>,</w:t>
      </w:r>
      <w:r w:rsidRPr="000017F7">
        <w:rPr>
          <w:rFonts w:ascii="Arial" w:hAnsi="Arial" w:cs="Arial"/>
        </w:rPr>
        <w:t xml:space="preserve"> etc</w:t>
      </w:r>
      <w:r w:rsidR="00330FCA">
        <w:rPr>
          <w:rFonts w:ascii="Arial" w:hAnsi="Arial" w:cs="Arial"/>
        </w:rPr>
        <w:t>.</w:t>
      </w:r>
      <w:proofErr w:type="gramEnd"/>
      <w:r w:rsidRPr="000017F7">
        <w:rPr>
          <w:rFonts w:ascii="Arial" w:hAnsi="Arial" w:cs="Arial"/>
        </w:rPr>
        <w:t xml:space="preserve">) e alterações </w:t>
      </w:r>
      <w:proofErr w:type="spellStart"/>
      <w:r w:rsidRPr="000017F7">
        <w:rPr>
          <w:rFonts w:ascii="Arial" w:hAnsi="Arial" w:cs="Arial"/>
        </w:rPr>
        <w:t>nessa</w:t>
      </w:r>
      <w:proofErr w:type="spellEnd"/>
      <w:r w:rsidRPr="000017F7">
        <w:rPr>
          <w:rFonts w:ascii="Arial" w:hAnsi="Arial" w:cs="Arial"/>
        </w:rPr>
        <w:t xml:space="preserve"> microestrutura podem se refletir também na</w:t>
      </w:r>
      <w:r w:rsidR="0019579A">
        <w:rPr>
          <w:rFonts w:ascii="Arial" w:hAnsi="Arial" w:cs="Arial"/>
        </w:rPr>
        <w:t>s</w:t>
      </w:r>
      <w:r w:rsidRPr="000017F7">
        <w:rPr>
          <w:rFonts w:ascii="Arial" w:hAnsi="Arial" w:cs="Arial"/>
        </w:rPr>
        <w:t xml:space="preserve"> </w:t>
      </w:r>
      <w:r w:rsidR="0019579A" w:rsidRPr="000017F7">
        <w:rPr>
          <w:rFonts w:ascii="Arial" w:hAnsi="Arial" w:cs="Arial"/>
        </w:rPr>
        <w:t>características</w:t>
      </w:r>
      <w:r w:rsidRPr="000017F7">
        <w:rPr>
          <w:rFonts w:ascii="Arial" w:hAnsi="Arial" w:cs="Arial"/>
        </w:rPr>
        <w:t xml:space="preserve"> físico-química</w:t>
      </w:r>
      <w:r w:rsidR="00733065">
        <w:rPr>
          <w:rFonts w:ascii="Arial" w:hAnsi="Arial" w:cs="Arial"/>
        </w:rPr>
        <w:t>s</w:t>
      </w:r>
      <w:r w:rsidRPr="000017F7">
        <w:rPr>
          <w:rFonts w:ascii="Arial" w:hAnsi="Arial" w:cs="Arial"/>
        </w:rPr>
        <w:t xml:space="preserve"> da </w:t>
      </w:r>
      <w:r w:rsidRPr="00596C3E">
        <w:rPr>
          <w:rFonts w:ascii="Arial" w:hAnsi="Arial" w:cs="Arial"/>
        </w:rPr>
        <w:t>f</w:t>
      </w:r>
      <w:r w:rsidRPr="000017F7">
        <w:rPr>
          <w:rFonts w:ascii="Arial" w:hAnsi="Arial" w:cs="Arial"/>
        </w:rPr>
        <w:t>ormulação.</w:t>
      </w:r>
    </w:p>
    <w:p w14:paraId="5605F6EC" w14:textId="77777777" w:rsidR="008C53FD" w:rsidRPr="00596C3E" w:rsidRDefault="008C53FD" w:rsidP="008C53FD">
      <w:pPr>
        <w:spacing w:after="0"/>
        <w:ind w:firstLine="851"/>
        <w:jc w:val="both"/>
        <w:rPr>
          <w:rFonts w:ascii="Arial" w:hAnsi="Arial" w:cs="Arial"/>
        </w:rPr>
      </w:pPr>
    </w:p>
    <w:p w14:paraId="3DDEA65C" w14:textId="77777777" w:rsidR="008C53FD" w:rsidRPr="00596C3E" w:rsidRDefault="008C53FD" w:rsidP="008C53FD">
      <w:pPr>
        <w:spacing w:after="0"/>
        <w:ind w:firstLine="851"/>
        <w:jc w:val="both"/>
        <w:rPr>
          <w:rFonts w:ascii="Arial" w:hAnsi="Arial" w:cs="Arial"/>
        </w:rPr>
      </w:pPr>
      <w:r w:rsidRPr="000017F7">
        <w:rPr>
          <w:rFonts w:ascii="Arial" w:hAnsi="Arial" w:cs="Arial"/>
        </w:rPr>
        <w:t xml:space="preserve">É importante ainda que a caracterização microestrutural comparativa envolva vários lotes do medicamento teste e do medicamento de referência, para assegurar que a semelhança encontrada é consistente, ou então que as diferenças que eventualmente existam sejam menos significativas que a variação </w:t>
      </w:r>
      <w:proofErr w:type="spellStart"/>
      <w:r w:rsidRPr="000017F7">
        <w:rPr>
          <w:rFonts w:ascii="Arial" w:hAnsi="Arial" w:cs="Arial"/>
        </w:rPr>
        <w:t>inter-lotes</w:t>
      </w:r>
      <w:proofErr w:type="spellEnd"/>
      <w:r w:rsidRPr="000017F7">
        <w:rPr>
          <w:rFonts w:ascii="Arial" w:hAnsi="Arial" w:cs="Arial"/>
        </w:rPr>
        <w:t xml:space="preserve"> do próprio medicamento de referência. </w:t>
      </w:r>
    </w:p>
    <w:p w14:paraId="21A0DD1B" w14:textId="77777777" w:rsidR="008C53FD" w:rsidRPr="00596C3E" w:rsidRDefault="008C53FD" w:rsidP="008C53FD">
      <w:pPr>
        <w:spacing w:after="0"/>
        <w:ind w:firstLine="851"/>
        <w:jc w:val="both"/>
        <w:rPr>
          <w:rFonts w:ascii="Arial" w:hAnsi="Arial" w:cs="Arial"/>
        </w:rPr>
      </w:pPr>
    </w:p>
    <w:p w14:paraId="334F2BCD" w14:textId="77777777" w:rsidR="008C53FD" w:rsidRDefault="008C53FD" w:rsidP="008C53FD">
      <w:pPr>
        <w:spacing w:after="0"/>
        <w:ind w:firstLine="851"/>
        <w:jc w:val="both"/>
        <w:rPr>
          <w:rFonts w:ascii="Arial" w:hAnsi="Arial" w:cs="Arial"/>
        </w:rPr>
      </w:pPr>
      <w:r w:rsidRPr="000017F7">
        <w:rPr>
          <w:rFonts w:ascii="Arial" w:hAnsi="Arial" w:cs="Arial"/>
        </w:rPr>
        <w:t>Por último, espera-se que os testes realizados tenham seus resultados avaliados com ferramenta estatística apropriada.</w:t>
      </w:r>
    </w:p>
    <w:p w14:paraId="0F99F1F8" w14:textId="69CA2E99" w:rsidR="00AF390D" w:rsidRDefault="00AF390D" w:rsidP="00AF390D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74DF7567" w14:textId="6708F19E" w:rsidR="00076FAF" w:rsidRPr="00CE6D6E" w:rsidRDefault="00076FAF" w:rsidP="00076FAF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Quais são os requisitos para </w:t>
      </w:r>
      <w:proofErr w:type="spellStart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584797">
        <w:rPr>
          <w:rFonts w:ascii="Arial" w:hAnsi="Arial" w:cs="Arial"/>
          <w:b/>
          <w:color w:val="2E74B5" w:themeColor="accent1" w:themeShade="BF"/>
          <w:sz w:val="24"/>
          <w:szCs w:val="24"/>
        </w:rPr>
        <w:t>de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soluções orais</w:t>
      </w:r>
      <w:r w:rsidRPr="00CE6D6E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4C8147A0" w14:textId="77777777" w:rsidR="00F8777B" w:rsidRDefault="00F8777B" w:rsidP="00076FAF">
      <w:pPr>
        <w:spacing w:after="0"/>
        <w:ind w:firstLine="851"/>
        <w:jc w:val="both"/>
        <w:rPr>
          <w:rFonts w:ascii="Arial" w:hAnsi="Arial" w:cs="Arial"/>
        </w:rPr>
      </w:pPr>
    </w:p>
    <w:p w14:paraId="3BA7DC9D" w14:textId="2EFDDFB6" w:rsidR="00076FAF" w:rsidRPr="00D22C18" w:rsidRDefault="00076FAF" w:rsidP="00076FAF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733065">
        <w:rPr>
          <w:rFonts w:ascii="Arial" w:hAnsi="Arial" w:cs="Arial"/>
        </w:rPr>
        <w:t>Art</w:t>
      </w:r>
      <w:r>
        <w:rPr>
          <w:rFonts w:ascii="Arial" w:hAnsi="Arial" w:cs="Arial"/>
        </w:rPr>
        <w:t xml:space="preserve">. 7º, I, podem ser </w:t>
      </w:r>
      <w:proofErr w:type="spellStart"/>
      <w:r>
        <w:rPr>
          <w:rFonts w:ascii="Arial" w:hAnsi="Arial" w:cs="Arial"/>
        </w:rPr>
        <w:t>bioisentas</w:t>
      </w:r>
      <w:proofErr w:type="spellEnd"/>
      <w:r>
        <w:rPr>
          <w:rFonts w:ascii="Arial" w:hAnsi="Arial" w:cs="Arial"/>
        </w:rPr>
        <w:t xml:space="preserve"> </w:t>
      </w:r>
      <w:r w:rsidRPr="00D22C18">
        <w:rPr>
          <w:rFonts w:ascii="Arial" w:hAnsi="Arial" w:cs="Arial"/>
        </w:rPr>
        <w:t>soluções aquosas de uso oral, pós ou outras formas farmacêuticas que resultem em soluções aquosas orais antes da administração, que:</w:t>
      </w:r>
    </w:p>
    <w:p w14:paraId="31C757F7" w14:textId="77777777" w:rsidR="00076FAF" w:rsidRPr="00D22C18" w:rsidRDefault="00076FAF" w:rsidP="00076FAF">
      <w:pPr>
        <w:spacing w:after="0"/>
        <w:ind w:firstLine="851"/>
        <w:jc w:val="both"/>
        <w:rPr>
          <w:rFonts w:ascii="Arial" w:hAnsi="Arial" w:cs="Arial"/>
        </w:rPr>
      </w:pPr>
      <w:r w:rsidRPr="00D22C18">
        <w:rPr>
          <w:rFonts w:ascii="Arial" w:hAnsi="Arial" w:cs="Arial"/>
        </w:rPr>
        <w:t>a) contenham o mesmo fármaco, na mesma concentração em relação ao medicamento comparador (equivalentes farmacêuticos); e</w:t>
      </w:r>
    </w:p>
    <w:p w14:paraId="47866BE8" w14:textId="74C9B8B9" w:rsidR="00076FAF" w:rsidRDefault="00076FAF" w:rsidP="00076FAF">
      <w:pPr>
        <w:spacing w:after="0"/>
        <w:ind w:firstLine="851"/>
        <w:jc w:val="both"/>
        <w:rPr>
          <w:rFonts w:ascii="Arial" w:hAnsi="Arial" w:cs="Arial"/>
        </w:rPr>
      </w:pPr>
      <w:r w:rsidRPr="00D22C18">
        <w:rPr>
          <w:rFonts w:ascii="Arial" w:hAnsi="Arial" w:cs="Arial"/>
        </w:rPr>
        <w:t>b) apresentem formulação qualitativamente idêntica em relação a todos os excipientes e quantitativamente similar em relação aos excipientes do medicamento comparador que possuem impacto em aspectos da absorção do fármaco, como solubilidade, motilidade gastrointestinal, tempo de trânsito e permeabilidade intestinal, incluindo mecanismos de transporte</w:t>
      </w:r>
      <w:r>
        <w:rPr>
          <w:rFonts w:ascii="Arial" w:hAnsi="Arial" w:cs="Arial"/>
        </w:rPr>
        <w:t>.</w:t>
      </w:r>
    </w:p>
    <w:p w14:paraId="0B075866" w14:textId="4F0C6613" w:rsidR="00F8777B" w:rsidRDefault="00F8777B" w:rsidP="00F8777B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Além disso, </w:t>
      </w:r>
      <w:r w:rsidRPr="00F8777B">
        <w:rPr>
          <w:rFonts w:ascii="Arial" w:hAnsi="Arial" w:cs="Arial"/>
        </w:rPr>
        <w:t>diferenças qualitativas em excipientes com função corante, aromatizante, flavorizante, antioxidante, acidificante, alcalinizante e conservante poderão ser aceitas, mediante apresentação de justificativa técnica</w:t>
      </w:r>
      <w:r>
        <w:rPr>
          <w:rFonts w:ascii="Arial" w:hAnsi="Arial" w:cs="Arial"/>
        </w:rPr>
        <w:t xml:space="preserve"> (Art. 8º, I).</w:t>
      </w:r>
    </w:p>
    <w:p w14:paraId="79C07648" w14:textId="30CE0CCD" w:rsidR="00F8777B" w:rsidRDefault="00F8777B" w:rsidP="00F8777B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fim, conforme Art. 8º, II, a </w:t>
      </w:r>
      <w:r w:rsidRPr="00F8777B">
        <w:rPr>
          <w:rFonts w:ascii="Arial" w:hAnsi="Arial" w:cs="Arial"/>
        </w:rPr>
        <w:t xml:space="preserve">requerente deverá </w:t>
      </w:r>
      <w:bookmarkStart w:id="5" w:name="_Hlk121815895"/>
      <w:r w:rsidRPr="00F8777B">
        <w:rPr>
          <w:rFonts w:ascii="Arial" w:hAnsi="Arial" w:cs="Arial"/>
        </w:rPr>
        <w:t>apresentar</w:t>
      </w:r>
      <w:r>
        <w:rPr>
          <w:rFonts w:ascii="Arial" w:hAnsi="Arial" w:cs="Arial"/>
        </w:rPr>
        <w:t xml:space="preserve"> </w:t>
      </w:r>
      <w:r w:rsidRPr="00F8777B">
        <w:rPr>
          <w:rFonts w:ascii="Arial" w:hAnsi="Arial" w:cs="Arial"/>
        </w:rPr>
        <w:t>justificativa acerca da quantidade utilizada de cada excipiente que possa afetar a absorção do fármaco, a discussão sobre o mecanismo pelo qual o excipiente pode afetar a absorção e as propriedades de absorção do fármaco (taxa, extensão e mecanismo de absorção</w:t>
      </w:r>
      <w:bookmarkEnd w:id="5"/>
      <w:r w:rsidRPr="00F8777B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F8777B">
        <w:rPr>
          <w:rFonts w:ascii="Arial" w:hAnsi="Arial" w:cs="Arial"/>
        </w:rPr>
        <w:t xml:space="preserve">Exemplos de excipientes que afetam a absorção incluem açúcares alcoólicos (por exemplo, manitol e </w:t>
      </w:r>
      <w:proofErr w:type="spellStart"/>
      <w:r w:rsidRPr="00F8777B">
        <w:rPr>
          <w:rFonts w:ascii="Arial" w:hAnsi="Arial" w:cs="Arial"/>
        </w:rPr>
        <w:t>sorbitol</w:t>
      </w:r>
      <w:proofErr w:type="spellEnd"/>
      <w:r w:rsidRPr="00F8777B">
        <w:rPr>
          <w:rFonts w:ascii="Arial" w:hAnsi="Arial" w:cs="Arial"/>
        </w:rPr>
        <w:t xml:space="preserve">), surfactantes (por exemplo, </w:t>
      </w:r>
      <w:proofErr w:type="spellStart"/>
      <w:r w:rsidRPr="00F8777B">
        <w:rPr>
          <w:rFonts w:ascii="Arial" w:hAnsi="Arial" w:cs="Arial"/>
        </w:rPr>
        <w:t>polissorbato</w:t>
      </w:r>
      <w:proofErr w:type="spellEnd"/>
      <w:r w:rsidRPr="00F8777B">
        <w:rPr>
          <w:rFonts w:ascii="Arial" w:hAnsi="Arial" w:cs="Arial"/>
        </w:rPr>
        <w:t xml:space="preserve"> e </w:t>
      </w:r>
      <w:proofErr w:type="spellStart"/>
      <w:r w:rsidRPr="00F8777B">
        <w:rPr>
          <w:rFonts w:ascii="Arial" w:hAnsi="Arial" w:cs="Arial"/>
        </w:rPr>
        <w:t>laurilsulfato</w:t>
      </w:r>
      <w:proofErr w:type="spellEnd"/>
      <w:r w:rsidRPr="00F8777B">
        <w:rPr>
          <w:rFonts w:ascii="Arial" w:hAnsi="Arial" w:cs="Arial"/>
        </w:rPr>
        <w:t xml:space="preserve"> de sódio), polietilenoglicol e álcool etílico.</w:t>
      </w:r>
    </w:p>
    <w:p w14:paraId="27054488" w14:textId="77777777" w:rsidR="00076FAF" w:rsidRDefault="00076FAF" w:rsidP="00D22C18">
      <w:pPr>
        <w:spacing w:after="0"/>
        <w:ind w:firstLine="851"/>
        <w:jc w:val="both"/>
        <w:rPr>
          <w:rFonts w:ascii="Arial" w:hAnsi="Arial" w:cs="Arial"/>
        </w:rPr>
      </w:pPr>
    </w:p>
    <w:p w14:paraId="65D01663" w14:textId="55B44B92" w:rsidR="00076FAF" w:rsidRDefault="00076FAF" w:rsidP="00076FAF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Quais são os requisitos para </w:t>
      </w:r>
      <w:proofErr w:type="spellStart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584797">
        <w:rPr>
          <w:rFonts w:ascii="Arial" w:hAnsi="Arial" w:cs="Arial"/>
          <w:b/>
          <w:color w:val="2E74B5" w:themeColor="accent1" w:themeShade="BF"/>
          <w:sz w:val="24"/>
          <w:szCs w:val="24"/>
        </w:rPr>
        <w:t>de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285A9C" w:rsidRPr="00285A9C">
        <w:rPr>
          <w:rFonts w:ascii="Arial" w:hAnsi="Arial" w:cs="Arial"/>
          <w:b/>
          <w:color w:val="2E74B5" w:themeColor="accent1" w:themeShade="BF"/>
          <w:sz w:val="24"/>
          <w:szCs w:val="24"/>
        </w:rPr>
        <w:t>soluções aquosas e oleosas de uso parenteral</w:t>
      </w:r>
      <w:r w:rsidRPr="00CE6D6E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25ACAA9F" w14:textId="77777777" w:rsidR="00F8777B" w:rsidRPr="00CE6D6E" w:rsidRDefault="00F8777B" w:rsidP="00F8777B">
      <w:pPr>
        <w:pStyle w:val="PargrafodaLista"/>
        <w:spacing w:after="0"/>
        <w:ind w:left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52B50AF" w14:textId="227B3AE3" w:rsidR="000236A5" w:rsidRDefault="00285A9C" w:rsidP="00076FAF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de serem </w:t>
      </w:r>
      <w:r w:rsidRPr="00076FAF">
        <w:rPr>
          <w:rFonts w:ascii="Arial" w:hAnsi="Arial" w:cs="Arial"/>
        </w:rPr>
        <w:t>equivalentes farmacêuticos ao medicamento comparador</w:t>
      </w:r>
      <w:r>
        <w:rPr>
          <w:rFonts w:ascii="Arial" w:hAnsi="Arial" w:cs="Arial"/>
        </w:rPr>
        <w:t>,</w:t>
      </w:r>
      <w:r w:rsidRPr="00076FAF">
        <w:rPr>
          <w:rFonts w:ascii="Arial" w:hAnsi="Arial" w:cs="Arial"/>
        </w:rPr>
        <w:t xml:space="preserve"> </w:t>
      </w:r>
      <w:r w:rsidR="00076FAF" w:rsidRPr="00076FAF">
        <w:rPr>
          <w:rFonts w:ascii="Arial" w:hAnsi="Arial" w:cs="Arial"/>
        </w:rPr>
        <w:t>soluções aquosas e oleosas de uso parenteral ou outras formas farmacêuticas que resultem em soluções antes da administração</w:t>
      </w:r>
      <w:r>
        <w:rPr>
          <w:rFonts w:ascii="Arial" w:hAnsi="Arial" w:cs="Arial"/>
        </w:rPr>
        <w:t xml:space="preserve"> podem ser </w:t>
      </w:r>
      <w:proofErr w:type="spellStart"/>
      <w:r>
        <w:rPr>
          <w:rFonts w:ascii="Arial" w:hAnsi="Arial" w:cs="Arial"/>
        </w:rPr>
        <w:t>bioisentas</w:t>
      </w:r>
      <w:proofErr w:type="spellEnd"/>
      <w:r>
        <w:rPr>
          <w:rFonts w:ascii="Arial" w:hAnsi="Arial" w:cs="Arial"/>
        </w:rPr>
        <w:t xml:space="preserve"> desde que </w:t>
      </w:r>
      <w:r w:rsidR="00076FAF" w:rsidRPr="00076FAF">
        <w:rPr>
          <w:rFonts w:ascii="Arial" w:hAnsi="Arial" w:cs="Arial"/>
        </w:rPr>
        <w:t>apresentem formulação qualitativamente idêntica e quantitativamente similar em relação a todos excipientes presentes no medicamento comparador</w:t>
      </w:r>
      <w:r>
        <w:rPr>
          <w:rFonts w:ascii="Arial" w:hAnsi="Arial" w:cs="Arial"/>
        </w:rPr>
        <w:t>.</w:t>
      </w:r>
    </w:p>
    <w:p w14:paraId="3EDB9FF1" w14:textId="5C7C0A74" w:rsidR="00921200" w:rsidRDefault="00921200" w:rsidP="00921200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8777B" w:rsidRPr="00F8777B">
        <w:rPr>
          <w:rFonts w:ascii="Arial" w:hAnsi="Arial" w:cs="Arial"/>
        </w:rPr>
        <w:t xml:space="preserve">iferenças qualitativas em excipientes com função acidificante, alcalinizante, conservante, </w:t>
      </w:r>
      <w:proofErr w:type="spellStart"/>
      <w:r w:rsidR="00F8777B" w:rsidRPr="00F8777B">
        <w:rPr>
          <w:rFonts w:ascii="Arial" w:hAnsi="Arial" w:cs="Arial"/>
        </w:rPr>
        <w:t>tamponante</w:t>
      </w:r>
      <w:proofErr w:type="spellEnd"/>
      <w:r w:rsidR="00F8777B" w:rsidRPr="00F8777B">
        <w:rPr>
          <w:rFonts w:ascii="Arial" w:hAnsi="Arial" w:cs="Arial"/>
        </w:rPr>
        <w:t xml:space="preserve"> e antioxidante poderão ser aceitas, desde que não haja impacto na segurança e eficácia e mediante apresentação de justificativa técnica</w:t>
      </w:r>
      <w:r>
        <w:rPr>
          <w:rFonts w:ascii="Arial" w:hAnsi="Arial" w:cs="Arial"/>
        </w:rPr>
        <w:t xml:space="preserve"> (</w:t>
      </w:r>
      <w:r w:rsidRPr="000E3557">
        <w:rPr>
          <w:rFonts w:ascii="Arial" w:hAnsi="Arial" w:cs="Arial"/>
        </w:rPr>
        <w:t>Art. 9º</w:t>
      </w:r>
      <w:r>
        <w:rPr>
          <w:rFonts w:ascii="Arial" w:hAnsi="Arial" w:cs="Arial"/>
        </w:rPr>
        <w:t>, I). N</w:t>
      </w:r>
      <w:r w:rsidR="00F8777B" w:rsidRPr="00F8777B">
        <w:rPr>
          <w:rFonts w:ascii="Arial" w:hAnsi="Arial" w:cs="Arial"/>
        </w:rPr>
        <w:t xml:space="preserve">o caso de soluções para uso subcutâneo ou intramuscular, </w:t>
      </w:r>
      <w:r>
        <w:rPr>
          <w:rFonts w:ascii="Arial" w:hAnsi="Arial" w:cs="Arial"/>
        </w:rPr>
        <w:t>ess</w:t>
      </w:r>
      <w:r w:rsidR="00F8777B" w:rsidRPr="00F8777B">
        <w:rPr>
          <w:rFonts w:ascii="Arial" w:hAnsi="Arial" w:cs="Arial"/>
        </w:rPr>
        <w:t>as diferenças não poderão impactar na viscosidade do produto</w:t>
      </w:r>
      <w:r>
        <w:rPr>
          <w:rFonts w:ascii="Arial" w:hAnsi="Arial" w:cs="Arial"/>
        </w:rPr>
        <w:t xml:space="preserve"> (</w:t>
      </w:r>
      <w:r w:rsidRPr="000E3557">
        <w:rPr>
          <w:rFonts w:ascii="Arial" w:hAnsi="Arial" w:cs="Arial"/>
        </w:rPr>
        <w:t>Art. 9</w:t>
      </w:r>
      <w:r w:rsidR="00871602" w:rsidRPr="000E3557">
        <w:rPr>
          <w:rFonts w:ascii="Arial" w:hAnsi="Arial" w:cs="Arial"/>
        </w:rPr>
        <w:t>º,</w:t>
      </w:r>
      <w:r>
        <w:rPr>
          <w:rFonts w:ascii="Arial" w:hAnsi="Arial" w:cs="Arial"/>
        </w:rPr>
        <w:t xml:space="preserve"> II)</w:t>
      </w:r>
      <w:r w:rsidR="000E3557">
        <w:rPr>
          <w:rFonts w:ascii="Arial" w:hAnsi="Arial" w:cs="Arial"/>
        </w:rPr>
        <w:t>.</w:t>
      </w:r>
    </w:p>
    <w:p w14:paraId="524B5220" w14:textId="2FA4FE2B" w:rsidR="000E3557" w:rsidRDefault="00921200" w:rsidP="00921200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Art. 15, </w:t>
      </w:r>
      <w:r w:rsidR="000E3557" w:rsidRPr="000E3557">
        <w:rPr>
          <w:rFonts w:ascii="Arial" w:hAnsi="Arial" w:cs="Arial"/>
        </w:rPr>
        <w:t>a requerente deverá apresentar justificativa acerca da quantidade utilizada de cada excipiente na formulação.</w:t>
      </w:r>
    </w:p>
    <w:p w14:paraId="047FB094" w14:textId="77777777" w:rsidR="00285A9C" w:rsidRDefault="00285A9C" w:rsidP="00076FAF">
      <w:pPr>
        <w:spacing w:after="0"/>
        <w:ind w:firstLine="851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0E9DFB0B" w14:textId="77777777" w:rsidR="00F8777B" w:rsidRPr="00871602" w:rsidRDefault="00F8777B" w:rsidP="00F8777B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871602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Por que a </w:t>
      </w:r>
      <w:proofErr w:type="spellStart"/>
      <w:r w:rsidRPr="00871602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Pr="00871602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não pode ser aplicada em medicamentos parenterais contendo o agente complexante </w:t>
      </w:r>
      <w:proofErr w:type="spellStart"/>
      <w:r w:rsidRPr="00871602">
        <w:rPr>
          <w:rFonts w:ascii="Arial" w:hAnsi="Arial" w:cs="Arial"/>
          <w:b/>
          <w:color w:val="2E74B5" w:themeColor="accent1" w:themeShade="BF"/>
          <w:sz w:val="24"/>
          <w:szCs w:val="24"/>
        </w:rPr>
        <w:t>ciclodextrina</w:t>
      </w:r>
      <w:proofErr w:type="spellEnd"/>
      <w:r w:rsidRPr="00871602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e seus derivados?</w:t>
      </w:r>
    </w:p>
    <w:p w14:paraId="5B0679CB" w14:textId="77777777" w:rsidR="00F8777B" w:rsidRPr="00871602" w:rsidRDefault="00F8777B" w:rsidP="00F8777B">
      <w:pPr>
        <w:spacing w:after="0"/>
        <w:ind w:firstLine="851"/>
        <w:jc w:val="both"/>
        <w:rPr>
          <w:rFonts w:ascii="Arial" w:hAnsi="Arial" w:cs="Arial"/>
        </w:rPr>
      </w:pPr>
    </w:p>
    <w:p w14:paraId="5DB47B82" w14:textId="6FF31200" w:rsidR="00F8777B" w:rsidRDefault="00F8777B" w:rsidP="00F8777B">
      <w:pPr>
        <w:spacing w:after="0"/>
        <w:ind w:firstLine="851"/>
        <w:jc w:val="both"/>
        <w:rPr>
          <w:rFonts w:ascii="Arial" w:hAnsi="Arial" w:cs="Arial"/>
        </w:rPr>
      </w:pPr>
      <w:r w:rsidRPr="00871602">
        <w:rPr>
          <w:rFonts w:ascii="Arial" w:hAnsi="Arial" w:cs="Arial"/>
        </w:rPr>
        <w:t xml:space="preserve">Atualmente, não há testes e parâmetros conclusivos que permitam correlacionar a constante de ligação do complexo de inclusão fármaco – </w:t>
      </w:r>
      <w:proofErr w:type="spellStart"/>
      <w:r w:rsidRPr="00871602">
        <w:rPr>
          <w:rFonts w:ascii="Arial" w:hAnsi="Arial" w:cs="Arial"/>
        </w:rPr>
        <w:t>ciclodextrina</w:t>
      </w:r>
      <w:proofErr w:type="spellEnd"/>
      <w:r w:rsidRPr="00871602">
        <w:rPr>
          <w:rFonts w:ascii="Arial" w:hAnsi="Arial" w:cs="Arial"/>
        </w:rPr>
        <w:t xml:space="preserve"> ao comportamento </w:t>
      </w:r>
      <w:r w:rsidRPr="00871602">
        <w:rPr>
          <w:rFonts w:ascii="Arial" w:hAnsi="Arial" w:cs="Arial"/>
          <w:i/>
          <w:iCs/>
        </w:rPr>
        <w:t>in vivo</w:t>
      </w:r>
      <w:r w:rsidRPr="00871602">
        <w:rPr>
          <w:rFonts w:ascii="Arial" w:hAnsi="Arial" w:cs="Arial"/>
        </w:rPr>
        <w:t xml:space="preserve">, devido às incertezas acerca da extensão em que a utilização das </w:t>
      </w:r>
      <w:proofErr w:type="spellStart"/>
      <w:r w:rsidRPr="00871602">
        <w:rPr>
          <w:rFonts w:ascii="Arial" w:hAnsi="Arial" w:cs="Arial"/>
        </w:rPr>
        <w:t>ciclodextrinas</w:t>
      </w:r>
      <w:proofErr w:type="spellEnd"/>
      <w:r w:rsidRPr="00871602">
        <w:rPr>
          <w:rFonts w:ascii="Arial" w:hAnsi="Arial" w:cs="Arial"/>
        </w:rPr>
        <w:t xml:space="preserve"> poderia alterar o perfil farmacocinético de um fármaco.</w:t>
      </w:r>
    </w:p>
    <w:p w14:paraId="5BFF1F65" w14:textId="0E96627D" w:rsidR="00076FAF" w:rsidRDefault="00076FAF" w:rsidP="00AF390D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389CDB2A" w14:textId="363A42CB" w:rsidR="00F8777B" w:rsidRDefault="00F8777B" w:rsidP="00F8777B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Quais são os requisitos para </w:t>
      </w:r>
      <w:proofErr w:type="spellStart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584797">
        <w:rPr>
          <w:rFonts w:ascii="Arial" w:hAnsi="Arial" w:cs="Arial"/>
          <w:b/>
          <w:color w:val="2E74B5" w:themeColor="accent1" w:themeShade="BF"/>
          <w:sz w:val="24"/>
          <w:szCs w:val="24"/>
        </w:rPr>
        <w:t>de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DD599A" w:rsidRPr="00DD599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medicamentos inalatórios orais administrados via nebulizadores, bem como </w:t>
      </w:r>
      <w:r w:rsidR="00DD599A" w:rsidRPr="007F15D7">
        <w:rPr>
          <w:rFonts w:ascii="Arial" w:hAnsi="Arial" w:cs="Arial"/>
          <w:b/>
          <w:i/>
          <w:iCs/>
          <w:color w:val="2E74B5" w:themeColor="accent1" w:themeShade="BF"/>
          <w:sz w:val="24"/>
          <w:szCs w:val="24"/>
        </w:rPr>
        <w:t>sprays</w:t>
      </w:r>
      <w:r w:rsidR="00DD599A" w:rsidRPr="00DD599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e aerossóis nasais, sob a forma de soluções, para ação local</w:t>
      </w:r>
      <w:r w:rsidRPr="00CE6D6E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7490A196" w14:textId="77777777" w:rsidR="00F8777B" w:rsidRPr="00CE6D6E" w:rsidRDefault="00F8777B" w:rsidP="00F8777B">
      <w:pPr>
        <w:pStyle w:val="PargrafodaLista"/>
        <w:spacing w:after="0"/>
        <w:ind w:left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01D94BBA" w14:textId="00553C3A" w:rsidR="00DD599A" w:rsidRDefault="00297B9C" w:rsidP="00297B9C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de serem </w:t>
      </w:r>
      <w:r w:rsidRPr="00076FAF">
        <w:rPr>
          <w:rFonts w:ascii="Arial" w:hAnsi="Arial" w:cs="Arial"/>
        </w:rPr>
        <w:t>equivalentes farmacêuticos ao medicamento comparador</w:t>
      </w:r>
      <w:r>
        <w:rPr>
          <w:rFonts w:ascii="Arial" w:hAnsi="Arial" w:cs="Arial"/>
        </w:rPr>
        <w:t xml:space="preserve">, os </w:t>
      </w:r>
      <w:r w:rsidR="00DD599A" w:rsidRPr="00DD599A">
        <w:rPr>
          <w:rFonts w:ascii="Arial" w:hAnsi="Arial" w:cs="Arial"/>
        </w:rPr>
        <w:t xml:space="preserve">medicamentos inalatórios orais administrados via nebulizadores, bem como </w:t>
      </w:r>
      <w:r w:rsidR="00DD599A" w:rsidRPr="007F15D7">
        <w:rPr>
          <w:rFonts w:ascii="Arial" w:hAnsi="Arial" w:cs="Arial"/>
          <w:i/>
          <w:iCs/>
        </w:rPr>
        <w:t>sprays</w:t>
      </w:r>
      <w:r w:rsidR="00DD599A" w:rsidRPr="00DD599A">
        <w:rPr>
          <w:rFonts w:ascii="Arial" w:hAnsi="Arial" w:cs="Arial"/>
        </w:rPr>
        <w:t xml:space="preserve"> e aerossóis nasais, sob a forma de soluções, para ação local</w:t>
      </w:r>
      <w:r>
        <w:rPr>
          <w:rFonts w:ascii="Arial" w:hAnsi="Arial" w:cs="Arial"/>
        </w:rPr>
        <w:t xml:space="preserve"> devem </w:t>
      </w:r>
      <w:r w:rsidR="00DD599A" w:rsidRPr="00DD599A">
        <w:rPr>
          <w:rFonts w:ascii="Arial" w:hAnsi="Arial" w:cs="Arial"/>
        </w:rPr>
        <w:t>apresent</w:t>
      </w:r>
      <w:r>
        <w:rPr>
          <w:rFonts w:ascii="Arial" w:hAnsi="Arial" w:cs="Arial"/>
        </w:rPr>
        <w:t>ar</w:t>
      </w:r>
      <w:r w:rsidR="00DD599A" w:rsidRPr="00DD599A">
        <w:rPr>
          <w:rFonts w:ascii="Arial" w:hAnsi="Arial" w:cs="Arial"/>
        </w:rPr>
        <w:t xml:space="preserve"> formulação qualitativamente idêntica e quantitativamente similar em relação a todos excipientes presentes no medicamento comparador;</w:t>
      </w:r>
    </w:p>
    <w:p w14:paraId="70558A1B" w14:textId="16AD863A" w:rsidR="000E3557" w:rsidRDefault="00297B9C" w:rsidP="00297B9C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E3557" w:rsidRPr="000E3557">
        <w:rPr>
          <w:rFonts w:ascii="Arial" w:hAnsi="Arial" w:cs="Arial"/>
        </w:rPr>
        <w:t xml:space="preserve">iferenças quantitativas em excipientes acima do critério definido </w:t>
      </w:r>
      <w:r>
        <w:rPr>
          <w:rFonts w:ascii="Arial" w:hAnsi="Arial" w:cs="Arial"/>
        </w:rPr>
        <w:t xml:space="preserve">na RDC </w:t>
      </w:r>
      <w:r w:rsidR="000E3557" w:rsidRPr="000E3557">
        <w:rPr>
          <w:rFonts w:ascii="Arial" w:hAnsi="Arial" w:cs="Arial"/>
        </w:rPr>
        <w:t>poderão ser aceitas, desde que não haja impacto na segurança e eficácia e mediante apresentação de justificativa técnica</w:t>
      </w:r>
      <w:r>
        <w:rPr>
          <w:rFonts w:ascii="Arial" w:hAnsi="Arial" w:cs="Arial"/>
        </w:rPr>
        <w:t xml:space="preserve"> (Art. 10, I). </w:t>
      </w:r>
    </w:p>
    <w:p w14:paraId="041182BB" w14:textId="3FD341E2" w:rsidR="000E3557" w:rsidRDefault="00297B9C" w:rsidP="00297B9C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E3557" w:rsidRPr="000E3557">
        <w:rPr>
          <w:rFonts w:ascii="Arial" w:hAnsi="Arial" w:cs="Arial"/>
        </w:rPr>
        <w:t xml:space="preserve">o que diz respeito aos dispositivos dos medicamentos em </w:t>
      </w:r>
      <w:r w:rsidR="000E3557" w:rsidRPr="007F15D7">
        <w:rPr>
          <w:rFonts w:ascii="Arial" w:hAnsi="Arial" w:cs="Arial"/>
          <w:i/>
          <w:iCs/>
        </w:rPr>
        <w:t>sprays</w:t>
      </w:r>
      <w:r w:rsidR="000E3557" w:rsidRPr="000E3557">
        <w:rPr>
          <w:rFonts w:ascii="Arial" w:hAnsi="Arial" w:cs="Arial"/>
        </w:rPr>
        <w:t xml:space="preserve"> e aerossóis nasais, os desenhos dos componentes válvulas, bombas e atuadores devem ser o mais </w:t>
      </w:r>
      <w:r w:rsidR="000E3557" w:rsidRPr="000E3557">
        <w:rPr>
          <w:rFonts w:ascii="Arial" w:hAnsi="Arial" w:cs="Arial"/>
        </w:rPr>
        <w:lastRenderedPageBreak/>
        <w:t>próximo possível em todas as dimensões críticas daqueles do medicamento comparador</w:t>
      </w:r>
      <w:r>
        <w:rPr>
          <w:rFonts w:ascii="Arial" w:hAnsi="Arial" w:cs="Arial"/>
        </w:rPr>
        <w:t xml:space="preserve"> (Art. 10, II)</w:t>
      </w:r>
      <w:r w:rsidR="000E3557" w:rsidRPr="000E3557">
        <w:rPr>
          <w:rFonts w:ascii="Arial" w:hAnsi="Arial" w:cs="Arial"/>
        </w:rPr>
        <w:t>.</w:t>
      </w:r>
    </w:p>
    <w:p w14:paraId="7959F8C0" w14:textId="77777777" w:rsidR="00921200" w:rsidRDefault="00921200" w:rsidP="00921200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Art. 15, </w:t>
      </w:r>
      <w:r w:rsidRPr="000E3557">
        <w:rPr>
          <w:rFonts w:ascii="Arial" w:hAnsi="Arial" w:cs="Arial"/>
        </w:rPr>
        <w:t>a requerente deverá apresentar justificativa acerca da quantidade utilizada de cada excipiente na formulação.</w:t>
      </w:r>
    </w:p>
    <w:p w14:paraId="70097E15" w14:textId="77777777" w:rsidR="000E3557" w:rsidRDefault="000E3557" w:rsidP="00F8777B">
      <w:pPr>
        <w:spacing w:after="0"/>
        <w:jc w:val="both"/>
        <w:rPr>
          <w:rFonts w:ascii="Arial" w:hAnsi="Arial" w:cs="Arial"/>
        </w:rPr>
      </w:pPr>
    </w:p>
    <w:p w14:paraId="662DB02E" w14:textId="201FB646" w:rsidR="00F8777B" w:rsidRDefault="00F8777B" w:rsidP="00F8777B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Quais são os requisitos para </w:t>
      </w:r>
      <w:proofErr w:type="spellStart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584797">
        <w:rPr>
          <w:rFonts w:ascii="Arial" w:hAnsi="Arial" w:cs="Arial"/>
          <w:b/>
          <w:color w:val="2E74B5" w:themeColor="accent1" w:themeShade="BF"/>
          <w:sz w:val="24"/>
          <w:szCs w:val="24"/>
        </w:rPr>
        <w:t>de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DD599A" w:rsidRPr="00DD599A">
        <w:rPr>
          <w:rFonts w:ascii="Arial" w:hAnsi="Arial" w:cs="Arial"/>
          <w:b/>
          <w:color w:val="2E74B5" w:themeColor="accent1" w:themeShade="BF"/>
          <w:sz w:val="24"/>
          <w:szCs w:val="24"/>
        </w:rPr>
        <w:t>soluções aquosas oftálmicas</w:t>
      </w:r>
      <w:r w:rsidRPr="00CE6D6E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01CCCC9A" w14:textId="77777777" w:rsidR="00F8777B" w:rsidRPr="00CE6D6E" w:rsidRDefault="00F8777B" w:rsidP="00F8777B">
      <w:pPr>
        <w:pStyle w:val="PargrafodaLista"/>
        <w:spacing w:after="0"/>
        <w:ind w:left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77C7B8E9" w14:textId="0F074F6F" w:rsidR="00DD599A" w:rsidRDefault="00F8777B" w:rsidP="00297B9C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de serem </w:t>
      </w:r>
      <w:r w:rsidRPr="00076FAF">
        <w:rPr>
          <w:rFonts w:ascii="Arial" w:hAnsi="Arial" w:cs="Arial"/>
        </w:rPr>
        <w:t>equivalentes farmacêuticos ao medicamento comparador</w:t>
      </w:r>
      <w:r>
        <w:rPr>
          <w:rFonts w:ascii="Arial" w:hAnsi="Arial" w:cs="Arial"/>
        </w:rPr>
        <w:t>,</w:t>
      </w:r>
      <w:r w:rsidR="00297B9C">
        <w:rPr>
          <w:rFonts w:ascii="Arial" w:hAnsi="Arial" w:cs="Arial"/>
        </w:rPr>
        <w:t xml:space="preserve"> as </w:t>
      </w:r>
      <w:r w:rsidR="00DD599A" w:rsidRPr="00DD599A">
        <w:rPr>
          <w:rFonts w:ascii="Arial" w:hAnsi="Arial" w:cs="Arial"/>
        </w:rPr>
        <w:t>soluções aquosas oftálmicas</w:t>
      </w:r>
      <w:r w:rsidR="00297B9C">
        <w:rPr>
          <w:rFonts w:ascii="Arial" w:hAnsi="Arial" w:cs="Arial"/>
        </w:rPr>
        <w:t xml:space="preserve"> devem</w:t>
      </w:r>
      <w:r w:rsidR="00DD599A" w:rsidRPr="00DD599A">
        <w:rPr>
          <w:rFonts w:ascii="Arial" w:hAnsi="Arial" w:cs="Arial"/>
        </w:rPr>
        <w:t xml:space="preserve"> apresent</w:t>
      </w:r>
      <w:r w:rsidR="00297B9C">
        <w:rPr>
          <w:rFonts w:ascii="Arial" w:hAnsi="Arial" w:cs="Arial"/>
        </w:rPr>
        <w:t>ar</w:t>
      </w:r>
      <w:r w:rsidR="00DD599A" w:rsidRPr="00DD599A">
        <w:rPr>
          <w:rFonts w:ascii="Arial" w:hAnsi="Arial" w:cs="Arial"/>
        </w:rPr>
        <w:t xml:space="preserve"> formulação qualitativamente idêntica e quantitativamente similar em relação a todos excipientes presentes no medicamento comparador</w:t>
      </w:r>
      <w:r w:rsidR="00297B9C">
        <w:rPr>
          <w:rFonts w:ascii="Arial" w:hAnsi="Arial" w:cs="Arial"/>
        </w:rPr>
        <w:t>.</w:t>
      </w:r>
    </w:p>
    <w:p w14:paraId="7369EB46" w14:textId="1B775452" w:rsidR="000E3557" w:rsidRDefault="00297B9C" w:rsidP="00297B9C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E3557" w:rsidRPr="000E3557">
        <w:rPr>
          <w:rFonts w:ascii="Arial" w:hAnsi="Arial" w:cs="Arial"/>
        </w:rPr>
        <w:t xml:space="preserve">iferenças qualitativas em excipientes com função conservante, </w:t>
      </w:r>
      <w:proofErr w:type="spellStart"/>
      <w:r w:rsidR="000E3557" w:rsidRPr="000E3557">
        <w:rPr>
          <w:rFonts w:ascii="Arial" w:hAnsi="Arial" w:cs="Arial"/>
        </w:rPr>
        <w:t>tamponante</w:t>
      </w:r>
      <w:proofErr w:type="spellEnd"/>
      <w:r w:rsidR="000E3557" w:rsidRPr="000E3557">
        <w:rPr>
          <w:rFonts w:ascii="Arial" w:hAnsi="Arial" w:cs="Arial"/>
        </w:rPr>
        <w:t>, agente de tonicidade e espessante poderão ser aceitas, desde que não haja impacto na segurança e eficácia e mediante apresentação de justificativa técnica</w:t>
      </w:r>
      <w:r>
        <w:rPr>
          <w:rFonts w:ascii="Arial" w:hAnsi="Arial" w:cs="Arial"/>
        </w:rPr>
        <w:t xml:space="preserve"> (Art. 11, I), porém, ess</w:t>
      </w:r>
      <w:r w:rsidR="000E3557" w:rsidRPr="000E3557">
        <w:rPr>
          <w:rFonts w:ascii="Arial" w:hAnsi="Arial" w:cs="Arial"/>
        </w:rPr>
        <w:t>as diferenças não poderão impactar na viscosidade do produto</w:t>
      </w:r>
      <w:r>
        <w:rPr>
          <w:rFonts w:ascii="Arial" w:hAnsi="Arial" w:cs="Arial"/>
        </w:rPr>
        <w:t xml:space="preserve"> (Art. 11, II)</w:t>
      </w:r>
      <w:r w:rsidR="000E3557" w:rsidRPr="000E3557">
        <w:rPr>
          <w:rFonts w:ascii="Arial" w:hAnsi="Arial" w:cs="Arial"/>
        </w:rPr>
        <w:t>.</w:t>
      </w:r>
    </w:p>
    <w:p w14:paraId="431C4809" w14:textId="77777777" w:rsidR="00921200" w:rsidRDefault="00921200" w:rsidP="00921200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Art. 15, </w:t>
      </w:r>
      <w:r w:rsidRPr="000E3557">
        <w:rPr>
          <w:rFonts w:ascii="Arial" w:hAnsi="Arial" w:cs="Arial"/>
        </w:rPr>
        <w:t>a requerente deverá apresentar justificativa acerca da quantidade utilizada de cada excipiente na formulação.</w:t>
      </w:r>
    </w:p>
    <w:p w14:paraId="6C4B84AA" w14:textId="282D5E14" w:rsidR="00F8777B" w:rsidRDefault="00F8777B" w:rsidP="00F8777B">
      <w:pPr>
        <w:spacing w:after="0"/>
        <w:jc w:val="both"/>
        <w:rPr>
          <w:rFonts w:ascii="Arial" w:hAnsi="Arial" w:cs="Arial"/>
        </w:rPr>
      </w:pPr>
    </w:p>
    <w:p w14:paraId="71EBB012" w14:textId="4F6BDA8F" w:rsidR="00F8777B" w:rsidRDefault="00F8777B" w:rsidP="00F8777B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Quais </w:t>
      </w:r>
      <w:r w:rsidRPr="00D63D35">
        <w:rPr>
          <w:rFonts w:ascii="Arial" w:hAnsi="Arial" w:cs="Arial"/>
          <w:b/>
          <w:color w:val="2E74B5" w:themeColor="accent1" w:themeShade="BF"/>
          <w:sz w:val="24"/>
          <w:szCs w:val="24"/>
        </w:rPr>
        <w:t>são os requisitos para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584797">
        <w:rPr>
          <w:rFonts w:ascii="Arial" w:hAnsi="Arial" w:cs="Arial"/>
          <w:b/>
          <w:color w:val="2E74B5" w:themeColor="accent1" w:themeShade="BF"/>
          <w:sz w:val="24"/>
          <w:szCs w:val="24"/>
        </w:rPr>
        <w:t>de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DD599A" w:rsidRPr="00DD599A">
        <w:rPr>
          <w:rFonts w:ascii="Arial" w:hAnsi="Arial" w:cs="Arial"/>
          <w:b/>
          <w:color w:val="2E74B5" w:themeColor="accent1" w:themeShade="BF"/>
          <w:sz w:val="24"/>
          <w:szCs w:val="24"/>
        </w:rPr>
        <w:t>soluções aquosas otológicas</w:t>
      </w:r>
      <w:r w:rsidRPr="00CE6D6E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79CE9075" w14:textId="77777777" w:rsidR="00F8777B" w:rsidRPr="00CE6D6E" w:rsidRDefault="00F8777B" w:rsidP="00F8777B">
      <w:pPr>
        <w:pStyle w:val="PargrafodaLista"/>
        <w:spacing w:after="0"/>
        <w:ind w:left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1ECF9BB" w14:textId="1869C59B" w:rsidR="00DD599A" w:rsidRDefault="00F8777B" w:rsidP="00297B9C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de serem </w:t>
      </w:r>
      <w:r w:rsidRPr="00076FAF">
        <w:rPr>
          <w:rFonts w:ascii="Arial" w:hAnsi="Arial" w:cs="Arial"/>
        </w:rPr>
        <w:t>equivalentes farmacêuticos ao medicamento comparador</w:t>
      </w:r>
      <w:r>
        <w:rPr>
          <w:rFonts w:ascii="Arial" w:hAnsi="Arial" w:cs="Arial"/>
        </w:rPr>
        <w:t>,</w:t>
      </w:r>
      <w:r w:rsidR="00297B9C">
        <w:rPr>
          <w:rFonts w:ascii="Arial" w:hAnsi="Arial" w:cs="Arial"/>
        </w:rPr>
        <w:t xml:space="preserve"> as </w:t>
      </w:r>
      <w:r w:rsidR="00DD599A" w:rsidRPr="00DD599A">
        <w:rPr>
          <w:rFonts w:ascii="Arial" w:hAnsi="Arial" w:cs="Arial"/>
        </w:rPr>
        <w:t xml:space="preserve">soluções aquosas otológicas </w:t>
      </w:r>
      <w:r w:rsidR="00297B9C">
        <w:rPr>
          <w:rFonts w:ascii="Arial" w:hAnsi="Arial" w:cs="Arial"/>
        </w:rPr>
        <w:t xml:space="preserve">devem </w:t>
      </w:r>
      <w:r w:rsidR="00DD599A" w:rsidRPr="00DD599A">
        <w:rPr>
          <w:rFonts w:ascii="Arial" w:hAnsi="Arial" w:cs="Arial"/>
        </w:rPr>
        <w:t>apresent</w:t>
      </w:r>
      <w:r w:rsidR="00297B9C">
        <w:rPr>
          <w:rFonts w:ascii="Arial" w:hAnsi="Arial" w:cs="Arial"/>
        </w:rPr>
        <w:t>ar</w:t>
      </w:r>
      <w:r w:rsidR="00DD599A" w:rsidRPr="00DD599A">
        <w:rPr>
          <w:rFonts w:ascii="Arial" w:hAnsi="Arial" w:cs="Arial"/>
        </w:rPr>
        <w:t xml:space="preserve"> formulação qualitativamente idêntica e quantitativamente similar em relação a todos excipientes presentes no medicamento comparador</w:t>
      </w:r>
      <w:r w:rsidR="00297B9C">
        <w:rPr>
          <w:rFonts w:ascii="Arial" w:hAnsi="Arial" w:cs="Arial"/>
        </w:rPr>
        <w:t>.</w:t>
      </w:r>
    </w:p>
    <w:p w14:paraId="28672721" w14:textId="42502D8D" w:rsidR="000E3557" w:rsidRPr="000E3557" w:rsidRDefault="00297B9C" w:rsidP="00297B9C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E3557" w:rsidRPr="000E3557">
        <w:rPr>
          <w:rFonts w:ascii="Arial" w:hAnsi="Arial" w:cs="Arial"/>
        </w:rPr>
        <w:t>iferenças qualitativas em excipientes presentes no medicamento comparador poderão ser aceitas, desde que não haja impacto na segurança e eficácia e mediante apresentação de justificativa técnica</w:t>
      </w:r>
      <w:r w:rsidR="00AA2DAB">
        <w:rPr>
          <w:rFonts w:ascii="Arial" w:hAnsi="Arial" w:cs="Arial"/>
        </w:rPr>
        <w:t xml:space="preserve"> (Art. 12)</w:t>
      </w:r>
      <w:r w:rsidR="000E3557" w:rsidRPr="000E3557">
        <w:rPr>
          <w:rFonts w:ascii="Arial" w:hAnsi="Arial" w:cs="Arial"/>
        </w:rPr>
        <w:t>.</w:t>
      </w:r>
    </w:p>
    <w:p w14:paraId="5BDB79B4" w14:textId="77777777" w:rsidR="00921200" w:rsidRDefault="00921200" w:rsidP="00921200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Art. 15, </w:t>
      </w:r>
      <w:r w:rsidRPr="000E3557">
        <w:rPr>
          <w:rFonts w:ascii="Arial" w:hAnsi="Arial" w:cs="Arial"/>
        </w:rPr>
        <w:t>a requerente deverá apresentar justificativa acerca da quantidade utilizada de cada excipiente na formulação.</w:t>
      </w:r>
    </w:p>
    <w:p w14:paraId="7A81B198" w14:textId="5C8711DF" w:rsidR="00F8777B" w:rsidRDefault="00F8777B" w:rsidP="00F8777B">
      <w:pPr>
        <w:spacing w:after="0"/>
        <w:jc w:val="both"/>
        <w:rPr>
          <w:rFonts w:ascii="Arial" w:hAnsi="Arial" w:cs="Arial"/>
        </w:rPr>
      </w:pPr>
    </w:p>
    <w:p w14:paraId="69342142" w14:textId="63ADD07B" w:rsidR="00F8777B" w:rsidRDefault="00F8777B" w:rsidP="00F8777B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Quais são os requisitos para</w:t>
      </w:r>
      <w:r w:rsidR="0058479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584797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="0058479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de</w:t>
      </w:r>
      <w:r w:rsidR="00DD599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DD599A" w:rsidRPr="00DD599A">
        <w:rPr>
          <w:rFonts w:ascii="Arial" w:hAnsi="Arial" w:cs="Arial"/>
          <w:b/>
          <w:color w:val="2E74B5" w:themeColor="accent1" w:themeShade="BF"/>
          <w:sz w:val="24"/>
          <w:szCs w:val="24"/>
        </w:rPr>
        <w:t>medicamentos de uso oral que contenham fármacos destinados à ação local no trato gastrintestinal</w:t>
      </w:r>
      <w:r w:rsidRPr="00CE6D6E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0FECC4B6" w14:textId="77777777" w:rsidR="00F8777B" w:rsidRPr="00CE6D6E" w:rsidRDefault="00F8777B" w:rsidP="00F8777B">
      <w:pPr>
        <w:pStyle w:val="PargrafodaLista"/>
        <w:spacing w:after="0"/>
        <w:ind w:left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0B6B5EEB" w14:textId="4C5DD145" w:rsidR="000E3557" w:rsidRDefault="00297B9C" w:rsidP="00297B9C">
      <w:pPr>
        <w:spacing w:after="0"/>
        <w:ind w:firstLine="851"/>
        <w:jc w:val="both"/>
        <w:rPr>
          <w:rFonts w:ascii="Arial" w:hAnsi="Arial" w:cs="Arial"/>
        </w:rPr>
      </w:pPr>
      <w:r w:rsidRPr="00520EED">
        <w:rPr>
          <w:rFonts w:ascii="Arial" w:hAnsi="Arial" w:cs="Arial"/>
        </w:rPr>
        <w:t>M</w:t>
      </w:r>
      <w:r w:rsidR="00DD599A" w:rsidRPr="00520EED">
        <w:rPr>
          <w:rFonts w:ascii="Arial" w:hAnsi="Arial" w:cs="Arial"/>
        </w:rPr>
        <w:t xml:space="preserve">edicamentos de uso oral </w:t>
      </w:r>
      <w:r w:rsidRPr="00520EED">
        <w:rPr>
          <w:rFonts w:ascii="Arial" w:hAnsi="Arial" w:cs="Arial"/>
        </w:rPr>
        <w:t xml:space="preserve">devem ser </w:t>
      </w:r>
      <w:r w:rsidR="00DD599A" w:rsidRPr="00520EED">
        <w:rPr>
          <w:rFonts w:ascii="Arial" w:hAnsi="Arial" w:cs="Arial"/>
        </w:rPr>
        <w:t>equivalentes farmacêuticos ao medicamento comparador e contenham fármacos destinados à ação local no trato gastrintestinal, descritos em ato normativo específico</w:t>
      </w:r>
      <w:r w:rsidRPr="00520EED">
        <w:rPr>
          <w:rFonts w:ascii="Arial" w:hAnsi="Arial" w:cs="Arial"/>
        </w:rPr>
        <w:t>. D</w:t>
      </w:r>
      <w:r w:rsidR="000E3557" w:rsidRPr="00520EED">
        <w:rPr>
          <w:rFonts w:ascii="Arial" w:hAnsi="Arial" w:cs="Arial"/>
        </w:rPr>
        <w:t>iferenças</w:t>
      </w:r>
      <w:r w:rsidR="000E3557" w:rsidRPr="000E3557">
        <w:rPr>
          <w:rFonts w:ascii="Arial" w:hAnsi="Arial" w:cs="Arial"/>
        </w:rPr>
        <w:t xml:space="preserve"> qualitativas em excipientes presentes no medicamento comparador poderão ser aceitas, desde que não haja impacto na segurança e eficácia e mediante apresentação de justificativa técnica</w:t>
      </w:r>
      <w:r>
        <w:rPr>
          <w:rFonts w:ascii="Arial" w:hAnsi="Arial" w:cs="Arial"/>
        </w:rPr>
        <w:t xml:space="preserve"> (Art. 13)</w:t>
      </w:r>
      <w:r w:rsidR="000E3557" w:rsidRPr="000E3557">
        <w:rPr>
          <w:rFonts w:ascii="Arial" w:hAnsi="Arial" w:cs="Arial"/>
        </w:rPr>
        <w:t>.</w:t>
      </w:r>
    </w:p>
    <w:p w14:paraId="7C61DE55" w14:textId="6E8C2B76" w:rsidR="000E3557" w:rsidRDefault="00921200" w:rsidP="00921200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Art. 15, </w:t>
      </w:r>
      <w:r w:rsidRPr="000E3557">
        <w:rPr>
          <w:rFonts w:ascii="Arial" w:hAnsi="Arial" w:cs="Arial"/>
        </w:rPr>
        <w:t>a requerente deverá apresentar justificativa acerca da quantidade utilizada de cada excipiente na formulação.</w:t>
      </w:r>
    </w:p>
    <w:p w14:paraId="1C168DA7" w14:textId="2844FDA3" w:rsidR="00DD599A" w:rsidRDefault="00DD599A" w:rsidP="00F8777B">
      <w:pPr>
        <w:spacing w:after="0"/>
        <w:jc w:val="both"/>
        <w:rPr>
          <w:rFonts w:ascii="Arial" w:hAnsi="Arial" w:cs="Arial"/>
        </w:rPr>
      </w:pPr>
    </w:p>
    <w:p w14:paraId="32D6B61F" w14:textId="12D50F7C" w:rsidR="0006702F" w:rsidRDefault="0006702F" w:rsidP="0006702F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Quais são os requisitos para </w:t>
      </w:r>
      <w:proofErr w:type="spellStart"/>
      <w:r w:rsidR="00AA03D0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="00AA03D0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de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f</w:t>
      </w:r>
      <w:r w:rsidRPr="0006702F">
        <w:rPr>
          <w:rFonts w:ascii="Arial" w:hAnsi="Arial" w:cs="Arial"/>
          <w:b/>
          <w:color w:val="2E74B5" w:themeColor="accent1" w:themeShade="BF"/>
          <w:sz w:val="24"/>
          <w:szCs w:val="24"/>
        </w:rPr>
        <w:t>or</w:t>
      </w:r>
      <w:r w:rsidR="00E83DD4">
        <w:rPr>
          <w:rFonts w:ascii="Arial" w:hAnsi="Arial" w:cs="Arial"/>
          <w:b/>
          <w:color w:val="2E74B5" w:themeColor="accent1" w:themeShade="BF"/>
          <w:sz w:val="24"/>
          <w:szCs w:val="24"/>
        </w:rPr>
        <w:t>mulações</w:t>
      </w:r>
      <w:r w:rsidRPr="0006702F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de aplicação tópica, não destinados a efeitos sistêmicos</w:t>
      </w:r>
      <w:r w:rsidRPr="00CE6D6E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686A7E81" w14:textId="77777777" w:rsidR="00AA2DAB" w:rsidRDefault="00AA2DAB" w:rsidP="0006702F">
      <w:pPr>
        <w:spacing w:after="0"/>
        <w:ind w:firstLine="851"/>
        <w:jc w:val="both"/>
        <w:rPr>
          <w:rFonts w:ascii="Arial" w:hAnsi="Arial" w:cs="Arial"/>
        </w:rPr>
      </w:pPr>
    </w:p>
    <w:p w14:paraId="25A05B67" w14:textId="2B9B7B6A" w:rsidR="00DD599A" w:rsidRDefault="00AA2DAB" w:rsidP="0006702F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de serem </w:t>
      </w:r>
      <w:r w:rsidRPr="00076FAF">
        <w:rPr>
          <w:rFonts w:ascii="Arial" w:hAnsi="Arial" w:cs="Arial"/>
        </w:rPr>
        <w:t>equivalentes farmacêuticos ao medicamento comparador</w:t>
      </w:r>
      <w:r>
        <w:rPr>
          <w:rFonts w:ascii="Arial" w:hAnsi="Arial" w:cs="Arial"/>
        </w:rPr>
        <w:t>, as f</w:t>
      </w:r>
      <w:r w:rsidR="0006702F">
        <w:rPr>
          <w:rFonts w:ascii="Arial" w:hAnsi="Arial" w:cs="Arial"/>
        </w:rPr>
        <w:t>o</w:t>
      </w:r>
      <w:r w:rsidR="0006702F" w:rsidRPr="0006702F">
        <w:rPr>
          <w:rFonts w:ascii="Arial" w:hAnsi="Arial" w:cs="Arial"/>
        </w:rPr>
        <w:t>rmas farmacêuticas de aplicação tópica, não destinados a efeitos sistêmicos</w:t>
      </w:r>
      <w:r>
        <w:rPr>
          <w:rFonts w:ascii="Arial" w:hAnsi="Arial" w:cs="Arial"/>
        </w:rPr>
        <w:t xml:space="preserve"> devem </w:t>
      </w:r>
      <w:r>
        <w:rPr>
          <w:rFonts w:ascii="Arial" w:hAnsi="Arial" w:cs="Arial"/>
        </w:rPr>
        <w:lastRenderedPageBreak/>
        <w:t xml:space="preserve">conter </w:t>
      </w:r>
      <w:r w:rsidR="0006702F" w:rsidRPr="0006702F">
        <w:rPr>
          <w:rFonts w:ascii="Arial" w:hAnsi="Arial" w:cs="Arial"/>
        </w:rPr>
        <w:t>os mesmos excipientes nas mesmas quantidades e mesmo comportamento físico</w:t>
      </w:r>
      <w:r>
        <w:rPr>
          <w:rFonts w:ascii="Arial" w:hAnsi="Arial" w:cs="Arial"/>
        </w:rPr>
        <w:t>-</w:t>
      </w:r>
      <w:r w:rsidR="0006702F" w:rsidRPr="0006702F">
        <w:rPr>
          <w:rFonts w:ascii="Arial" w:hAnsi="Arial" w:cs="Arial"/>
        </w:rPr>
        <w:t>químico e microestrutural.</w:t>
      </w:r>
    </w:p>
    <w:p w14:paraId="34D2BF0A" w14:textId="77777777" w:rsidR="008C53FD" w:rsidRDefault="008C53FD" w:rsidP="000E3557">
      <w:pPr>
        <w:spacing w:after="0"/>
        <w:ind w:firstLine="851"/>
        <w:jc w:val="both"/>
        <w:rPr>
          <w:rFonts w:ascii="Arial" w:hAnsi="Arial" w:cs="Arial"/>
        </w:rPr>
      </w:pPr>
    </w:p>
    <w:p w14:paraId="2FAB02D6" w14:textId="3E4594B3" w:rsidR="000E3557" w:rsidRDefault="00AA2DAB" w:rsidP="000E3557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No caso de m</w:t>
      </w:r>
      <w:r w:rsidRPr="00AA2DAB">
        <w:rPr>
          <w:rFonts w:ascii="Arial" w:hAnsi="Arial" w:cs="Arial"/>
        </w:rPr>
        <w:t>edicamentos semissólidos de aplicação tópica</w:t>
      </w:r>
      <w:r>
        <w:rPr>
          <w:rFonts w:ascii="Arial" w:hAnsi="Arial" w:cs="Arial"/>
        </w:rPr>
        <w:t>, p</w:t>
      </w:r>
      <w:r w:rsidR="000E3557" w:rsidRPr="000E3557">
        <w:rPr>
          <w:rFonts w:ascii="Arial" w:hAnsi="Arial" w:cs="Arial"/>
        </w:rPr>
        <w:t>oder</w:t>
      </w:r>
      <w:r w:rsidR="00EF3A57">
        <w:rPr>
          <w:rFonts w:ascii="Arial" w:hAnsi="Arial" w:cs="Arial"/>
        </w:rPr>
        <w:t>ão</w:t>
      </w:r>
      <w:r w:rsidR="000E3557" w:rsidRPr="000E3557">
        <w:rPr>
          <w:rFonts w:ascii="Arial" w:hAnsi="Arial" w:cs="Arial"/>
        </w:rPr>
        <w:t xml:space="preserve"> ser aceita</w:t>
      </w:r>
      <w:r w:rsidR="00EF3A57">
        <w:rPr>
          <w:rFonts w:ascii="Arial" w:hAnsi="Arial" w:cs="Arial"/>
        </w:rPr>
        <w:t>s</w:t>
      </w:r>
      <w:r w:rsidR="000E3557" w:rsidRPr="000E3557">
        <w:rPr>
          <w:rFonts w:ascii="Arial" w:hAnsi="Arial" w:cs="Arial"/>
        </w:rPr>
        <w:t xml:space="preserve"> pequenas diferenças em excipientes não considerados críticos para a permeação cutânea, mediante apresentação prévia dos dados de desempenho </w:t>
      </w:r>
      <w:r w:rsidR="000E3557" w:rsidRPr="00AA2DAB">
        <w:rPr>
          <w:rFonts w:ascii="Arial" w:hAnsi="Arial" w:cs="Arial"/>
          <w:i/>
          <w:iCs/>
        </w:rPr>
        <w:t>in vitro</w:t>
      </w:r>
      <w:r w:rsidR="000E3557" w:rsidRPr="000E3557">
        <w:rPr>
          <w:rFonts w:ascii="Arial" w:hAnsi="Arial" w:cs="Arial"/>
        </w:rPr>
        <w:t xml:space="preserve"> e de referências sobre permeabilidade do produto</w:t>
      </w:r>
      <w:r>
        <w:rPr>
          <w:rFonts w:ascii="Arial" w:hAnsi="Arial" w:cs="Arial"/>
        </w:rPr>
        <w:t xml:space="preserve"> (Art. 14, I). </w:t>
      </w:r>
      <w:r w:rsidRPr="00F65BDC">
        <w:rPr>
          <w:rFonts w:ascii="Arial" w:hAnsi="Arial" w:cs="Arial"/>
        </w:rPr>
        <w:t xml:space="preserve">Além disso, a </w:t>
      </w:r>
      <w:proofErr w:type="spellStart"/>
      <w:r w:rsidR="00F76832">
        <w:rPr>
          <w:rFonts w:ascii="Arial" w:hAnsi="Arial" w:cs="Arial"/>
        </w:rPr>
        <w:t>bioisenção</w:t>
      </w:r>
      <w:proofErr w:type="spellEnd"/>
      <w:r w:rsidR="00F76832" w:rsidRPr="00F65BDC">
        <w:rPr>
          <w:rFonts w:ascii="Arial" w:hAnsi="Arial" w:cs="Arial"/>
        </w:rPr>
        <w:t xml:space="preserve"> </w:t>
      </w:r>
      <w:r w:rsidR="000E3557" w:rsidRPr="00F65BDC">
        <w:rPr>
          <w:rFonts w:ascii="Arial" w:hAnsi="Arial" w:cs="Arial"/>
        </w:rPr>
        <w:t>também</w:t>
      </w:r>
      <w:r w:rsidR="00F76832">
        <w:rPr>
          <w:rFonts w:ascii="Arial" w:hAnsi="Arial" w:cs="Arial"/>
        </w:rPr>
        <w:t xml:space="preserve"> depende</w:t>
      </w:r>
      <w:r w:rsidR="000E3557" w:rsidRPr="00F65BDC">
        <w:rPr>
          <w:rFonts w:ascii="Arial" w:hAnsi="Arial" w:cs="Arial"/>
        </w:rPr>
        <w:t xml:space="preserve"> da comprovação da semelhança entre as formulações através de teste de desempenho </w:t>
      </w:r>
      <w:r w:rsidR="000E3557" w:rsidRPr="00F65BDC">
        <w:rPr>
          <w:rFonts w:ascii="Arial" w:hAnsi="Arial" w:cs="Arial"/>
          <w:i/>
          <w:iCs/>
        </w:rPr>
        <w:t>in vitro</w:t>
      </w:r>
      <w:r w:rsidR="000E3557" w:rsidRPr="00F65BDC">
        <w:rPr>
          <w:rFonts w:ascii="Arial" w:hAnsi="Arial" w:cs="Arial"/>
        </w:rPr>
        <w:t xml:space="preserve"> comparativo</w:t>
      </w:r>
      <w:r w:rsidRPr="00F65BDC">
        <w:rPr>
          <w:rFonts w:ascii="Arial" w:hAnsi="Arial" w:cs="Arial"/>
        </w:rPr>
        <w:t xml:space="preserve"> (Art. 14, II)</w:t>
      </w:r>
      <w:r w:rsidR="000E3557" w:rsidRPr="00F65BDC">
        <w:rPr>
          <w:rFonts w:ascii="Arial" w:hAnsi="Arial" w:cs="Arial"/>
        </w:rPr>
        <w:t>.</w:t>
      </w:r>
    </w:p>
    <w:p w14:paraId="325670C1" w14:textId="77777777" w:rsidR="008C53FD" w:rsidRDefault="008C53FD" w:rsidP="000E3557">
      <w:pPr>
        <w:spacing w:after="0"/>
        <w:ind w:firstLine="851"/>
        <w:jc w:val="both"/>
        <w:rPr>
          <w:rFonts w:ascii="Arial" w:hAnsi="Arial" w:cs="Arial"/>
        </w:rPr>
      </w:pPr>
    </w:p>
    <w:p w14:paraId="776967A5" w14:textId="77777777" w:rsidR="00921200" w:rsidRDefault="00921200" w:rsidP="00921200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Art. 15, </w:t>
      </w:r>
      <w:r w:rsidRPr="000E3557">
        <w:rPr>
          <w:rFonts w:ascii="Arial" w:hAnsi="Arial" w:cs="Arial"/>
        </w:rPr>
        <w:t>a requerente deverá apresentar justificativa acerca da quantidade utilizada de cada excipiente na formulação.</w:t>
      </w:r>
    </w:p>
    <w:p w14:paraId="0158E3CC" w14:textId="77777777" w:rsidR="0006702F" w:rsidRPr="00AF390D" w:rsidRDefault="0006702F" w:rsidP="00F8777B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67B62FC2" w14:textId="2AA16CBE" w:rsidR="00AF390D" w:rsidRPr="00AF390D" w:rsidRDefault="00AF390D" w:rsidP="00AF390D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Os adesivos transdérmicos são passíveis de </w:t>
      </w:r>
      <w:proofErr w:type="spellStart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="003E13DF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em razão da forma farmacêutica/via</w:t>
      </w:r>
      <w:r w:rsidR="0075740F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de administração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, considerando </w:t>
      </w:r>
      <w:r w:rsidR="0075740F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que foram excluídos </w:t>
      </w:r>
      <w:r w:rsidR="000236A5">
        <w:rPr>
          <w:rFonts w:ascii="Arial" w:hAnsi="Arial" w:cs="Arial"/>
          <w:b/>
          <w:color w:val="2E74B5" w:themeColor="accent1" w:themeShade="BF"/>
          <w:sz w:val="24"/>
          <w:szCs w:val="24"/>
        </w:rPr>
        <w:t>d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 texto da </w:t>
      </w:r>
      <w:r w:rsidR="0075740F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nova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RDC</w:t>
      </w:r>
      <w:r w:rsidRPr="00AF390D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0D34DCBE" w14:textId="77777777" w:rsidR="00297B9C" w:rsidRDefault="00297B9C" w:rsidP="00AF390D">
      <w:pPr>
        <w:spacing w:after="0"/>
        <w:ind w:firstLine="851"/>
        <w:jc w:val="both"/>
        <w:rPr>
          <w:rFonts w:ascii="Arial" w:hAnsi="Arial" w:cs="Arial"/>
        </w:rPr>
      </w:pPr>
    </w:p>
    <w:p w14:paraId="35D9ACE7" w14:textId="5A912492" w:rsidR="00AF390D" w:rsidRDefault="00AF390D" w:rsidP="00AF390D">
      <w:pPr>
        <w:spacing w:after="0"/>
        <w:ind w:firstLine="851"/>
        <w:jc w:val="both"/>
        <w:rPr>
          <w:rFonts w:ascii="Arial" w:hAnsi="Arial" w:cs="Arial"/>
        </w:rPr>
      </w:pPr>
      <w:r w:rsidRPr="00AF390D">
        <w:rPr>
          <w:rFonts w:ascii="Arial" w:hAnsi="Arial" w:cs="Arial"/>
        </w:rPr>
        <w:t xml:space="preserve">Não. </w:t>
      </w:r>
      <w:r>
        <w:rPr>
          <w:rFonts w:ascii="Arial" w:hAnsi="Arial" w:cs="Arial"/>
        </w:rPr>
        <w:tab/>
      </w:r>
      <w:r w:rsidR="003E13DF">
        <w:rPr>
          <w:rFonts w:ascii="Arial" w:hAnsi="Arial" w:cs="Arial"/>
        </w:rPr>
        <w:t xml:space="preserve">Os adesivos transdérmicos não são citados na nova RDC, pois não se enquadram nos casos previstos no Art. 7º, inciso </w:t>
      </w:r>
      <w:r w:rsidR="003E13DF" w:rsidRPr="003E13DF">
        <w:rPr>
          <w:rFonts w:ascii="Arial" w:hAnsi="Arial" w:cs="Arial"/>
        </w:rPr>
        <w:t>VII</w:t>
      </w:r>
      <w:r w:rsidR="001C2F89">
        <w:rPr>
          <w:rFonts w:ascii="Arial" w:hAnsi="Arial" w:cs="Arial"/>
        </w:rPr>
        <w:t xml:space="preserve">: </w:t>
      </w:r>
      <w:r w:rsidR="003E13DF" w:rsidRPr="003E13DF">
        <w:rPr>
          <w:rFonts w:ascii="Arial" w:hAnsi="Arial" w:cs="Arial"/>
        </w:rPr>
        <w:t>formas farmacêuticas de aplicação tópica, não destinados a efeitos sistêmicos, que sejam equivalentes farmacêuticos ao medicamento comparador e que tenham os mesmos excipientes nas mesmas quantidades e mesmo comportamento físico</w:t>
      </w:r>
      <w:r w:rsidR="000236A5">
        <w:rPr>
          <w:rFonts w:ascii="Arial" w:hAnsi="Arial" w:cs="Arial"/>
        </w:rPr>
        <w:t>-</w:t>
      </w:r>
      <w:r w:rsidR="003E13DF" w:rsidRPr="003E13DF">
        <w:rPr>
          <w:rFonts w:ascii="Arial" w:hAnsi="Arial" w:cs="Arial"/>
        </w:rPr>
        <w:t>químico e microestrutural</w:t>
      </w:r>
      <w:r w:rsidR="003E13DF">
        <w:rPr>
          <w:rFonts w:ascii="Arial" w:hAnsi="Arial" w:cs="Arial"/>
        </w:rPr>
        <w:t>.</w:t>
      </w:r>
    </w:p>
    <w:p w14:paraId="0BB35028" w14:textId="54CE9E49" w:rsidR="003E13DF" w:rsidRPr="00E730D9" w:rsidRDefault="003E13DF" w:rsidP="00AF390D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No caso de adesivos transdérmicos</w:t>
      </w:r>
      <w:r w:rsidR="0036646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poderá ser aplicada</w:t>
      </w:r>
      <w:r w:rsidR="001C2F89">
        <w:rPr>
          <w:rFonts w:ascii="Arial" w:hAnsi="Arial" w:cs="Arial"/>
        </w:rPr>
        <w:t xml:space="preserve"> apenas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bioisenção</w:t>
      </w:r>
      <w:proofErr w:type="spellEnd"/>
      <w:r>
        <w:rPr>
          <w:rFonts w:ascii="Arial" w:hAnsi="Arial" w:cs="Arial"/>
        </w:rPr>
        <w:t xml:space="preserve"> das demais concentrações, desde que sejam atendidos os </w:t>
      </w:r>
      <w:r w:rsidR="00874459">
        <w:rPr>
          <w:rFonts w:ascii="Arial" w:hAnsi="Arial" w:cs="Arial"/>
        </w:rPr>
        <w:t>critérios</w:t>
      </w:r>
      <w:r>
        <w:rPr>
          <w:rFonts w:ascii="Arial" w:hAnsi="Arial" w:cs="Arial"/>
        </w:rPr>
        <w:t xml:space="preserve"> previstos no Art. 25 da RDC.</w:t>
      </w:r>
    </w:p>
    <w:p w14:paraId="2E5B5267" w14:textId="4F206FB2" w:rsidR="001B100F" w:rsidRDefault="001B100F" w:rsidP="00A55C7A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5B90E2AA" w14:textId="1DA9ECF8" w:rsidR="00C75F3A" w:rsidRPr="00BF6BE7" w:rsidRDefault="00C75F3A" w:rsidP="00C75F3A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Qual a definição de soluções </w:t>
      </w:r>
      <w:proofErr w:type="spellStart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micelares</w:t>
      </w:r>
      <w:proofErr w:type="spellEnd"/>
      <w:r w:rsidRPr="00BF6BE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?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Por que só foram </w:t>
      </w:r>
      <w:r w:rsidR="009165D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incluídas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as destinadas ao uso intravenoso?</w:t>
      </w:r>
    </w:p>
    <w:p w14:paraId="7ACDBD80" w14:textId="77777777" w:rsidR="00E5588B" w:rsidRDefault="00E5588B" w:rsidP="00C75F3A">
      <w:pPr>
        <w:spacing w:after="0"/>
        <w:ind w:firstLine="851"/>
        <w:jc w:val="both"/>
        <w:rPr>
          <w:rFonts w:ascii="Arial" w:hAnsi="Arial" w:cs="Arial"/>
        </w:rPr>
      </w:pPr>
    </w:p>
    <w:p w14:paraId="5ED816A1" w14:textId="54848421" w:rsidR="00C75F3A" w:rsidRPr="00BD1498" w:rsidRDefault="00C75F3A" w:rsidP="00C75F3A">
      <w:pPr>
        <w:spacing w:after="0"/>
        <w:ind w:firstLine="851"/>
        <w:jc w:val="both"/>
        <w:rPr>
          <w:rFonts w:ascii="Arial" w:hAnsi="Arial" w:cs="Arial"/>
        </w:rPr>
      </w:pPr>
      <w:r w:rsidRPr="00C75F3A">
        <w:rPr>
          <w:rFonts w:ascii="Arial" w:hAnsi="Arial" w:cs="Arial"/>
        </w:rPr>
        <w:t xml:space="preserve">No contexto da RDC, considera-se soluções </w:t>
      </w:r>
      <w:proofErr w:type="spellStart"/>
      <w:r w:rsidRPr="00C75F3A">
        <w:rPr>
          <w:rFonts w:ascii="Arial" w:hAnsi="Arial" w:cs="Arial"/>
        </w:rPr>
        <w:t>micelares</w:t>
      </w:r>
      <w:proofErr w:type="spellEnd"/>
      <w:r w:rsidRPr="00C75F3A">
        <w:rPr>
          <w:rFonts w:ascii="Arial" w:hAnsi="Arial" w:cs="Arial"/>
        </w:rPr>
        <w:t xml:space="preserve"> os medicamentos injetáveis ou infusão intravenosa que contenham </w:t>
      </w:r>
      <w:proofErr w:type="spellStart"/>
      <w:r w:rsidRPr="00C75F3A">
        <w:rPr>
          <w:rFonts w:ascii="Arial" w:hAnsi="Arial" w:cs="Arial"/>
        </w:rPr>
        <w:t>IFAs</w:t>
      </w:r>
      <w:proofErr w:type="spellEnd"/>
      <w:r w:rsidRPr="00C75F3A">
        <w:rPr>
          <w:rFonts w:ascii="Arial" w:hAnsi="Arial" w:cs="Arial"/>
        </w:rPr>
        <w:t xml:space="preserve"> que apresentam uma baixa solubilidade aquosa e que sejam formulados em um sistema </w:t>
      </w:r>
      <w:proofErr w:type="spellStart"/>
      <w:r w:rsidRPr="00C75F3A">
        <w:rPr>
          <w:rFonts w:ascii="Arial" w:hAnsi="Arial" w:cs="Arial"/>
        </w:rPr>
        <w:t>micelar</w:t>
      </w:r>
      <w:proofErr w:type="spellEnd"/>
      <w:r w:rsidRPr="00C75F3A">
        <w:rPr>
          <w:rFonts w:ascii="Arial" w:hAnsi="Arial" w:cs="Arial"/>
        </w:rPr>
        <w:t xml:space="preserve"> surfactante aquoso, </w:t>
      </w:r>
      <w:r>
        <w:rPr>
          <w:rFonts w:ascii="Arial" w:hAnsi="Arial" w:cs="Arial"/>
        </w:rPr>
        <w:t>em que</w:t>
      </w:r>
      <w:r w:rsidRPr="00C75F3A">
        <w:rPr>
          <w:rFonts w:ascii="Arial" w:hAnsi="Arial" w:cs="Arial"/>
        </w:rPr>
        <w:t xml:space="preserve"> o objetivo principal do desenvolvimento é solubilizar o fármaco, e não criar um sistema onde propriedades dependentes de tamanho ou superfície da fase dispersa são </w:t>
      </w:r>
      <w:r w:rsidRPr="00BD1498">
        <w:rPr>
          <w:rFonts w:ascii="Arial" w:hAnsi="Arial" w:cs="Arial"/>
        </w:rPr>
        <w:t xml:space="preserve">fatores críticos na cinética e disposição do fármaco. </w:t>
      </w:r>
    </w:p>
    <w:p w14:paraId="610FCF3B" w14:textId="355DE015" w:rsidR="00C75F3A" w:rsidRPr="00C75F3A" w:rsidRDefault="00C75F3A" w:rsidP="00C75F3A">
      <w:pPr>
        <w:spacing w:after="0"/>
        <w:ind w:firstLine="851"/>
        <w:jc w:val="both"/>
        <w:rPr>
          <w:rFonts w:ascii="Arial" w:hAnsi="Arial" w:cs="Arial"/>
        </w:rPr>
      </w:pPr>
      <w:r w:rsidRPr="00BD1498">
        <w:rPr>
          <w:rFonts w:ascii="Arial" w:hAnsi="Arial" w:cs="Arial"/>
        </w:rPr>
        <w:t xml:space="preserve">Além disso, nesse momento, foram </w:t>
      </w:r>
      <w:r w:rsidR="009165D7" w:rsidRPr="00BD1498">
        <w:rPr>
          <w:rFonts w:ascii="Arial" w:hAnsi="Arial" w:cs="Arial"/>
        </w:rPr>
        <w:t xml:space="preserve">incluídas </w:t>
      </w:r>
      <w:r w:rsidRPr="00BD1498">
        <w:rPr>
          <w:rFonts w:ascii="Arial" w:hAnsi="Arial" w:cs="Arial"/>
        </w:rPr>
        <w:t xml:space="preserve">apenas as soluções injetáveis </w:t>
      </w:r>
      <w:r w:rsidR="00BD1498" w:rsidRPr="00B0063C">
        <w:rPr>
          <w:rFonts w:ascii="Arial" w:hAnsi="Arial" w:cs="Arial"/>
        </w:rPr>
        <w:t>em</w:t>
      </w:r>
      <w:r w:rsidR="00BD1498" w:rsidRPr="00BD1498">
        <w:rPr>
          <w:rFonts w:ascii="Arial" w:hAnsi="Arial" w:cs="Arial"/>
        </w:rPr>
        <w:t xml:space="preserve"> </w:t>
      </w:r>
      <w:r w:rsidRPr="00B0063C">
        <w:rPr>
          <w:rFonts w:ascii="Arial" w:hAnsi="Arial" w:cs="Arial"/>
        </w:rPr>
        <w:t>harmonização com outras autoridades internacionais, em especial a Agência Europeia de Me</w:t>
      </w:r>
      <w:r w:rsidRPr="00BD1498">
        <w:rPr>
          <w:rFonts w:ascii="Arial" w:hAnsi="Arial" w:cs="Arial"/>
        </w:rPr>
        <w:t>dicamentos (EMA).</w:t>
      </w:r>
    </w:p>
    <w:p w14:paraId="2080B56F" w14:textId="04BD2018" w:rsidR="00BF6BE7" w:rsidRPr="00C75F3A" w:rsidRDefault="00BF6BE7" w:rsidP="00BF6BE7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3CCC4C8E" w14:textId="383A113A" w:rsidR="00BF6BE7" w:rsidRPr="00146076" w:rsidRDefault="00BF6BE7" w:rsidP="00BF6BE7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14607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 que se entende por disposição </w:t>
      </w:r>
      <w:r w:rsidRPr="00146076">
        <w:rPr>
          <w:rFonts w:ascii="Arial" w:hAnsi="Arial" w:cs="Arial"/>
          <w:b/>
          <w:i/>
          <w:iCs/>
          <w:color w:val="2E74B5" w:themeColor="accent1" w:themeShade="BF"/>
          <w:sz w:val="24"/>
          <w:szCs w:val="24"/>
        </w:rPr>
        <w:t>in vivo</w:t>
      </w:r>
      <w:r w:rsidRPr="0014607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233F11" w:rsidRPr="0014607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mencionada </w:t>
      </w:r>
      <w:r w:rsidRPr="0014607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no Art. 16 da RDC? </w:t>
      </w:r>
      <w:r w:rsidR="00C76B62" w:rsidRPr="00146076">
        <w:rPr>
          <w:rFonts w:ascii="Arial" w:hAnsi="Arial" w:cs="Arial"/>
          <w:b/>
          <w:color w:val="2E74B5" w:themeColor="accent1" w:themeShade="BF"/>
          <w:sz w:val="24"/>
          <w:szCs w:val="24"/>
        </w:rPr>
        <w:t>É a</w:t>
      </w:r>
      <w:r w:rsidRPr="0014607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disposição da distribuição do fármaco no complexo </w:t>
      </w:r>
      <w:proofErr w:type="spellStart"/>
      <w:r w:rsidRPr="00146076">
        <w:rPr>
          <w:rFonts w:ascii="Arial" w:hAnsi="Arial" w:cs="Arial"/>
          <w:b/>
          <w:color w:val="2E74B5" w:themeColor="accent1" w:themeShade="BF"/>
          <w:sz w:val="24"/>
          <w:szCs w:val="24"/>
        </w:rPr>
        <w:t>micelar</w:t>
      </w:r>
      <w:proofErr w:type="spellEnd"/>
      <w:r w:rsidRPr="0014607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? </w:t>
      </w:r>
    </w:p>
    <w:p w14:paraId="2D5943A3" w14:textId="771F02F2" w:rsidR="00E5588B" w:rsidRPr="00146076" w:rsidRDefault="00E5588B" w:rsidP="00C76B62">
      <w:pPr>
        <w:spacing w:after="0"/>
        <w:ind w:firstLine="851"/>
        <w:jc w:val="both"/>
        <w:rPr>
          <w:rFonts w:ascii="Arial" w:hAnsi="Arial" w:cs="Arial"/>
        </w:rPr>
      </w:pPr>
    </w:p>
    <w:p w14:paraId="55F1D381" w14:textId="61B968C4" w:rsidR="00BF6BE7" w:rsidRDefault="00C76B62" w:rsidP="00C76B62">
      <w:pPr>
        <w:spacing w:after="0"/>
        <w:ind w:firstLine="851"/>
        <w:jc w:val="both"/>
        <w:rPr>
          <w:rFonts w:ascii="Arial" w:hAnsi="Arial" w:cs="Arial"/>
        </w:rPr>
      </w:pPr>
      <w:r w:rsidRPr="00146076">
        <w:rPr>
          <w:rFonts w:ascii="Arial" w:hAnsi="Arial" w:cs="Arial"/>
        </w:rPr>
        <w:t xml:space="preserve">Não. </w:t>
      </w:r>
      <w:r w:rsidR="00BF6BE7" w:rsidRPr="00146076">
        <w:rPr>
          <w:rFonts w:ascii="Arial" w:hAnsi="Arial" w:cs="Arial"/>
        </w:rPr>
        <w:t xml:space="preserve">O termo disposição </w:t>
      </w:r>
      <w:r w:rsidR="00F214ED" w:rsidRPr="00427D5C">
        <w:rPr>
          <w:rFonts w:ascii="Arial" w:hAnsi="Arial" w:cs="Arial"/>
          <w:i/>
          <w:iCs/>
        </w:rPr>
        <w:t xml:space="preserve">in vivo </w:t>
      </w:r>
      <w:r w:rsidR="00BF6BE7" w:rsidRPr="00146076">
        <w:rPr>
          <w:rFonts w:ascii="Arial" w:hAnsi="Arial" w:cs="Arial"/>
        </w:rPr>
        <w:t>refere</w:t>
      </w:r>
      <w:r w:rsidR="00F214ED" w:rsidRPr="00427D5C">
        <w:rPr>
          <w:rFonts w:ascii="Arial" w:hAnsi="Arial" w:cs="Arial"/>
        </w:rPr>
        <w:t>-se</w:t>
      </w:r>
      <w:r w:rsidR="00BF6BE7" w:rsidRPr="00146076">
        <w:rPr>
          <w:rFonts w:ascii="Arial" w:hAnsi="Arial" w:cs="Arial"/>
        </w:rPr>
        <w:t xml:space="preserve"> </w:t>
      </w:r>
      <w:r w:rsidR="00F26146" w:rsidRPr="00427D5C">
        <w:rPr>
          <w:rFonts w:ascii="Arial" w:hAnsi="Arial" w:cs="Arial"/>
        </w:rPr>
        <w:t>a</w:t>
      </w:r>
      <w:r w:rsidR="00E97B57" w:rsidRPr="00427D5C">
        <w:rPr>
          <w:rFonts w:ascii="Arial" w:hAnsi="Arial" w:cs="Arial"/>
        </w:rPr>
        <w:t>o</w:t>
      </w:r>
      <w:r w:rsidR="00F26146" w:rsidRPr="00427D5C">
        <w:rPr>
          <w:rFonts w:ascii="Arial" w:hAnsi="Arial" w:cs="Arial"/>
        </w:rPr>
        <w:t xml:space="preserve"> parâmetr</w:t>
      </w:r>
      <w:r w:rsidR="00E97B57" w:rsidRPr="00427D5C">
        <w:rPr>
          <w:rFonts w:ascii="Arial" w:hAnsi="Arial" w:cs="Arial"/>
        </w:rPr>
        <w:t>o</w:t>
      </w:r>
      <w:r w:rsidR="00F26146" w:rsidRPr="00146076">
        <w:rPr>
          <w:rFonts w:ascii="Arial" w:hAnsi="Arial" w:cs="Arial"/>
        </w:rPr>
        <w:t xml:space="preserve"> </w:t>
      </w:r>
      <w:r w:rsidR="00B2314C" w:rsidRPr="00427D5C">
        <w:rPr>
          <w:rFonts w:ascii="Arial" w:hAnsi="Arial" w:cs="Arial"/>
        </w:rPr>
        <w:t>farmacocinético</w:t>
      </w:r>
      <w:r w:rsidR="00E97B57" w:rsidRPr="00427D5C">
        <w:rPr>
          <w:rFonts w:ascii="Arial" w:hAnsi="Arial" w:cs="Arial"/>
        </w:rPr>
        <w:t xml:space="preserve"> do insumo farmacêutico ativo</w:t>
      </w:r>
      <w:r w:rsidR="006725A0" w:rsidRPr="00427D5C">
        <w:rPr>
          <w:rFonts w:ascii="Arial" w:hAnsi="Arial" w:cs="Arial"/>
        </w:rPr>
        <w:t>,</w:t>
      </w:r>
      <w:r w:rsidR="00BF6BE7" w:rsidRPr="00146076">
        <w:rPr>
          <w:rFonts w:ascii="Arial" w:hAnsi="Arial" w:cs="Arial"/>
        </w:rPr>
        <w:t xml:space="preserve"> conforme </w:t>
      </w:r>
      <w:r w:rsidR="00E97B57" w:rsidRPr="00427D5C">
        <w:rPr>
          <w:rFonts w:ascii="Arial" w:hAnsi="Arial" w:cs="Arial"/>
        </w:rPr>
        <w:t>pode ser verificado n</w:t>
      </w:r>
      <w:r w:rsidR="00AA2DAB" w:rsidRPr="00146076">
        <w:rPr>
          <w:rFonts w:ascii="Arial" w:hAnsi="Arial" w:cs="Arial"/>
        </w:rPr>
        <w:t xml:space="preserve">a referência </w:t>
      </w:r>
      <w:proofErr w:type="spellStart"/>
      <w:r w:rsidR="006725A0" w:rsidRPr="00146076">
        <w:rPr>
          <w:rFonts w:ascii="Arial" w:hAnsi="Arial" w:cs="Arial"/>
        </w:rPr>
        <w:t>Brunton</w:t>
      </w:r>
      <w:proofErr w:type="spellEnd"/>
      <w:r w:rsidR="006725A0" w:rsidRPr="00146076">
        <w:rPr>
          <w:rFonts w:ascii="Arial" w:hAnsi="Arial" w:cs="Arial"/>
        </w:rPr>
        <w:t>,</w:t>
      </w:r>
      <w:r w:rsidR="006725A0" w:rsidRPr="006725A0">
        <w:rPr>
          <w:rFonts w:ascii="Arial" w:hAnsi="Arial" w:cs="Arial"/>
        </w:rPr>
        <w:t xml:space="preserve"> Laurence L; </w:t>
      </w:r>
      <w:proofErr w:type="spellStart"/>
      <w:r w:rsidR="006725A0" w:rsidRPr="006725A0">
        <w:rPr>
          <w:rFonts w:ascii="Arial" w:hAnsi="Arial" w:cs="Arial"/>
        </w:rPr>
        <w:t>Chabner</w:t>
      </w:r>
      <w:proofErr w:type="spellEnd"/>
      <w:r w:rsidR="006725A0" w:rsidRPr="006725A0">
        <w:rPr>
          <w:rFonts w:ascii="Arial" w:hAnsi="Arial" w:cs="Arial"/>
        </w:rPr>
        <w:t xml:space="preserve">, Bruce A; </w:t>
      </w:r>
      <w:proofErr w:type="spellStart"/>
      <w:r w:rsidR="006725A0" w:rsidRPr="006725A0">
        <w:rPr>
          <w:rFonts w:ascii="Arial" w:hAnsi="Arial" w:cs="Arial"/>
        </w:rPr>
        <w:t>Knollmann</w:t>
      </w:r>
      <w:proofErr w:type="spellEnd"/>
      <w:r w:rsidR="006725A0" w:rsidRPr="006725A0">
        <w:rPr>
          <w:rFonts w:ascii="Arial" w:hAnsi="Arial" w:cs="Arial"/>
        </w:rPr>
        <w:t>, Bjorn C.</w:t>
      </w:r>
      <w:r w:rsidR="00F26146">
        <w:rPr>
          <w:rFonts w:ascii="Arial" w:hAnsi="Arial" w:cs="Arial"/>
        </w:rPr>
        <w:t xml:space="preserve"> </w:t>
      </w:r>
      <w:r w:rsidR="00F26146" w:rsidRPr="00F26146">
        <w:rPr>
          <w:rFonts w:ascii="Arial" w:hAnsi="Arial" w:cs="Arial"/>
        </w:rPr>
        <w:t>As bases farmacológicas da terapêutica de Goodman e Gilman</w:t>
      </w:r>
      <w:r w:rsidR="00F26146">
        <w:rPr>
          <w:rFonts w:ascii="Arial" w:hAnsi="Arial" w:cs="Arial"/>
        </w:rPr>
        <w:t xml:space="preserve">. </w:t>
      </w:r>
      <w:r w:rsidR="00F26146" w:rsidRPr="00F26146">
        <w:rPr>
          <w:rFonts w:ascii="Arial" w:hAnsi="Arial" w:cs="Arial"/>
        </w:rPr>
        <w:t xml:space="preserve">Porto Alegre; AMGH; 12 </w:t>
      </w:r>
      <w:proofErr w:type="spellStart"/>
      <w:r w:rsidR="00F26146" w:rsidRPr="00F26146">
        <w:rPr>
          <w:rFonts w:ascii="Arial" w:hAnsi="Arial" w:cs="Arial"/>
        </w:rPr>
        <w:t>ed</w:t>
      </w:r>
      <w:proofErr w:type="spellEnd"/>
      <w:r w:rsidR="00F26146" w:rsidRPr="00F26146">
        <w:rPr>
          <w:rFonts w:ascii="Arial" w:hAnsi="Arial" w:cs="Arial"/>
        </w:rPr>
        <w:t>; 2012.</w:t>
      </w:r>
    </w:p>
    <w:p w14:paraId="46812A09" w14:textId="06D11881" w:rsidR="00C76B62" w:rsidRDefault="00C76B62" w:rsidP="00C76B62">
      <w:pPr>
        <w:spacing w:after="0"/>
        <w:ind w:firstLine="851"/>
        <w:jc w:val="both"/>
        <w:rPr>
          <w:rFonts w:ascii="Arial" w:hAnsi="Arial" w:cs="Arial"/>
        </w:rPr>
      </w:pPr>
    </w:p>
    <w:p w14:paraId="7DB228BE" w14:textId="29562163" w:rsidR="00C75F3A" w:rsidRPr="00BF6BE7" w:rsidRDefault="00C75F3A" w:rsidP="00C75F3A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Qual o embasamento para os </w:t>
      </w:r>
      <w:r w:rsidR="00233F11">
        <w:rPr>
          <w:rFonts w:ascii="Arial" w:hAnsi="Arial" w:cs="Arial"/>
          <w:b/>
          <w:color w:val="2E74B5" w:themeColor="accent1" w:themeShade="BF"/>
          <w:sz w:val="24"/>
          <w:szCs w:val="24"/>
        </w:rPr>
        <w:t>testes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para soluções </w:t>
      </w:r>
      <w:proofErr w:type="spellStart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micelares</w:t>
      </w:r>
      <w:proofErr w:type="spellEnd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38737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previstos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na RDC</w:t>
      </w:r>
      <w:r w:rsidRPr="00BF6BE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? </w:t>
      </w:r>
    </w:p>
    <w:p w14:paraId="6E90168A" w14:textId="77777777" w:rsidR="00E5588B" w:rsidRDefault="00E5588B" w:rsidP="00C75F3A">
      <w:pPr>
        <w:spacing w:after="0"/>
        <w:ind w:firstLine="851"/>
        <w:jc w:val="both"/>
        <w:rPr>
          <w:rFonts w:ascii="Arial" w:hAnsi="Arial" w:cs="Arial"/>
        </w:rPr>
      </w:pPr>
    </w:p>
    <w:p w14:paraId="1F088D57" w14:textId="3925D889" w:rsidR="00C75F3A" w:rsidRPr="00C75F3A" w:rsidRDefault="00C75F3A" w:rsidP="00E5588B">
      <w:pPr>
        <w:spacing w:after="0"/>
        <w:ind w:firstLine="851"/>
        <w:jc w:val="both"/>
        <w:rPr>
          <w:rFonts w:ascii="Arial" w:hAnsi="Arial" w:cs="Arial"/>
        </w:rPr>
      </w:pPr>
      <w:r w:rsidRPr="00F166BE">
        <w:rPr>
          <w:rFonts w:ascii="Arial" w:hAnsi="Arial" w:cs="Arial"/>
        </w:rPr>
        <w:t>Os requisitos e testes</w:t>
      </w:r>
      <w:r w:rsidR="00DF4439" w:rsidRPr="00F166BE">
        <w:rPr>
          <w:rFonts w:ascii="Arial" w:hAnsi="Arial" w:cs="Arial"/>
        </w:rPr>
        <w:t xml:space="preserve"> previstos</w:t>
      </w:r>
      <w:r w:rsidRPr="00F166BE">
        <w:rPr>
          <w:rFonts w:ascii="Arial" w:hAnsi="Arial" w:cs="Arial"/>
        </w:rPr>
        <w:t xml:space="preserve"> para soluções </w:t>
      </w:r>
      <w:proofErr w:type="spellStart"/>
      <w:r w:rsidRPr="00F166BE">
        <w:rPr>
          <w:rFonts w:ascii="Arial" w:hAnsi="Arial" w:cs="Arial"/>
        </w:rPr>
        <w:t>micelares</w:t>
      </w:r>
      <w:proofErr w:type="spellEnd"/>
      <w:r w:rsidRPr="00F166BE">
        <w:rPr>
          <w:rFonts w:ascii="Arial" w:hAnsi="Arial" w:cs="Arial"/>
        </w:rPr>
        <w:t xml:space="preserve"> foram </w:t>
      </w:r>
      <w:r w:rsidR="0038737D" w:rsidRPr="00F166BE">
        <w:rPr>
          <w:rFonts w:ascii="Arial" w:hAnsi="Arial" w:cs="Arial"/>
        </w:rPr>
        <w:t xml:space="preserve">incluídos </w:t>
      </w:r>
      <w:r w:rsidRPr="00F166BE">
        <w:rPr>
          <w:rFonts w:ascii="Arial" w:hAnsi="Arial" w:cs="Arial"/>
        </w:rPr>
        <w:t xml:space="preserve">em </w:t>
      </w:r>
      <w:r w:rsidR="00F166BE" w:rsidRPr="00F166BE">
        <w:rPr>
          <w:rFonts w:ascii="Arial" w:hAnsi="Arial" w:cs="Arial"/>
        </w:rPr>
        <w:t xml:space="preserve">harmonização </w:t>
      </w:r>
      <w:r w:rsidRPr="00F166BE">
        <w:rPr>
          <w:rFonts w:ascii="Arial" w:hAnsi="Arial" w:cs="Arial"/>
        </w:rPr>
        <w:t>com outras autoridades internacionais, em especial a Agência Europeia de Medicamentos (EMA).</w:t>
      </w:r>
      <w:r w:rsidRPr="00C75F3A">
        <w:rPr>
          <w:rFonts w:ascii="Arial" w:hAnsi="Arial" w:cs="Arial"/>
        </w:rPr>
        <w:t xml:space="preserve"> </w:t>
      </w:r>
    </w:p>
    <w:p w14:paraId="2623031F" w14:textId="77777777" w:rsidR="00C75F3A" w:rsidRPr="00C75F3A" w:rsidRDefault="00C75F3A" w:rsidP="00C75F3A">
      <w:pPr>
        <w:spacing w:after="0"/>
        <w:ind w:firstLine="851"/>
        <w:jc w:val="both"/>
        <w:rPr>
          <w:rFonts w:ascii="Arial" w:hAnsi="Arial" w:cs="Arial"/>
        </w:rPr>
      </w:pPr>
    </w:p>
    <w:p w14:paraId="6DDD8686" w14:textId="6A19D283" w:rsidR="00233F11" w:rsidRPr="00BF6BE7" w:rsidRDefault="00233F11" w:rsidP="00233F11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Como deve ser comprovada a r</w:t>
      </w:r>
      <w:r w:rsidRPr="00233F11">
        <w:rPr>
          <w:rFonts w:ascii="Arial" w:hAnsi="Arial" w:cs="Arial"/>
          <w:b/>
          <w:color w:val="2E74B5" w:themeColor="accent1" w:themeShade="BF"/>
          <w:sz w:val="24"/>
          <w:szCs w:val="24"/>
        </w:rPr>
        <w:t>ápida dissociação da micela após diluição no plasma</w:t>
      </w:r>
      <w:r w:rsidRPr="00BF6BE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? </w:t>
      </w:r>
    </w:p>
    <w:p w14:paraId="1BB87260" w14:textId="77777777" w:rsidR="00E5588B" w:rsidRDefault="00E5588B" w:rsidP="00C75F3A">
      <w:pPr>
        <w:spacing w:after="0"/>
        <w:ind w:firstLine="851"/>
        <w:jc w:val="both"/>
        <w:rPr>
          <w:rFonts w:ascii="Arial" w:hAnsi="Arial" w:cs="Arial"/>
        </w:rPr>
      </w:pPr>
    </w:p>
    <w:p w14:paraId="2538AC3E" w14:textId="18528F0F" w:rsidR="00C75F3A" w:rsidRDefault="00C75F3A" w:rsidP="00C75F3A">
      <w:pPr>
        <w:spacing w:after="0"/>
        <w:ind w:firstLine="851"/>
        <w:jc w:val="both"/>
        <w:rPr>
          <w:rFonts w:ascii="Arial" w:hAnsi="Arial" w:cs="Arial"/>
        </w:rPr>
      </w:pPr>
      <w:r w:rsidRPr="00C75F3A">
        <w:rPr>
          <w:rFonts w:ascii="Arial" w:hAnsi="Arial" w:cs="Arial"/>
        </w:rPr>
        <w:t>Esses dados podem ser extraídos da literatura. A rápida dissociação é aplicável a tensoativos que são sensíveis aos efeitos de diluição durante a infusão intravenosa, que são rapidamente metabolizados e que, portanto, não têm uma meia-vida longa no plasma, conforme</w:t>
      </w:r>
      <w:r w:rsidR="00AA03D0">
        <w:rPr>
          <w:rFonts w:ascii="Arial" w:hAnsi="Arial" w:cs="Arial"/>
        </w:rPr>
        <w:t xml:space="preserve"> descrito no</w:t>
      </w:r>
      <w:r w:rsidRPr="00C75F3A">
        <w:rPr>
          <w:rFonts w:ascii="Arial" w:hAnsi="Arial" w:cs="Arial"/>
        </w:rPr>
        <w:t xml:space="preserve"> </w:t>
      </w:r>
      <w:r w:rsidR="00AA03D0">
        <w:rPr>
          <w:rFonts w:ascii="Arial" w:hAnsi="Arial" w:cs="Arial"/>
        </w:rPr>
        <w:t xml:space="preserve">documento </w:t>
      </w:r>
      <w:proofErr w:type="spellStart"/>
      <w:r w:rsidR="00E5588B" w:rsidRPr="00AA03D0">
        <w:rPr>
          <w:rFonts w:ascii="Arial" w:hAnsi="Arial" w:cs="Arial"/>
          <w:i/>
          <w:iCs/>
        </w:rPr>
        <w:t>R</w:t>
      </w:r>
      <w:r w:rsidRPr="00AA03D0">
        <w:rPr>
          <w:rFonts w:ascii="Arial" w:hAnsi="Arial" w:cs="Arial"/>
          <w:i/>
          <w:iCs/>
        </w:rPr>
        <w:t>eflection</w:t>
      </w:r>
      <w:proofErr w:type="spellEnd"/>
      <w:r w:rsidRPr="00AA03D0">
        <w:rPr>
          <w:rFonts w:ascii="Arial" w:hAnsi="Arial" w:cs="Arial"/>
          <w:i/>
          <w:iCs/>
        </w:rPr>
        <w:t xml:space="preserve"> </w:t>
      </w:r>
      <w:proofErr w:type="spellStart"/>
      <w:r w:rsidRPr="00AA03D0">
        <w:rPr>
          <w:rFonts w:ascii="Arial" w:hAnsi="Arial" w:cs="Arial"/>
          <w:i/>
          <w:iCs/>
        </w:rPr>
        <w:t>paper</w:t>
      </w:r>
      <w:proofErr w:type="spellEnd"/>
      <w:r w:rsidRPr="00AA03D0">
        <w:rPr>
          <w:rFonts w:ascii="Arial" w:hAnsi="Arial" w:cs="Arial"/>
          <w:i/>
          <w:iCs/>
        </w:rPr>
        <w:t xml:space="preserve"> </w:t>
      </w:r>
      <w:proofErr w:type="spellStart"/>
      <w:r w:rsidRPr="00AA03D0">
        <w:rPr>
          <w:rFonts w:ascii="Arial" w:hAnsi="Arial" w:cs="Arial"/>
          <w:i/>
          <w:iCs/>
        </w:rPr>
        <w:t>on</w:t>
      </w:r>
      <w:proofErr w:type="spellEnd"/>
      <w:r w:rsidRPr="00AA03D0">
        <w:rPr>
          <w:rFonts w:ascii="Arial" w:hAnsi="Arial" w:cs="Arial"/>
          <w:i/>
          <w:iCs/>
        </w:rPr>
        <w:t xml:space="preserve"> </w:t>
      </w:r>
      <w:proofErr w:type="spellStart"/>
      <w:r w:rsidRPr="00AA03D0">
        <w:rPr>
          <w:rFonts w:ascii="Arial" w:hAnsi="Arial" w:cs="Arial"/>
          <w:i/>
          <w:iCs/>
        </w:rPr>
        <w:t>the</w:t>
      </w:r>
      <w:proofErr w:type="spellEnd"/>
      <w:r w:rsidRPr="00AA03D0">
        <w:rPr>
          <w:rFonts w:ascii="Arial" w:hAnsi="Arial" w:cs="Arial"/>
          <w:i/>
          <w:iCs/>
        </w:rPr>
        <w:t xml:space="preserve"> </w:t>
      </w:r>
      <w:proofErr w:type="spellStart"/>
      <w:r w:rsidRPr="00AA03D0">
        <w:rPr>
          <w:rFonts w:ascii="Arial" w:hAnsi="Arial" w:cs="Arial"/>
          <w:i/>
          <w:iCs/>
        </w:rPr>
        <w:t>pharmaceutical</w:t>
      </w:r>
      <w:proofErr w:type="spellEnd"/>
      <w:r w:rsidRPr="00AA03D0">
        <w:rPr>
          <w:rFonts w:ascii="Arial" w:hAnsi="Arial" w:cs="Arial"/>
          <w:i/>
          <w:iCs/>
        </w:rPr>
        <w:t xml:space="preserve"> </w:t>
      </w:r>
      <w:proofErr w:type="spellStart"/>
      <w:r w:rsidRPr="00AA03D0">
        <w:rPr>
          <w:rFonts w:ascii="Arial" w:hAnsi="Arial" w:cs="Arial"/>
          <w:i/>
          <w:iCs/>
        </w:rPr>
        <w:t>development</w:t>
      </w:r>
      <w:proofErr w:type="spellEnd"/>
      <w:r w:rsidRPr="00AA03D0">
        <w:rPr>
          <w:rFonts w:ascii="Arial" w:hAnsi="Arial" w:cs="Arial"/>
          <w:i/>
          <w:iCs/>
        </w:rPr>
        <w:t xml:space="preserve"> </w:t>
      </w:r>
      <w:proofErr w:type="spellStart"/>
      <w:r w:rsidRPr="00AA03D0">
        <w:rPr>
          <w:rFonts w:ascii="Arial" w:hAnsi="Arial" w:cs="Arial"/>
          <w:i/>
          <w:iCs/>
        </w:rPr>
        <w:t>of</w:t>
      </w:r>
      <w:proofErr w:type="spellEnd"/>
      <w:r w:rsidRPr="00AA03D0">
        <w:rPr>
          <w:rFonts w:ascii="Arial" w:hAnsi="Arial" w:cs="Arial"/>
          <w:i/>
          <w:iCs/>
        </w:rPr>
        <w:t xml:space="preserve"> </w:t>
      </w:r>
      <w:proofErr w:type="spellStart"/>
      <w:r w:rsidRPr="00AA03D0">
        <w:rPr>
          <w:rFonts w:ascii="Arial" w:hAnsi="Arial" w:cs="Arial"/>
          <w:i/>
          <w:iCs/>
        </w:rPr>
        <w:t>intravenous</w:t>
      </w:r>
      <w:proofErr w:type="spellEnd"/>
      <w:r w:rsidRPr="00AA03D0">
        <w:rPr>
          <w:rFonts w:ascii="Arial" w:hAnsi="Arial" w:cs="Arial"/>
          <w:i/>
          <w:iCs/>
        </w:rPr>
        <w:t xml:space="preserve"> medicinal </w:t>
      </w:r>
      <w:proofErr w:type="spellStart"/>
      <w:r w:rsidRPr="00AA03D0">
        <w:rPr>
          <w:rFonts w:ascii="Arial" w:hAnsi="Arial" w:cs="Arial"/>
          <w:i/>
          <w:iCs/>
        </w:rPr>
        <w:t>products</w:t>
      </w:r>
      <w:proofErr w:type="spellEnd"/>
      <w:r w:rsidRPr="00AA03D0">
        <w:rPr>
          <w:rFonts w:ascii="Arial" w:hAnsi="Arial" w:cs="Arial"/>
          <w:i/>
          <w:iCs/>
        </w:rPr>
        <w:t xml:space="preserve"> </w:t>
      </w:r>
      <w:proofErr w:type="spellStart"/>
      <w:r w:rsidRPr="00AA03D0">
        <w:rPr>
          <w:rFonts w:ascii="Arial" w:hAnsi="Arial" w:cs="Arial"/>
          <w:i/>
          <w:iCs/>
        </w:rPr>
        <w:t>containing</w:t>
      </w:r>
      <w:proofErr w:type="spellEnd"/>
      <w:r w:rsidRPr="00AA03D0">
        <w:rPr>
          <w:rFonts w:ascii="Arial" w:hAnsi="Arial" w:cs="Arial"/>
          <w:i/>
          <w:iCs/>
        </w:rPr>
        <w:t xml:space="preserve"> </w:t>
      </w:r>
      <w:proofErr w:type="spellStart"/>
      <w:r w:rsidRPr="00AA03D0">
        <w:rPr>
          <w:rFonts w:ascii="Arial" w:hAnsi="Arial" w:cs="Arial"/>
          <w:i/>
          <w:iCs/>
        </w:rPr>
        <w:t>active</w:t>
      </w:r>
      <w:proofErr w:type="spellEnd"/>
      <w:r w:rsidRPr="00AA03D0">
        <w:rPr>
          <w:rFonts w:ascii="Arial" w:hAnsi="Arial" w:cs="Arial"/>
          <w:i/>
          <w:iCs/>
        </w:rPr>
        <w:t xml:space="preserve"> </w:t>
      </w:r>
      <w:proofErr w:type="spellStart"/>
      <w:r w:rsidRPr="00AA03D0">
        <w:rPr>
          <w:rFonts w:ascii="Arial" w:hAnsi="Arial" w:cs="Arial"/>
          <w:i/>
          <w:iCs/>
        </w:rPr>
        <w:t>substances</w:t>
      </w:r>
      <w:proofErr w:type="spellEnd"/>
      <w:r w:rsidRPr="00AA03D0">
        <w:rPr>
          <w:rFonts w:ascii="Arial" w:hAnsi="Arial" w:cs="Arial"/>
          <w:i/>
          <w:iCs/>
        </w:rPr>
        <w:t xml:space="preserve"> </w:t>
      </w:r>
      <w:proofErr w:type="spellStart"/>
      <w:r w:rsidRPr="00AA03D0">
        <w:rPr>
          <w:rFonts w:ascii="Arial" w:hAnsi="Arial" w:cs="Arial"/>
          <w:i/>
          <w:iCs/>
        </w:rPr>
        <w:t>solubilised</w:t>
      </w:r>
      <w:proofErr w:type="spellEnd"/>
      <w:r w:rsidRPr="00AA03D0">
        <w:rPr>
          <w:rFonts w:ascii="Arial" w:hAnsi="Arial" w:cs="Arial"/>
          <w:i/>
          <w:iCs/>
        </w:rPr>
        <w:t xml:space="preserve"> in </w:t>
      </w:r>
      <w:proofErr w:type="spellStart"/>
      <w:r w:rsidRPr="00AA03D0">
        <w:rPr>
          <w:rFonts w:ascii="Arial" w:hAnsi="Arial" w:cs="Arial"/>
          <w:i/>
          <w:iCs/>
        </w:rPr>
        <w:t>micellar</w:t>
      </w:r>
      <w:proofErr w:type="spellEnd"/>
      <w:r w:rsidRPr="00AA03D0">
        <w:rPr>
          <w:rFonts w:ascii="Arial" w:hAnsi="Arial" w:cs="Arial"/>
          <w:i/>
          <w:iCs/>
        </w:rPr>
        <w:t xml:space="preserve"> systems</w:t>
      </w:r>
      <w:r w:rsidRPr="00C75F3A">
        <w:rPr>
          <w:rFonts w:ascii="Arial" w:hAnsi="Arial" w:cs="Arial"/>
        </w:rPr>
        <w:t xml:space="preserve"> (EMA</w:t>
      </w:r>
      <w:r w:rsidR="00E5588B">
        <w:rPr>
          <w:rFonts w:ascii="Arial" w:hAnsi="Arial" w:cs="Arial"/>
        </w:rPr>
        <w:t>, 2012</w:t>
      </w:r>
      <w:r w:rsidRPr="00C75F3A">
        <w:rPr>
          <w:rFonts w:ascii="Arial" w:hAnsi="Arial" w:cs="Arial"/>
        </w:rPr>
        <w:t>).</w:t>
      </w:r>
    </w:p>
    <w:p w14:paraId="5271F46D" w14:textId="77777777" w:rsidR="00344A3B" w:rsidRDefault="00344A3B" w:rsidP="00C75F3A">
      <w:pPr>
        <w:spacing w:after="0"/>
        <w:ind w:firstLine="851"/>
        <w:jc w:val="both"/>
        <w:rPr>
          <w:rFonts w:ascii="Arial" w:hAnsi="Arial" w:cs="Arial"/>
        </w:rPr>
      </w:pPr>
    </w:p>
    <w:p w14:paraId="757207DB" w14:textId="6B14244D" w:rsidR="00344A3B" w:rsidRPr="00BF6BE7" w:rsidRDefault="002A5190" w:rsidP="00344A3B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871602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Os ensaios comparativos previstos no Art. 16, V, para soluções </w:t>
      </w:r>
      <w:proofErr w:type="spellStart"/>
      <w:r w:rsidRPr="00871602">
        <w:rPr>
          <w:rFonts w:ascii="Arial" w:hAnsi="Arial" w:cs="Arial"/>
          <w:b/>
          <w:color w:val="2E74B5" w:themeColor="accent1" w:themeShade="BF"/>
          <w:sz w:val="24"/>
          <w:szCs w:val="24"/>
        </w:rPr>
        <w:t>micelares</w:t>
      </w:r>
      <w:proofErr w:type="spellEnd"/>
      <w:r w:rsidRPr="00871602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destinadas ao uso intravenoso devem ser realizados em laboratório </w:t>
      </w:r>
      <w:proofErr w:type="spellStart"/>
      <w:r w:rsidRPr="00871602">
        <w:rPr>
          <w:rFonts w:ascii="Arial" w:hAnsi="Arial" w:cs="Arial"/>
          <w:b/>
          <w:color w:val="2E74B5" w:themeColor="accent1" w:themeShade="BF"/>
          <w:sz w:val="24"/>
          <w:szCs w:val="24"/>
        </w:rPr>
        <w:t>Reblas</w:t>
      </w:r>
      <w:proofErr w:type="spellEnd"/>
      <w:r w:rsidRPr="00871602">
        <w:rPr>
          <w:rFonts w:ascii="Arial" w:hAnsi="Arial" w:cs="Arial"/>
          <w:b/>
          <w:color w:val="2E74B5" w:themeColor="accent1" w:themeShade="BF"/>
          <w:sz w:val="24"/>
          <w:szCs w:val="24"/>
        </w:rPr>
        <w:t>, em centro de equivalência farmacêutica (EQFAR) ou podem ser realizados pela própria empresa durante o desenvolvimento?</w:t>
      </w:r>
    </w:p>
    <w:p w14:paraId="39272547" w14:textId="77777777" w:rsidR="00E5588B" w:rsidRPr="0061544A" w:rsidRDefault="00E5588B" w:rsidP="007330C9">
      <w:pPr>
        <w:pStyle w:val="PargrafodaLista"/>
        <w:tabs>
          <w:tab w:val="left" w:pos="1418"/>
        </w:tabs>
        <w:spacing w:after="0"/>
        <w:ind w:left="709"/>
        <w:jc w:val="both"/>
        <w:rPr>
          <w:rFonts w:ascii="Arial" w:hAnsi="Arial" w:cs="Arial"/>
        </w:rPr>
      </w:pPr>
    </w:p>
    <w:p w14:paraId="06AEE2AD" w14:textId="7332C949" w:rsidR="003055D9" w:rsidRPr="00FB64BD" w:rsidRDefault="003055D9" w:rsidP="00C76B62">
      <w:pPr>
        <w:spacing w:after="0"/>
        <w:ind w:firstLine="851"/>
        <w:jc w:val="both"/>
        <w:rPr>
          <w:rFonts w:ascii="Arial" w:hAnsi="Arial" w:cs="Arial"/>
        </w:rPr>
      </w:pPr>
      <w:r w:rsidRPr="00FB64BD">
        <w:rPr>
          <w:rFonts w:ascii="Arial" w:hAnsi="Arial" w:cs="Arial"/>
        </w:rPr>
        <w:t xml:space="preserve">A </w:t>
      </w:r>
      <w:r w:rsidR="0067110B" w:rsidRPr="00FB64BD">
        <w:rPr>
          <w:rFonts w:ascii="Arial" w:hAnsi="Arial" w:cs="Arial"/>
        </w:rPr>
        <w:t xml:space="preserve">Anvisa </w:t>
      </w:r>
      <w:r w:rsidRPr="00FB64BD">
        <w:rPr>
          <w:rFonts w:ascii="Arial" w:hAnsi="Arial" w:cs="Arial"/>
        </w:rPr>
        <w:t>reconhece que os testes realizados pela empresa são essenciais para o desenvolvimento do medicamento que seja</w:t>
      </w:r>
      <w:r w:rsidR="00434534" w:rsidRPr="00FB64BD">
        <w:rPr>
          <w:rFonts w:ascii="Arial" w:hAnsi="Arial" w:cs="Arial"/>
        </w:rPr>
        <w:t xml:space="preserve">, em última instância, </w:t>
      </w:r>
      <w:r w:rsidRPr="00FB64BD">
        <w:rPr>
          <w:rFonts w:ascii="Arial" w:hAnsi="Arial" w:cs="Arial"/>
        </w:rPr>
        <w:t xml:space="preserve">intercambiável ao medicamento </w:t>
      </w:r>
      <w:r w:rsidR="0065146B" w:rsidRPr="00FB64BD">
        <w:rPr>
          <w:rFonts w:ascii="Arial" w:hAnsi="Arial" w:cs="Arial"/>
        </w:rPr>
        <w:t xml:space="preserve">de </w:t>
      </w:r>
      <w:r w:rsidRPr="00FB64BD">
        <w:rPr>
          <w:rFonts w:ascii="Arial" w:hAnsi="Arial" w:cs="Arial"/>
        </w:rPr>
        <w:t>referência.</w:t>
      </w:r>
    </w:p>
    <w:p w14:paraId="6684F81B" w14:textId="453DC35E" w:rsidR="00BF6BE7" w:rsidRDefault="003055D9" w:rsidP="00C76B62">
      <w:pPr>
        <w:spacing w:after="0"/>
        <w:ind w:firstLine="851"/>
        <w:jc w:val="both"/>
        <w:rPr>
          <w:rFonts w:ascii="Arial" w:hAnsi="Arial" w:cs="Arial"/>
        </w:rPr>
      </w:pPr>
      <w:r w:rsidRPr="00FB64BD">
        <w:rPr>
          <w:rFonts w:ascii="Arial" w:hAnsi="Arial" w:cs="Arial"/>
        </w:rPr>
        <w:t>Porém, o</w:t>
      </w:r>
      <w:r w:rsidR="00BF6BE7" w:rsidRPr="00FB64BD">
        <w:rPr>
          <w:rFonts w:ascii="Arial" w:hAnsi="Arial" w:cs="Arial"/>
        </w:rPr>
        <w:t xml:space="preserve"> estudo</w:t>
      </w:r>
      <w:r w:rsidRPr="00FB64BD">
        <w:rPr>
          <w:rFonts w:ascii="Arial" w:hAnsi="Arial" w:cs="Arial"/>
        </w:rPr>
        <w:t xml:space="preserve"> de equivalência farmacêutica</w:t>
      </w:r>
      <w:r w:rsidR="00BF6BE7" w:rsidRPr="00FB64BD">
        <w:rPr>
          <w:rFonts w:ascii="Arial" w:hAnsi="Arial" w:cs="Arial"/>
        </w:rPr>
        <w:t xml:space="preserve"> </w:t>
      </w:r>
      <w:r w:rsidRPr="00FB64BD">
        <w:rPr>
          <w:rFonts w:ascii="Arial" w:hAnsi="Arial" w:cs="Arial"/>
        </w:rPr>
        <w:t xml:space="preserve">previsto no Art. 16, V, </w:t>
      </w:r>
      <w:r w:rsidR="00BF6BE7" w:rsidRPr="00FB64BD">
        <w:rPr>
          <w:rFonts w:ascii="Arial" w:hAnsi="Arial" w:cs="Arial"/>
        </w:rPr>
        <w:t>deve ser realizado por centro de equivalência farmacêutica (EQFAR)</w:t>
      </w:r>
      <w:r w:rsidR="003B163B" w:rsidRPr="00FB64BD">
        <w:rPr>
          <w:rFonts w:ascii="Arial" w:hAnsi="Arial" w:cs="Arial"/>
        </w:rPr>
        <w:t>, conforme</w:t>
      </w:r>
      <w:r w:rsidR="00427D5C">
        <w:rPr>
          <w:rFonts w:ascii="Arial" w:hAnsi="Arial" w:cs="Arial"/>
        </w:rPr>
        <w:t xml:space="preserve"> </w:t>
      </w:r>
      <w:r w:rsidR="00BF6BE7" w:rsidRPr="00FB64BD">
        <w:rPr>
          <w:rFonts w:ascii="Arial" w:hAnsi="Arial" w:cs="Arial"/>
        </w:rPr>
        <w:t xml:space="preserve">RDC </w:t>
      </w:r>
      <w:r w:rsidR="007A4BDC" w:rsidRPr="00FB64BD">
        <w:rPr>
          <w:rFonts w:ascii="Arial" w:hAnsi="Arial" w:cs="Arial"/>
        </w:rPr>
        <w:t xml:space="preserve">nº </w:t>
      </w:r>
      <w:r w:rsidR="00BF6BE7" w:rsidRPr="00FB64BD">
        <w:rPr>
          <w:rFonts w:ascii="Arial" w:hAnsi="Arial" w:cs="Arial"/>
        </w:rPr>
        <w:t>31/2010</w:t>
      </w:r>
      <w:r w:rsidR="0084090E" w:rsidRPr="00FB64BD">
        <w:rPr>
          <w:rFonts w:ascii="Arial" w:hAnsi="Arial" w:cs="Arial"/>
        </w:rPr>
        <w:t>.</w:t>
      </w:r>
    </w:p>
    <w:p w14:paraId="19203A10" w14:textId="04604631" w:rsidR="00EB2A13" w:rsidRDefault="00EB2A13" w:rsidP="00C76B62">
      <w:pPr>
        <w:spacing w:after="0"/>
        <w:ind w:firstLine="851"/>
        <w:jc w:val="both"/>
        <w:rPr>
          <w:rFonts w:ascii="Arial" w:hAnsi="Arial" w:cs="Arial"/>
        </w:rPr>
      </w:pPr>
    </w:p>
    <w:p w14:paraId="1D956C19" w14:textId="79A9FD1D" w:rsidR="00E5588B" w:rsidRPr="00C76B62" w:rsidRDefault="003E5918" w:rsidP="00E5588B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3E591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A variação máxima de ± 10% (dez por cento) prevista no Art. 17 da RDC é referente à formulação do medicamento comparador ou </w:t>
      </w:r>
      <w:r w:rsidR="00337CF3">
        <w:rPr>
          <w:rFonts w:ascii="Arial" w:hAnsi="Arial" w:cs="Arial"/>
          <w:b/>
          <w:color w:val="2E74B5" w:themeColor="accent1" w:themeShade="BF"/>
          <w:sz w:val="24"/>
          <w:szCs w:val="24"/>
        </w:rPr>
        <w:t>à</w:t>
      </w:r>
      <w:r w:rsidRPr="003E591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3E5918">
        <w:rPr>
          <w:rFonts w:ascii="Arial" w:hAnsi="Arial" w:cs="Arial"/>
          <w:b/>
          <w:color w:val="2E74B5" w:themeColor="accent1" w:themeShade="BF"/>
          <w:sz w:val="24"/>
          <w:szCs w:val="24"/>
        </w:rPr>
        <w:t>deformulação</w:t>
      </w:r>
      <w:proofErr w:type="spellEnd"/>
      <w:r w:rsidRPr="003E591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realizada pela empresa?</w:t>
      </w:r>
    </w:p>
    <w:p w14:paraId="4F4823E2" w14:textId="497E5E96" w:rsidR="00E5588B" w:rsidRDefault="00E5588B" w:rsidP="00C76B62">
      <w:pPr>
        <w:spacing w:after="0"/>
        <w:ind w:firstLine="851"/>
        <w:jc w:val="both"/>
        <w:rPr>
          <w:rFonts w:ascii="Arial" w:hAnsi="Arial" w:cs="Arial"/>
        </w:rPr>
      </w:pPr>
    </w:p>
    <w:p w14:paraId="67A4E64A" w14:textId="096042CA" w:rsidR="00B42C0B" w:rsidRPr="00B42C0B" w:rsidRDefault="00B42C0B" w:rsidP="00B42C0B">
      <w:pPr>
        <w:spacing w:after="0"/>
        <w:ind w:firstLine="851"/>
        <w:jc w:val="both"/>
        <w:rPr>
          <w:rFonts w:ascii="Arial" w:hAnsi="Arial" w:cs="Arial"/>
        </w:rPr>
      </w:pPr>
      <w:r w:rsidRPr="008C53FD">
        <w:rPr>
          <w:rFonts w:ascii="Arial" w:hAnsi="Arial" w:cs="Arial"/>
        </w:rPr>
        <w:t>A variação será avaliada frente à fórmula</w:t>
      </w:r>
      <w:r w:rsidR="00810B26" w:rsidRPr="008C53FD">
        <w:rPr>
          <w:rFonts w:ascii="Arial" w:hAnsi="Arial" w:cs="Arial"/>
        </w:rPr>
        <w:t xml:space="preserve"> (real)</w:t>
      </w:r>
      <w:r w:rsidRPr="008C53FD">
        <w:rPr>
          <w:rFonts w:ascii="Arial" w:hAnsi="Arial" w:cs="Arial"/>
        </w:rPr>
        <w:t xml:space="preserve"> do medicamento </w:t>
      </w:r>
      <w:r w:rsidR="00810B26">
        <w:rPr>
          <w:rFonts w:ascii="Arial" w:hAnsi="Arial" w:cs="Arial"/>
        </w:rPr>
        <w:t>comparador</w:t>
      </w:r>
      <w:r w:rsidRPr="008C53FD">
        <w:rPr>
          <w:rFonts w:ascii="Arial" w:hAnsi="Arial" w:cs="Arial"/>
        </w:rPr>
        <w:t xml:space="preserve">. </w:t>
      </w:r>
      <w:r w:rsidR="00810B26" w:rsidRPr="00810B26">
        <w:rPr>
          <w:rFonts w:ascii="Arial" w:hAnsi="Arial" w:cs="Arial"/>
        </w:rPr>
        <w:t>Idealmente, a fórmula do medicamento teste</w:t>
      </w:r>
      <w:r w:rsidR="00810B26">
        <w:rPr>
          <w:rFonts w:ascii="Arial" w:hAnsi="Arial" w:cs="Arial"/>
        </w:rPr>
        <w:t xml:space="preserve"> </w:t>
      </w:r>
      <w:r w:rsidR="00810B26" w:rsidRPr="00810B26">
        <w:rPr>
          <w:rFonts w:ascii="Arial" w:hAnsi="Arial" w:cs="Arial"/>
        </w:rPr>
        <w:t>deve ser exatamente igual à do comparador, mas pequenas variações podem ocorrer devido a fatores como variação analítica, o que é permitido dentro da tolerância regulatória de 10%.</w:t>
      </w:r>
      <w:r w:rsidR="00810B26">
        <w:rPr>
          <w:rFonts w:ascii="Arial" w:hAnsi="Arial" w:cs="Arial"/>
        </w:rPr>
        <w:t xml:space="preserve"> </w:t>
      </w:r>
      <w:r w:rsidRPr="008C53FD">
        <w:rPr>
          <w:rFonts w:ascii="Arial" w:hAnsi="Arial" w:cs="Arial"/>
        </w:rPr>
        <w:t xml:space="preserve">Para atendimento desse requisito, a empresa deverá efetuar um estudo de </w:t>
      </w:r>
      <w:proofErr w:type="spellStart"/>
      <w:r w:rsidRPr="008C53FD">
        <w:rPr>
          <w:rFonts w:ascii="Arial" w:hAnsi="Arial" w:cs="Arial"/>
        </w:rPr>
        <w:t>deformulação</w:t>
      </w:r>
      <w:proofErr w:type="spellEnd"/>
      <w:r w:rsidRPr="008C53FD">
        <w:rPr>
          <w:rFonts w:ascii="Arial" w:hAnsi="Arial" w:cs="Arial"/>
        </w:rPr>
        <w:t xml:space="preserve"> (ou engenharia reversa) com o medicamento de referência.</w:t>
      </w:r>
    </w:p>
    <w:p w14:paraId="0FFF6CD9" w14:textId="77777777" w:rsidR="00B42C0B" w:rsidRDefault="00B42C0B" w:rsidP="00C76B62">
      <w:pPr>
        <w:spacing w:after="0"/>
        <w:ind w:firstLine="851"/>
        <w:jc w:val="both"/>
        <w:rPr>
          <w:rFonts w:ascii="Arial" w:hAnsi="Arial" w:cs="Arial"/>
        </w:rPr>
      </w:pPr>
    </w:p>
    <w:p w14:paraId="583B1582" w14:textId="77777777" w:rsidR="007C1076" w:rsidRDefault="007C1076" w:rsidP="00C76B62">
      <w:pPr>
        <w:spacing w:after="0"/>
        <w:ind w:firstLine="851"/>
        <w:jc w:val="both"/>
        <w:rPr>
          <w:rFonts w:ascii="Arial" w:hAnsi="Arial" w:cs="Arial"/>
        </w:rPr>
      </w:pPr>
    </w:p>
    <w:p w14:paraId="21C23880" w14:textId="09276A23" w:rsidR="00DB070A" w:rsidRDefault="0037781E" w:rsidP="00123537">
      <w:pPr>
        <w:pStyle w:val="PargrafodaLista"/>
        <w:numPr>
          <w:ilvl w:val="1"/>
          <w:numId w:val="10"/>
        </w:numPr>
        <w:spacing w:after="0" w:line="276" w:lineRule="auto"/>
        <w:ind w:left="0" w:firstLine="0"/>
        <w:jc w:val="both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6" w:name="_Toc132733810"/>
      <w:r w:rsidRPr="00B656C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RDC </w:t>
      </w:r>
      <w:r w:rsidR="003E79D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nº </w:t>
      </w:r>
      <w:r w:rsidRPr="00B656C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749/2022 – </w:t>
      </w:r>
      <w:proofErr w:type="spellStart"/>
      <w:r w:rsidR="00123537">
        <w:rPr>
          <w:rFonts w:ascii="Arial" w:hAnsi="Arial" w:cs="Arial"/>
          <w:b/>
          <w:color w:val="2E74B5" w:themeColor="accent1" w:themeShade="BF"/>
          <w:sz w:val="24"/>
          <w:szCs w:val="24"/>
        </w:rPr>
        <w:t>B</w:t>
      </w:r>
      <w:r w:rsidR="00672DFD" w:rsidRPr="00672DFD">
        <w:rPr>
          <w:rFonts w:ascii="Arial" w:hAnsi="Arial" w:cs="Arial"/>
          <w:b/>
          <w:color w:val="2E74B5" w:themeColor="accent1" w:themeShade="BF"/>
          <w:sz w:val="24"/>
          <w:szCs w:val="24"/>
        </w:rPr>
        <w:t>ioisenção</w:t>
      </w:r>
      <w:proofErr w:type="spellEnd"/>
      <w:r w:rsidR="00672DFD" w:rsidRPr="00672DF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para as demais concentrações</w:t>
      </w:r>
      <w:bookmarkEnd w:id="6"/>
    </w:p>
    <w:p w14:paraId="5AE79242" w14:textId="77777777" w:rsidR="00B32383" w:rsidRDefault="00B32383" w:rsidP="00F94E6E">
      <w:pPr>
        <w:pStyle w:val="PargrafodaLista"/>
        <w:spacing w:after="0"/>
        <w:ind w:left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  <w:highlight w:val="yellow"/>
        </w:rPr>
      </w:pPr>
    </w:p>
    <w:p w14:paraId="6DB237DD" w14:textId="68E4D261" w:rsidR="00B42C0B" w:rsidRDefault="005100F2" w:rsidP="00427D5C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P</w:t>
      </w:r>
      <w:r w:rsidRPr="00B42C0B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ode </w:t>
      </w:r>
      <w:r w:rsidR="00700557" w:rsidRPr="00B42C0B">
        <w:rPr>
          <w:rFonts w:ascii="Arial" w:hAnsi="Arial" w:cs="Arial"/>
          <w:b/>
          <w:color w:val="2E74B5" w:themeColor="accent1" w:themeShade="BF"/>
          <w:sz w:val="24"/>
          <w:szCs w:val="24"/>
        </w:rPr>
        <w:t>ser utilizada a abordagem de agrupamento</w:t>
      </w:r>
      <w:r w:rsidR="001D3DC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para realização do estudo de bioequivalência</w:t>
      </w:r>
      <w:r w:rsidR="002E0366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n</w:t>
      </w:r>
      <w:r w:rsidR="002E0366" w:rsidRPr="00B42C0B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os casos de </w:t>
      </w:r>
      <w:r w:rsidR="00871AB9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haver </w:t>
      </w:r>
      <w:r w:rsidR="002E0366" w:rsidRPr="00B42C0B">
        <w:rPr>
          <w:rFonts w:ascii="Arial" w:hAnsi="Arial" w:cs="Arial"/>
          <w:b/>
          <w:color w:val="2E74B5" w:themeColor="accent1" w:themeShade="BF"/>
          <w:sz w:val="24"/>
          <w:szCs w:val="24"/>
        </w:rPr>
        <w:t>diferenças na proporcionalidade das formulações</w:t>
      </w:r>
      <w:r w:rsidR="00CC7B8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acima </w:t>
      </w:r>
      <w:r w:rsidR="002E0366">
        <w:rPr>
          <w:rFonts w:ascii="Arial" w:hAnsi="Arial" w:cs="Arial"/>
          <w:b/>
          <w:color w:val="2E74B5" w:themeColor="accent1" w:themeShade="BF"/>
          <w:sz w:val="24"/>
          <w:szCs w:val="24"/>
        </w:rPr>
        <w:t>das previstas no Art. 22</w:t>
      </w:r>
      <w:r w:rsidR="00B42C0B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58EF3A54" w14:textId="77777777" w:rsidR="00672DFD" w:rsidRDefault="00672DFD" w:rsidP="00B42C0B">
      <w:pPr>
        <w:spacing w:after="0"/>
        <w:ind w:firstLine="851"/>
        <w:jc w:val="both"/>
        <w:rPr>
          <w:rFonts w:ascii="Arial" w:hAnsi="Arial" w:cs="Arial"/>
        </w:rPr>
      </w:pPr>
    </w:p>
    <w:p w14:paraId="751AF908" w14:textId="2D67BA6A" w:rsidR="00700557" w:rsidRDefault="00B42C0B" w:rsidP="00B42C0B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Sim. N</w:t>
      </w:r>
      <w:r w:rsidR="00700557" w:rsidRPr="00B42C0B">
        <w:rPr>
          <w:rFonts w:ascii="Arial" w:hAnsi="Arial" w:cs="Arial"/>
        </w:rPr>
        <w:t>esta abordagem pode ser aceitável conduzir mais de um estudo de bioequivalência com as concentrações selecionadas como os extremos, como</w:t>
      </w:r>
      <w:r>
        <w:rPr>
          <w:rFonts w:ascii="Arial" w:hAnsi="Arial" w:cs="Arial"/>
        </w:rPr>
        <w:t>,</w:t>
      </w:r>
      <w:r w:rsidR="00700557" w:rsidRPr="00B42C0B">
        <w:rPr>
          <w:rFonts w:ascii="Arial" w:hAnsi="Arial" w:cs="Arial"/>
        </w:rPr>
        <w:t xml:space="preserve"> por exemplo</w:t>
      </w:r>
      <w:r>
        <w:rPr>
          <w:rFonts w:ascii="Arial" w:hAnsi="Arial" w:cs="Arial"/>
        </w:rPr>
        <w:t>,</w:t>
      </w:r>
      <w:r w:rsidR="00700557" w:rsidRPr="00B42C0B">
        <w:rPr>
          <w:rFonts w:ascii="Arial" w:hAnsi="Arial" w:cs="Arial"/>
        </w:rPr>
        <w:t xml:space="preserve"> as concentrações com maiores diferenças na formulação, de modo que quaisquer diferenças de formulações nas concentrações restantes </w:t>
      </w:r>
      <w:r w:rsidR="000A576E">
        <w:rPr>
          <w:rFonts w:ascii="Arial" w:hAnsi="Arial" w:cs="Arial"/>
        </w:rPr>
        <w:t>estejam</w:t>
      </w:r>
      <w:r w:rsidR="000A576E" w:rsidRPr="00B42C0B">
        <w:rPr>
          <w:rFonts w:ascii="Arial" w:hAnsi="Arial" w:cs="Arial"/>
        </w:rPr>
        <w:t xml:space="preserve"> </w:t>
      </w:r>
      <w:r w:rsidR="00700557" w:rsidRPr="00B42C0B">
        <w:rPr>
          <w:rFonts w:ascii="Arial" w:hAnsi="Arial" w:cs="Arial"/>
        </w:rPr>
        <w:t xml:space="preserve">cobertas </w:t>
      </w:r>
      <w:r w:rsidR="00700557" w:rsidRPr="00B42C0B">
        <w:rPr>
          <w:rFonts w:ascii="Arial" w:hAnsi="Arial" w:cs="Arial"/>
        </w:rPr>
        <w:lastRenderedPageBreak/>
        <w:t xml:space="preserve">pelos estudos realizados. </w:t>
      </w:r>
      <w:r w:rsidR="00CC7B8A">
        <w:rPr>
          <w:rFonts w:ascii="Arial" w:hAnsi="Arial" w:cs="Arial"/>
        </w:rPr>
        <w:t>Por isso</w:t>
      </w:r>
      <w:r w:rsidR="00CC7B8A" w:rsidRPr="00CC7B8A">
        <w:rPr>
          <w:rFonts w:ascii="Arial" w:hAnsi="Arial" w:cs="Arial"/>
        </w:rPr>
        <w:t>, cada caso deve ser avaliado individualmente para determinar a adequação do uso da abordagem de agrupamento.</w:t>
      </w:r>
    </w:p>
    <w:p w14:paraId="456990D8" w14:textId="3BEECECC" w:rsidR="001D3DC7" w:rsidRDefault="001D3DC7" w:rsidP="00B42C0B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Ressalta-se que a abordagem de agrupamento não é prevista para os perfis de dissolução comparativos, apenas para o estudo de bioequivalência.</w:t>
      </w:r>
    </w:p>
    <w:p w14:paraId="538045C5" w14:textId="77777777" w:rsidR="001D3DC7" w:rsidRDefault="001D3DC7" w:rsidP="00B42C0B">
      <w:pPr>
        <w:spacing w:after="0"/>
        <w:ind w:firstLine="851"/>
        <w:jc w:val="both"/>
        <w:rPr>
          <w:rFonts w:ascii="Arial" w:hAnsi="Arial" w:cs="Arial"/>
        </w:rPr>
      </w:pPr>
    </w:p>
    <w:p w14:paraId="54EB557C" w14:textId="1DA8B593" w:rsidR="003D41D0" w:rsidRPr="003D41D0" w:rsidRDefault="003D41D0" w:rsidP="003D41D0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A v</w:t>
      </w:r>
      <w:r w:rsidRPr="003D41D0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ariação de 5%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prevista </w:t>
      </w:r>
      <w:r w:rsidR="00672DF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no Art. 22, III, </w:t>
      </w:r>
      <w:r w:rsidRPr="003D41D0">
        <w:rPr>
          <w:rFonts w:ascii="Arial" w:hAnsi="Arial" w:cs="Arial"/>
          <w:b/>
          <w:color w:val="2E74B5" w:themeColor="accent1" w:themeShade="BF"/>
          <w:sz w:val="24"/>
          <w:szCs w:val="24"/>
        </w:rPr>
        <w:t>é entre as concentrações ou se trata da concentração do IFA na formulação?</w:t>
      </w:r>
    </w:p>
    <w:p w14:paraId="0159AE96" w14:textId="77777777" w:rsidR="00672DFD" w:rsidRPr="00672DFD" w:rsidRDefault="00672DFD" w:rsidP="00672DF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6CE69CD2" w14:textId="77777777" w:rsidR="00672DFD" w:rsidRDefault="00672DFD" w:rsidP="00672DF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672DFD">
        <w:rPr>
          <w:rFonts w:ascii="Arial" w:hAnsi="Arial" w:cs="Arial"/>
        </w:rPr>
        <w:t>Trata-se da concentração do IFA na formulação.</w:t>
      </w:r>
    </w:p>
    <w:p w14:paraId="69216DC8" w14:textId="197C1AD7" w:rsidR="003D41D0" w:rsidRDefault="003D41D0" w:rsidP="00AA32E3">
      <w:pPr>
        <w:spacing w:after="0"/>
        <w:jc w:val="both"/>
        <w:rPr>
          <w:rFonts w:ascii="Arial" w:hAnsi="Arial" w:cs="Arial"/>
        </w:rPr>
      </w:pPr>
    </w:p>
    <w:p w14:paraId="491E7CAD" w14:textId="729F5D8A" w:rsidR="00B5528C" w:rsidRPr="00B5528C" w:rsidRDefault="001506F7" w:rsidP="00B5528C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Por que é necessário</w:t>
      </w:r>
      <w:r w:rsidR="00B5528C" w:rsidRPr="00B5528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avaliar o perfil de dissolução das diferentes concentrações nos 3 meios de pH fisiológico, uma vez que no desenvolvimento do relatório de dissolução se faz a seleção do meio de dissolução buscando pelo meio mais discriminativo para utilização no controle de qualidade</w:t>
      </w:r>
      <w:r w:rsidR="00672DF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? </w:t>
      </w:r>
    </w:p>
    <w:p w14:paraId="43EF6405" w14:textId="77777777" w:rsidR="00672DFD" w:rsidRDefault="00672DFD" w:rsidP="00AA32E3">
      <w:pPr>
        <w:spacing w:after="0"/>
        <w:jc w:val="both"/>
        <w:rPr>
          <w:rFonts w:ascii="Arial" w:hAnsi="Arial" w:cs="Arial"/>
        </w:rPr>
      </w:pPr>
    </w:p>
    <w:p w14:paraId="06E492B4" w14:textId="441CA0D6" w:rsidR="00672DFD" w:rsidRDefault="00B5528C" w:rsidP="00672DF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B5528C">
        <w:rPr>
          <w:rFonts w:ascii="Arial" w:hAnsi="Arial" w:cs="Arial"/>
        </w:rPr>
        <w:t xml:space="preserve">A solicitação de </w:t>
      </w:r>
      <w:r w:rsidR="00F40130">
        <w:rPr>
          <w:rFonts w:ascii="Arial" w:hAnsi="Arial" w:cs="Arial"/>
        </w:rPr>
        <w:t>três (</w:t>
      </w:r>
      <w:r w:rsidRPr="00B5528C">
        <w:rPr>
          <w:rFonts w:ascii="Arial" w:hAnsi="Arial" w:cs="Arial"/>
        </w:rPr>
        <w:t>3</w:t>
      </w:r>
      <w:r w:rsidR="00F40130">
        <w:rPr>
          <w:rFonts w:ascii="Arial" w:hAnsi="Arial" w:cs="Arial"/>
        </w:rPr>
        <w:t>)</w:t>
      </w:r>
      <w:r w:rsidRPr="00B5528C">
        <w:rPr>
          <w:rFonts w:ascii="Arial" w:hAnsi="Arial" w:cs="Arial"/>
        </w:rPr>
        <w:t xml:space="preserve"> meios </w:t>
      </w:r>
      <w:bookmarkStart w:id="7" w:name="_Hlk121821595"/>
      <w:r w:rsidRPr="00B5528C">
        <w:rPr>
          <w:rFonts w:ascii="Arial" w:hAnsi="Arial" w:cs="Arial"/>
        </w:rPr>
        <w:t xml:space="preserve">na faixa de pH fisiológico </w:t>
      </w:r>
      <w:bookmarkEnd w:id="7"/>
      <w:r w:rsidRPr="00B5528C">
        <w:rPr>
          <w:rFonts w:ascii="Arial" w:hAnsi="Arial" w:cs="Arial"/>
        </w:rPr>
        <w:t xml:space="preserve">e do método de controle de qualidade está alinhada com outras autoridades sanitárias maduras. </w:t>
      </w:r>
    </w:p>
    <w:p w14:paraId="154E032F" w14:textId="052D1DF5" w:rsidR="00672DFD" w:rsidRDefault="00B5528C" w:rsidP="00672DF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B5528C">
        <w:rPr>
          <w:rFonts w:ascii="Arial" w:hAnsi="Arial" w:cs="Arial"/>
        </w:rPr>
        <w:t xml:space="preserve">A escolha do meio dependerá do objetivo do teste de dissolução. A escolha do meio de dissolução para o teste de controle de qualidade depende dos dados de solubilidade para cumprir </w:t>
      </w:r>
      <w:r w:rsidR="00297721">
        <w:rPr>
          <w:rFonts w:ascii="Arial" w:hAnsi="Arial" w:cs="Arial"/>
        </w:rPr>
        <w:t xml:space="preserve">a </w:t>
      </w:r>
      <w:r w:rsidRPr="00B5528C">
        <w:rPr>
          <w:rFonts w:ascii="Arial" w:hAnsi="Arial" w:cs="Arial"/>
        </w:rPr>
        <w:t xml:space="preserve">condição </w:t>
      </w:r>
      <w:proofErr w:type="spellStart"/>
      <w:r w:rsidRPr="00672DFD">
        <w:rPr>
          <w:rFonts w:ascii="Arial" w:hAnsi="Arial" w:cs="Arial"/>
          <w:i/>
          <w:iCs/>
        </w:rPr>
        <w:t>sink</w:t>
      </w:r>
      <w:proofErr w:type="spellEnd"/>
      <w:r w:rsidRPr="00B5528C">
        <w:rPr>
          <w:rFonts w:ascii="Arial" w:hAnsi="Arial" w:cs="Arial"/>
        </w:rPr>
        <w:t xml:space="preserve">. Nesse caso, a empresa deverá selecionar um meio com solubilidade adequada e com capacidade discriminativa suficiente para avaliar a consistência do processo e do medicamento. Portanto, este meio não necessariamente é o mais discriminativo ou é </w:t>
      </w:r>
      <w:proofErr w:type="spellStart"/>
      <w:r w:rsidRPr="00B5528C">
        <w:rPr>
          <w:rFonts w:ascii="Arial" w:hAnsi="Arial" w:cs="Arial"/>
        </w:rPr>
        <w:t>biorrelevante</w:t>
      </w:r>
      <w:proofErr w:type="spellEnd"/>
      <w:r w:rsidRPr="00B5528C">
        <w:rPr>
          <w:rFonts w:ascii="Arial" w:hAnsi="Arial" w:cs="Arial"/>
        </w:rPr>
        <w:t xml:space="preserve">. </w:t>
      </w:r>
    </w:p>
    <w:p w14:paraId="646C6FB0" w14:textId="6B2AB6F2" w:rsidR="00672DFD" w:rsidRDefault="00B5528C" w:rsidP="00672DF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B5528C">
        <w:rPr>
          <w:rFonts w:ascii="Arial" w:hAnsi="Arial" w:cs="Arial"/>
        </w:rPr>
        <w:t>Por outro lado, quando o teste de dissolução é utilizado para indicar propriedades biofarmacêuticas da forma farmacêutica</w:t>
      </w:r>
      <w:r w:rsidR="00297721">
        <w:rPr>
          <w:rFonts w:ascii="Arial" w:hAnsi="Arial" w:cs="Arial"/>
        </w:rPr>
        <w:t>,</w:t>
      </w:r>
      <w:r w:rsidRPr="00B5528C">
        <w:rPr>
          <w:rFonts w:ascii="Arial" w:hAnsi="Arial" w:cs="Arial"/>
        </w:rPr>
        <w:t xml:space="preserve"> como no caso de </w:t>
      </w:r>
      <w:proofErr w:type="spellStart"/>
      <w:r w:rsidRPr="00B5528C">
        <w:rPr>
          <w:rFonts w:ascii="Arial" w:hAnsi="Arial" w:cs="Arial"/>
        </w:rPr>
        <w:t>bioisenção</w:t>
      </w:r>
      <w:proofErr w:type="spellEnd"/>
      <w:r w:rsidRPr="00B5528C">
        <w:rPr>
          <w:rFonts w:ascii="Arial" w:hAnsi="Arial" w:cs="Arial"/>
        </w:rPr>
        <w:t xml:space="preserve"> de outras concentrações, é mais importante que os meios simulem o ambiente no trato gastrintestinal do que necessariamente produzir condições </w:t>
      </w:r>
      <w:proofErr w:type="spellStart"/>
      <w:r w:rsidRPr="003F0C14">
        <w:rPr>
          <w:rFonts w:ascii="Arial" w:hAnsi="Arial" w:cs="Arial"/>
          <w:i/>
          <w:iCs/>
        </w:rPr>
        <w:t>sink</w:t>
      </w:r>
      <w:proofErr w:type="spellEnd"/>
      <w:r w:rsidRPr="00B5528C">
        <w:rPr>
          <w:rFonts w:ascii="Arial" w:hAnsi="Arial" w:cs="Arial"/>
        </w:rPr>
        <w:t>.</w:t>
      </w:r>
      <w:r w:rsidR="00672DFD">
        <w:rPr>
          <w:rFonts w:ascii="Arial" w:hAnsi="Arial" w:cs="Arial"/>
        </w:rPr>
        <w:t xml:space="preserve"> </w:t>
      </w:r>
    </w:p>
    <w:p w14:paraId="2913B07D" w14:textId="7C7014C7" w:rsidR="00B5528C" w:rsidRDefault="00B5528C" w:rsidP="00672DF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B5528C">
        <w:rPr>
          <w:rFonts w:ascii="Arial" w:hAnsi="Arial" w:cs="Arial"/>
        </w:rPr>
        <w:t xml:space="preserve">Tais dados irão fornecer informações mais robustas para fundamentar a </w:t>
      </w:r>
      <w:proofErr w:type="spellStart"/>
      <w:r w:rsidRPr="00B5528C">
        <w:rPr>
          <w:rFonts w:ascii="Arial" w:hAnsi="Arial" w:cs="Arial"/>
        </w:rPr>
        <w:t>bioisenção</w:t>
      </w:r>
      <w:proofErr w:type="spellEnd"/>
      <w:r w:rsidR="00AA03D0">
        <w:rPr>
          <w:rFonts w:ascii="Arial" w:hAnsi="Arial" w:cs="Arial"/>
        </w:rPr>
        <w:t xml:space="preserve"> das demais dosagens</w:t>
      </w:r>
      <w:r w:rsidRPr="00B5528C">
        <w:rPr>
          <w:rFonts w:ascii="Arial" w:hAnsi="Arial" w:cs="Arial"/>
        </w:rPr>
        <w:t>.</w:t>
      </w:r>
    </w:p>
    <w:p w14:paraId="72DA10CC" w14:textId="32C361B7" w:rsidR="007C7047" w:rsidRDefault="007C7047" w:rsidP="00672DF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68515E6E" w14:textId="2CC15CEF" w:rsidR="007C7047" w:rsidRDefault="007C7047" w:rsidP="007C7047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Quais são os testes de desempenho </w:t>
      </w:r>
      <w:r w:rsidRPr="00AA03D0">
        <w:rPr>
          <w:rFonts w:ascii="Arial" w:hAnsi="Arial" w:cs="Arial"/>
          <w:b/>
          <w:i/>
          <w:iCs/>
          <w:color w:val="2E74B5" w:themeColor="accent1" w:themeShade="BF"/>
          <w:sz w:val="24"/>
          <w:szCs w:val="24"/>
        </w:rPr>
        <w:t>in vitro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que devem ser realizados</w:t>
      </w:r>
      <w:r w:rsidR="001D3DC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no contexto do Art. 24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14A08F6F" w14:textId="77777777" w:rsidR="007C7047" w:rsidRDefault="007C7047" w:rsidP="007C7047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3E3F792F" w14:textId="77777777" w:rsidR="007C7047" w:rsidRDefault="007C7047" w:rsidP="007C7047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D02878">
        <w:rPr>
          <w:rFonts w:ascii="Arial" w:hAnsi="Arial" w:cs="Arial"/>
        </w:rPr>
        <w:t>Para sólidos e suspensões, por exemplo, o estudo comparativo trata-se do perfil de dissolução. Outros estudos comparativos podem ser aplicáveis a outras formas farmacêuticas.</w:t>
      </w:r>
    </w:p>
    <w:p w14:paraId="1211FD66" w14:textId="77777777" w:rsidR="00BE0C8D" w:rsidRDefault="00BE0C8D" w:rsidP="00AA32E3">
      <w:pPr>
        <w:spacing w:after="0"/>
        <w:jc w:val="both"/>
        <w:rPr>
          <w:rFonts w:ascii="Arial" w:hAnsi="Arial" w:cs="Arial"/>
        </w:rPr>
      </w:pPr>
    </w:p>
    <w:p w14:paraId="7523C7EF" w14:textId="21D990E3" w:rsidR="00672DFD" w:rsidRDefault="00672DFD" w:rsidP="00672DFD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Onde deverão ser conduzidos os </w:t>
      </w:r>
      <w:r w:rsidRPr="00672DFD">
        <w:rPr>
          <w:rFonts w:ascii="Arial" w:hAnsi="Arial" w:cs="Arial"/>
          <w:b/>
          <w:color w:val="2E74B5" w:themeColor="accent1" w:themeShade="BF"/>
          <w:sz w:val="24"/>
          <w:szCs w:val="24"/>
        </w:rPr>
        <w:t>teste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s</w:t>
      </w:r>
      <w:r w:rsidRPr="00672DF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de desempenho </w:t>
      </w:r>
      <w:r w:rsidRPr="00672DFD">
        <w:rPr>
          <w:rFonts w:ascii="Arial" w:hAnsi="Arial" w:cs="Arial"/>
          <w:b/>
          <w:i/>
          <w:iCs/>
          <w:color w:val="2E74B5" w:themeColor="accent1" w:themeShade="BF"/>
          <w:sz w:val="24"/>
          <w:szCs w:val="24"/>
        </w:rPr>
        <w:t>in vitro</w:t>
      </w:r>
      <w:r w:rsidRPr="00672DF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comparativo</w:t>
      </w:r>
      <w:r w:rsidR="0049061F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como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 estudo de perfil de dissolução comparativo em 3 meios </w:t>
      </w:r>
      <w:r w:rsidR="007C7047" w:rsidRPr="007C704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na faixa de pH fisiológico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e o do controle de qualidade?</w:t>
      </w:r>
    </w:p>
    <w:p w14:paraId="78BA1EDF" w14:textId="77777777" w:rsidR="00672DFD" w:rsidRDefault="00672DFD" w:rsidP="00672DF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3636DABB" w14:textId="60B94A96" w:rsidR="00AA03D0" w:rsidRDefault="00672DFD" w:rsidP="00672DF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0F13DC">
        <w:rPr>
          <w:rFonts w:ascii="Arial" w:hAnsi="Arial" w:cs="Arial"/>
        </w:rPr>
        <w:t>No contexto regulatório atual, o</w:t>
      </w:r>
      <w:r>
        <w:rPr>
          <w:rFonts w:ascii="Arial" w:hAnsi="Arial" w:cs="Arial"/>
        </w:rPr>
        <w:t>s</w:t>
      </w:r>
      <w:r w:rsidRPr="000F13DC">
        <w:rPr>
          <w:rFonts w:ascii="Arial" w:hAnsi="Arial" w:cs="Arial"/>
        </w:rPr>
        <w:t xml:space="preserve"> estudo</w:t>
      </w:r>
      <w:r>
        <w:rPr>
          <w:rFonts w:ascii="Arial" w:hAnsi="Arial" w:cs="Arial"/>
        </w:rPr>
        <w:t>s</w:t>
      </w:r>
      <w:r w:rsidRPr="000F13DC">
        <w:rPr>
          <w:rFonts w:ascii="Arial" w:hAnsi="Arial" w:cs="Arial"/>
        </w:rPr>
        <w:t xml:space="preserve"> comparativo</w:t>
      </w:r>
      <w:r>
        <w:rPr>
          <w:rFonts w:ascii="Arial" w:hAnsi="Arial" w:cs="Arial"/>
        </w:rPr>
        <w:t>s</w:t>
      </w:r>
      <w:r w:rsidRPr="000F13DC">
        <w:rPr>
          <w:rFonts w:ascii="Arial" w:hAnsi="Arial" w:cs="Arial"/>
        </w:rPr>
        <w:t xml:space="preserve"> deve</w:t>
      </w:r>
      <w:r>
        <w:rPr>
          <w:rFonts w:ascii="Arial" w:hAnsi="Arial" w:cs="Arial"/>
        </w:rPr>
        <w:t>m</w:t>
      </w:r>
      <w:r w:rsidRPr="000F13DC">
        <w:rPr>
          <w:rFonts w:ascii="Arial" w:hAnsi="Arial" w:cs="Arial"/>
        </w:rPr>
        <w:t xml:space="preserve"> ser realizado</w:t>
      </w:r>
      <w:r w:rsidR="00B462B7">
        <w:rPr>
          <w:rFonts w:ascii="Arial" w:hAnsi="Arial" w:cs="Arial"/>
        </w:rPr>
        <w:t>s</w:t>
      </w:r>
      <w:r w:rsidRPr="000F13DC">
        <w:rPr>
          <w:rFonts w:ascii="Arial" w:hAnsi="Arial" w:cs="Arial"/>
        </w:rPr>
        <w:t xml:space="preserve"> em centro de Equivalência Farmacêutica (EQFAR)</w:t>
      </w:r>
      <w:r w:rsidR="00AA03D0">
        <w:rPr>
          <w:rFonts w:ascii="Arial" w:hAnsi="Arial" w:cs="Arial"/>
        </w:rPr>
        <w:t xml:space="preserve">, </w:t>
      </w:r>
      <w:r w:rsidR="00297721">
        <w:rPr>
          <w:rFonts w:ascii="Arial" w:hAnsi="Arial" w:cs="Arial"/>
        </w:rPr>
        <w:t>conforme</w:t>
      </w:r>
      <w:r w:rsidR="00AA03D0">
        <w:rPr>
          <w:rFonts w:ascii="Arial" w:hAnsi="Arial" w:cs="Arial"/>
        </w:rPr>
        <w:t xml:space="preserve"> disposto na RDC </w:t>
      </w:r>
      <w:r w:rsidR="00297721">
        <w:rPr>
          <w:rFonts w:ascii="Arial" w:hAnsi="Arial" w:cs="Arial"/>
        </w:rPr>
        <w:t xml:space="preserve">nº </w:t>
      </w:r>
      <w:r w:rsidR="00AA03D0">
        <w:rPr>
          <w:rFonts w:ascii="Arial" w:hAnsi="Arial" w:cs="Arial"/>
        </w:rPr>
        <w:t>31/2010</w:t>
      </w:r>
      <w:r w:rsidR="00204EF4">
        <w:rPr>
          <w:rFonts w:ascii="Arial" w:hAnsi="Arial" w:cs="Arial"/>
        </w:rPr>
        <w:t xml:space="preserve"> (Art. 23, § 7º)</w:t>
      </w:r>
      <w:r w:rsidRPr="000F13DC">
        <w:rPr>
          <w:rFonts w:ascii="Arial" w:hAnsi="Arial" w:cs="Arial"/>
        </w:rPr>
        <w:t xml:space="preserve">. </w:t>
      </w:r>
    </w:p>
    <w:p w14:paraId="4C8FF1AA" w14:textId="54108D95" w:rsidR="00B462B7" w:rsidRDefault="00B462B7" w:rsidP="00672DF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1DA222F6" w14:textId="773405BB" w:rsidR="001506F7" w:rsidRPr="005776B5" w:rsidRDefault="001506F7" w:rsidP="001506F7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>O</w:t>
      </w:r>
      <w:r w:rsidR="00D341E1">
        <w:rPr>
          <w:rFonts w:ascii="Arial" w:hAnsi="Arial" w:cs="Arial"/>
          <w:b/>
          <w:color w:val="2E74B5" w:themeColor="accent1" w:themeShade="BF"/>
          <w:sz w:val="24"/>
          <w:szCs w:val="24"/>
        </w:rPr>
        <w:t>s</w:t>
      </w:r>
      <w:r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método</w:t>
      </w:r>
      <w:r w:rsidR="00D341E1">
        <w:rPr>
          <w:rFonts w:ascii="Arial" w:hAnsi="Arial" w:cs="Arial"/>
          <w:b/>
          <w:color w:val="2E74B5" w:themeColor="accent1" w:themeShade="BF"/>
          <w:sz w:val="24"/>
          <w:szCs w:val="24"/>
        </w:rPr>
        <w:t>s</w:t>
      </w:r>
      <w:r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5776B5"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>de dissolução</w:t>
      </w:r>
      <w:r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5776B5"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>utilizado</w:t>
      </w:r>
      <w:r w:rsidR="00D341E1">
        <w:rPr>
          <w:rFonts w:ascii="Arial" w:hAnsi="Arial" w:cs="Arial"/>
          <w:b/>
          <w:color w:val="2E74B5" w:themeColor="accent1" w:themeShade="BF"/>
          <w:sz w:val="24"/>
          <w:szCs w:val="24"/>
        </w:rPr>
        <w:t>s</w:t>
      </w:r>
      <w:r w:rsidR="005776B5"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>no</w:t>
      </w:r>
      <w:r w:rsidR="00D341E1">
        <w:rPr>
          <w:rFonts w:ascii="Arial" w:hAnsi="Arial" w:cs="Arial"/>
          <w:b/>
          <w:color w:val="2E74B5" w:themeColor="accent1" w:themeShade="BF"/>
          <w:sz w:val="24"/>
          <w:szCs w:val="24"/>
        </w:rPr>
        <w:t>s</w:t>
      </w:r>
      <w:r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estudo</w:t>
      </w:r>
      <w:r w:rsidR="00D341E1">
        <w:rPr>
          <w:rFonts w:ascii="Arial" w:hAnsi="Arial" w:cs="Arial"/>
          <w:b/>
          <w:color w:val="2E74B5" w:themeColor="accent1" w:themeShade="BF"/>
          <w:sz w:val="24"/>
          <w:szCs w:val="24"/>
        </w:rPr>
        <w:t>s</w:t>
      </w:r>
      <w:r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de perfil de dissolução </w:t>
      </w:r>
      <w:r w:rsidR="00D341E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comparativo </w:t>
      </w:r>
      <w:r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>deve</w:t>
      </w:r>
      <w:r w:rsidR="00D341E1">
        <w:rPr>
          <w:rFonts w:ascii="Arial" w:hAnsi="Arial" w:cs="Arial"/>
          <w:b/>
          <w:color w:val="2E74B5" w:themeColor="accent1" w:themeShade="BF"/>
          <w:sz w:val="24"/>
          <w:szCs w:val="24"/>
        </w:rPr>
        <w:t>m</w:t>
      </w:r>
      <w:r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ser validado</w:t>
      </w:r>
      <w:r w:rsidR="00D341E1">
        <w:rPr>
          <w:rFonts w:ascii="Arial" w:hAnsi="Arial" w:cs="Arial"/>
          <w:b/>
          <w:color w:val="2E74B5" w:themeColor="accent1" w:themeShade="BF"/>
          <w:sz w:val="24"/>
          <w:szCs w:val="24"/>
        </w:rPr>
        <w:t>s</w:t>
      </w:r>
      <w:r w:rsidRPr="005776B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? </w:t>
      </w:r>
    </w:p>
    <w:p w14:paraId="70240BBC" w14:textId="77777777" w:rsidR="001506F7" w:rsidRPr="005776B5" w:rsidRDefault="001506F7" w:rsidP="001506F7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4B0496C2" w14:textId="2CD9BAA2" w:rsidR="000F1234" w:rsidRDefault="005776B5" w:rsidP="00CC4BF8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5776B5">
        <w:rPr>
          <w:rFonts w:ascii="Arial" w:hAnsi="Arial" w:cs="Arial"/>
        </w:rPr>
        <w:lastRenderedPageBreak/>
        <w:t xml:space="preserve">Sim, </w:t>
      </w:r>
      <w:r w:rsidR="00D341E1">
        <w:rPr>
          <w:rFonts w:ascii="Arial" w:hAnsi="Arial" w:cs="Arial"/>
        </w:rPr>
        <w:t xml:space="preserve">conforme </w:t>
      </w:r>
      <w:r w:rsidR="00D341E1" w:rsidRPr="00D341E1">
        <w:rPr>
          <w:rFonts w:ascii="Arial" w:hAnsi="Arial" w:cs="Arial"/>
        </w:rPr>
        <w:t>Art. 23</w:t>
      </w:r>
      <w:r w:rsidR="00D341E1">
        <w:rPr>
          <w:rFonts w:ascii="Arial" w:hAnsi="Arial" w:cs="Arial"/>
        </w:rPr>
        <w:t xml:space="preserve">, </w:t>
      </w:r>
      <w:r w:rsidR="00D341E1" w:rsidRPr="00D341E1">
        <w:rPr>
          <w:rFonts w:ascii="Arial" w:hAnsi="Arial" w:cs="Arial"/>
        </w:rPr>
        <w:t>§ 7º</w:t>
      </w:r>
      <w:r w:rsidR="000F1234">
        <w:rPr>
          <w:rFonts w:ascii="Arial" w:hAnsi="Arial" w:cs="Arial"/>
        </w:rPr>
        <w:t>,</w:t>
      </w:r>
      <w:r w:rsidR="00D341E1" w:rsidRPr="00D341E1">
        <w:rPr>
          <w:rFonts w:ascii="Arial" w:hAnsi="Arial" w:cs="Arial"/>
        </w:rPr>
        <w:t xml:space="preserve"> </w:t>
      </w:r>
      <w:r w:rsidR="00D341E1">
        <w:rPr>
          <w:rFonts w:ascii="Arial" w:hAnsi="Arial" w:cs="Arial"/>
        </w:rPr>
        <w:t xml:space="preserve">o </w:t>
      </w:r>
      <w:r w:rsidR="00D341E1" w:rsidRPr="00D341E1">
        <w:rPr>
          <w:rFonts w:ascii="Arial" w:hAnsi="Arial" w:cs="Arial"/>
        </w:rPr>
        <w:t xml:space="preserve">estudo de perfil de dissolução comparativo deverá atender ao disposto na RDC </w:t>
      </w:r>
      <w:r w:rsidR="0079578E">
        <w:rPr>
          <w:rFonts w:ascii="Arial" w:hAnsi="Arial" w:cs="Arial"/>
        </w:rPr>
        <w:t xml:space="preserve">nº </w:t>
      </w:r>
      <w:r w:rsidR="00D341E1" w:rsidRPr="00D341E1">
        <w:rPr>
          <w:rFonts w:ascii="Arial" w:hAnsi="Arial" w:cs="Arial"/>
        </w:rPr>
        <w:t>31</w:t>
      </w:r>
      <w:r w:rsidR="00D341E1">
        <w:rPr>
          <w:rFonts w:ascii="Arial" w:hAnsi="Arial" w:cs="Arial"/>
        </w:rPr>
        <w:t>/</w:t>
      </w:r>
      <w:r w:rsidR="00D341E1" w:rsidRPr="00D341E1">
        <w:rPr>
          <w:rFonts w:ascii="Arial" w:hAnsi="Arial" w:cs="Arial"/>
        </w:rPr>
        <w:t>2010</w:t>
      </w:r>
      <w:r w:rsidR="00D341E1">
        <w:rPr>
          <w:rFonts w:ascii="Arial" w:hAnsi="Arial" w:cs="Arial"/>
        </w:rPr>
        <w:t xml:space="preserve"> e, de acordo com essa RDC, os métodos </w:t>
      </w:r>
      <w:r w:rsidRPr="005776B5">
        <w:rPr>
          <w:rFonts w:ascii="Arial" w:hAnsi="Arial" w:cs="Arial"/>
        </w:rPr>
        <w:t>deve</w:t>
      </w:r>
      <w:r w:rsidR="00D341E1">
        <w:rPr>
          <w:rFonts w:ascii="Arial" w:hAnsi="Arial" w:cs="Arial"/>
        </w:rPr>
        <w:t>m</w:t>
      </w:r>
      <w:r w:rsidRPr="005776B5">
        <w:rPr>
          <w:rFonts w:ascii="Arial" w:hAnsi="Arial" w:cs="Arial"/>
        </w:rPr>
        <w:t xml:space="preserve"> ser </w:t>
      </w:r>
      <w:r w:rsidR="001506F7" w:rsidRPr="005776B5">
        <w:rPr>
          <w:rFonts w:ascii="Arial" w:hAnsi="Arial" w:cs="Arial"/>
        </w:rPr>
        <w:t>devidamente validado</w:t>
      </w:r>
      <w:r w:rsidR="00D341E1">
        <w:rPr>
          <w:rFonts w:ascii="Arial" w:hAnsi="Arial" w:cs="Arial"/>
        </w:rPr>
        <w:t>s</w:t>
      </w:r>
      <w:r w:rsidR="001506F7" w:rsidRPr="005776B5">
        <w:rPr>
          <w:rFonts w:ascii="Arial" w:hAnsi="Arial" w:cs="Arial"/>
        </w:rPr>
        <w:t xml:space="preserve"> (total ou </w:t>
      </w:r>
      <w:proofErr w:type="gramStart"/>
      <w:r w:rsidR="001506F7" w:rsidRPr="005776B5">
        <w:rPr>
          <w:rFonts w:ascii="Arial" w:hAnsi="Arial" w:cs="Arial"/>
        </w:rPr>
        <w:t>parcialmente)</w:t>
      </w:r>
      <w:r w:rsidR="000F1234">
        <w:rPr>
          <w:rFonts w:ascii="Arial" w:hAnsi="Arial" w:cs="Arial"/>
        </w:rPr>
        <w:t>de</w:t>
      </w:r>
      <w:proofErr w:type="gramEnd"/>
      <w:r w:rsidR="000F1234">
        <w:rPr>
          <w:rFonts w:ascii="Arial" w:hAnsi="Arial" w:cs="Arial"/>
        </w:rPr>
        <w:t xml:space="preserve"> acordo com a</w:t>
      </w:r>
      <w:r w:rsidR="0079578E">
        <w:rPr>
          <w:rFonts w:ascii="Arial" w:hAnsi="Arial" w:cs="Arial"/>
        </w:rPr>
        <w:t xml:space="preserve"> </w:t>
      </w:r>
      <w:r w:rsidR="001506F7" w:rsidRPr="005776B5">
        <w:rPr>
          <w:rFonts w:ascii="Arial" w:hAnsi="Arial" w:cs="Arial"/>
        </w:rPr>
        <w:t xml:space="preserve">RDC </w:t>
      </w:r>
      <w:r w:rsidR="0079578E">
        <w:rPr>
          <w:rFonts w:ascii="Arial" w:hAnsi="Arial" w:cs="Arial"/>
        </w:rPr>
        <w:t xml:space="preserve">nº </w:t>
      </w:r>
      <w:r w:rsidR="001506F7" w:rsidRPr="005776B5">
        <w:rPr>
          <w:rFonts w:ascii="Arial" w:hAnsi="Arial" w:cs="Arial"/>
        </w:rPr>
        <w:t>166/2017</w:t>
      </w:r>
      <w:r w:rsidR="00CC4BF8">
        <w:rPr>
          <w:rFonts w:ascii="Arial" w:hAnsi="Arial" w:cs="Arial"/>
        </w:rPr>
        <w:t xml:space="preserve">, incluindo os métodos </w:t>
      </w:r>
      <w:r w:rsidR="00ED5328">
        <w:rPr>
          <w:rFonts w:ascii="Arial" w:hAnsi="Arial" w:cs="Arial"/>
        </w:rPr>
        <w:t>com diferentes meios de dissolução, além do meio adotado no controle de qualidade</w:t>
      </w:r>
      <w:r w:rsidR="001506F7" w:rsidRPr="005776B5">
        <w:rPr>
          <w:rFonts w:ascii="Arial" w:hAnsi="Arial" w:cs="Arial"/>
        </w:rPr>
        <w:t>.</w:t>
      </w:r>
      <w:r w:rsidR="00ED5328">
        <w:rPr>
          <w:rFonts w:ascii="Arial" w:hAnsi="Arial" w:cs="Arial"/>
        </w:rPr>
        <w:t xml:space="preserve"> </w:t>
      </w:r>
    </w:p>
    <w:p w14:paraId="1FCC12B1" w14:textId="31C60D94" w:rsidR="001D3DC7" w:rsidRPr="00CC4BF8" w:rsidRDefault="00ED5328" w:rsidP="00CC4BF8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Entretanto, para os métodos que não serão usados no controle de qualidade, </w:t>
      </w:r>
      <w:r w:rsidR="00E26B88">
        <w:rPr>
          <w:rFonts w:ascii="Arial" w:hAnsi="Arial" w:cs="Arial"/>
        </w:rPr>
        <w:t xml:space="preserve">os documentos completos de validação podem ser armazenados internamente na empresa e enviados apenas se solicitados pela </w:t>
      </w:r>
      <w:r w:rsidR="007C1076">
        <w:rPr>
          <w:rFonts w:ascii="Arial" w:hAnsi="Arial" w:cs="Arial"/>
        </w:rPr>
        <w:t>ANVISA</w:t>
      </w:r>
      <w:r w:rsidR="00427D5C">
        <w:rPr>
          <w:rFonts w:ascii="Arial" w:hAnsi="Arial" w:cs="Arial"/>
        </w:rPr>
        <w:t xml:space="preserve">. </w:t>
      </w:r>
      <w:r w:rsidR="000F1234">
        <w:rPr>
          <w:rFonts w:ascii="Arial" w:hAnsi="Arial" w:cs="Arial"/>
        </w:rPr>
        <w:t>D</w:t>
      </w:r>
      <w:r w:rsidR="00E26B88">
        <w:rPr>
          <w:rFonts w:ascii="Arial" w:hAnsi="Arial" w:cs="Arial"/>
        </w:rPr>
        <w:t xml:space="preserve">evem ser enviados no dossiê de registro apenas os dados que demonstrem </w:t>
      </w:r>
      <w:r w:rsidR="00285614">
        <w:rPr>
          <w:rFonts w:ascii="Arial" w:hAnsi="Arial" w:cs="Arial"/>
        </w:rPr>
        <w:t xml:space="preserve">a seletividade do método </w:t>
      </w:r>
      <w:r w:rsidR="000F1234">
        <w:rPr>
          <w:rFonts w:ascii="Arial" w:hAnsi="Arial" w:cs="Arial"/>
        </w:rPr>
        <w:t xml:space="preserve">e a estabilidade do IFA </w:t>
      </w:r>
      <w:r w:rsidR="00285614">
        <w:rPr>
          <w:rFonts w:ascii="Arial" w:hAnsi="Arial" w:cs="Arial"/>
        </w:rPr>
        <w:t>em todos os meios de dissolução</w:t>
      </w:r>
      <w:r w:rsidR="000F1234">
        <w:rPr>
          <w:rFonts w:ascii="Arial" w:hAnsi="Arial" w:cs="Arial"/>
        </w:rPr>
        <w:t>.</w:t>
      </w:r>
    </w:p>
    <w:p w14:paraId="1C239F47" w14:textId="77777777" w:rsidR="001506F7" w:rsidRDefault="001506F7" w:rsidP="00672DF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401569A5" w14:textId="49F25FAA" w:rsidR="00B462B7" w:rsidRDefault="00B462B7" w:rsidP="00B462B7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Para fins de comprovação da similaridade</w:t>
      </w:r>
      <w:r w:rsidR="00AA03D0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do perfil de dissolução comparativo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, há necessidade de comprovação de que o medicamento teste e referência apresentem o mesmo tipo de dissolução</w:t>
      </w:r>
      <w:r w:rsidR="000873E9">
        <w:rPr>
          <w:rFonts w:ascii="Arial" w:hAnsi="Arial" w:cs="Arial"/>
          <w:b/>
          <w:color w:val="2E74B5" w:themeColor="accent1" w:themeShade="BF"/>
          <w:sz w:val="24"/>
          <w:szCs w:val="24"/>
        </w:rPr>
        <w:t>, por exemplo,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muito rápida?</w:t>
      </w:r>
    </w:p>
    <w:p w14:paraId="7DFBFBDB" w14:textId="77777777" w:rsidR="00B462B7" w:rsidRDefault="00B462B7" w:rsidP="00B462B7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07F8AEE8" w14:textId="3CA1CCA3" w:rsidR="00B462B7" w:rsidRDefault="00B462B7" w:rsidP="00B462B7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Não,</w:t>
      </w:r>
      <w:r w:rsidR="00AA03D0">
        <w:rPr>
          <w:rFonts w:ascii="Arial" w:hAnsi="Arial" w:cs="Arial"/>
        </w:rPr>
        <w:t xml:space="preserve"> pois</w:t>
      </w:r>
      <w:r>
        <w:rPr>
          <w:rFonts w:ascii="Arial" w:hAnsi="Arial" w:cs="Arial"/>
        </w:rPr>
        <w:t xml:space="preserve"> o</w:t>
      </w:r>
      <w:r w:rsidRPr="00B462B7">
        <w:rPr>
          <w:rFonts w:ascii="Arial" w:hAnsi="Arial" w:cs="Arial"/>
        </w:rPr>
        <w:t xml:space="preserve"> item I do artigo 26 da RDC </w:t>
      </w:r>
      <w:r w:rsidR="000F1234">
        <w:rPr>
          <w:rFonts w:ascii="Arial" w:hAnsi="Arial" w:cs="Arial"/>
        </w:rPr>
        <w:t xml:space="preserve">nº </w:t>
      </w:r>
      <w:r w:rsidRPr="00B462B7">
        <w:rPr>
          <w:rFonts w:ascii="Arial" w:hAnsi="Arial" w:cs="Arial"/>
        </w:rPr>
        <w:t>31/2010</w:t>
      </w:r>
      <w:r>
        <w:rPr>
          <w:rFonts w:ascii="Arial" w:hAnsi="Arial" w:cs="Arial"/>
        </w:rPr>
        <w:t xml:space="preserve"> foi revogado</w:t>
      </w:r>
      <w:r w:rsidRPr="00B462B7">
        <w:rPr>
          <w:rFonts w:ascii="Arial" w:hAnsi="Arial" w:cs="Arial"/>
        </w:rPr>
        <w:t xml:space="preserve">, visto que um dos objetivos da revisão da legislação é </w:t>
      </w:r>
      <w:r w:rsidR="006F49D1">
        <w:rPr>
          <w:rFonts w:ascii="Arial" w:hAnsi="Arial" w:cs="Arial"/>
        </w:rPr>
        <w:t xml:space="preserve">a </w:t>
      </w:r>
      <w:r w:rsidRPr="00B462B7">
        <w:rPr>
          <w:rFonts w:ascii="Arial" w:hAnsi="Arial" w:cs="Arial"/>
        </w:rPr>
        <w:t xml:space="preserve">harmonização com </w:t>
      </w:r>
      <w:r>
        <w:rPr>
          <w:rFonts w:ascii="Arial" w:hAnsi="Arial" w:cs="Arial"/>
        </w:rPr>
        <w:t>os critérios internacionais</w:t>
      </w:r>
      <w:r w:rsidRPr="00B462B7">
        <w:rPr>
          <w:rFonts w:ascii="Arial" w:hAnsi="Arial" w:cs="Arial"/>
        </w:rPr>
        <w:t>.</w:t>
      </w:r>
      <w:r w:rsidR="00DE31C0">
        <w:rPr>
          <w:rFonts w:ascii="Arial" w:hAnsi="Arial" w:cs="Arial"/>
        </w:rPr>
        <w:t xml:space="preserve"> Dessa forma, para cálculo de f2</w:t>
      </w:r>
      <w:r w:rsidR="00073CAC">
        <w:rPr>
          <w:rFonts w:ascii="Arial" w:hAnsi="Arial" w:cs="Arial"/>
        </w:rPr>
        <w:t xml:space="preserve">, </w:t>
      </w:r>
      <w:r w:rsidR="00DE31C0">
        <w:rPr>
          <w:rFonts w:ascii="Arial" w:hAnsi="Arial" w:cs="Arial"/>
        </w:rPr>
        <w:t>não há exigência de que ambos os medicamentos apresentem o mesmo tipo de dissolução.</w:t>
      </w:r>
    </w:p>
    <w:p w14:paraId="5026493A" w14:textId="77777777" w:rsidR="00DC47A0" w:rsidRDefault="00DC47A0" w:rsidP="00B462B7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716A706D" w14:textId="4851F146" w:rsidR="00DC47A0" w:rsidRPr="00E50028" w:rsidRDefault="00073E41" w:rsidP="00DC47A0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E5002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É possível pleitear a </w:t>
      </w:r>
      <w:proofErr w:type="spellStart"/>
      <w:r w:rsidRPr="00E50028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Pr="00EE01D2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de diferentes concentrações no registro de novas concentrações no país?</w:t>
      </w:r>
    </w:p>
    <w:p w14:paraId="1B67F6E4" w14:textId="77777777" w:rsidR="00DC47A0" w:rsidRDefault="00DC47A0" w:rsidP="00DC47A0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7E7754E0" w14:textId="2EEF3145" w:rsidR="00DC47A0" w:rsidRDefault="00DC47A0" w:rsidP="00DC47A0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293C46">
        <w:rPr>
          <w:rFonts w:ascii="Arial" w:hAnsi="Arial" w:cs="Arial"/>
        </w:rPr>
        <w:t>Não</w:t>
      </w:r>
      <w:r w:rsidR="000A1C4D" w:rsidRPr="00293C46">
        <w:rPr>
          <w:rFonts w:ascii="Arial" w:hAnsi="Arial" w:cs="Arial"/>
        </w:rPr>
        <w:t xml:space="preserve">, pois </w:t>
      </w:r>
      <w:r w:rsidR="0089442C" w:rsidRPr="00293C46">
        <w:rPr>
          <w:rFonts w:ascii="Arial" w:hAnsi="Arial" w:cs="Arial"/>
        </w:rPr>
        <w:t>o registro de um</w:t>
      </w:r>
      <w:r w:rsidR="000A1C4D" w:rsidRPr="00293C46">
        <w:rPr>
          <w:rFonts w:ascii="Arial" w:hAnsi="Arial" w:cs="Arial"/>
        </w:rPr>
        <w:t xml:space="preserve">a nova concentração </w:t>
      </w:r>
      <w:r w:rsidR="00707BD4" w:rsidRPr="00293C46">
        <w:rPr>
          <w:rFonts w:ascii="Arial" w:hAnsi="Arial" w:cs="Arial"/>
        </w:rPr>
        <w:t xml:space="preserve">no país </w:t>
      </w:r>
      <w:r w:rsidR="0089442C" w:rsidRPr="00293C46">
        <w:rPr>
          <w:rFonts w:ascii="Arial" w:hAnsi="Arial" w:cs="Arial"/>
        </w:rPr>
        <w:t>demanda</w:t>
      </w:r>
      <w:r w:rsidR="00A266CB" w:rsidRPr="00293C46">
        <w:rPr>
          <w:rFonts w:ascii="Arial" w:hAnsi="Arial" w:cs="Arial"/>
        </w:rPr>
        <w:t xml:space="preserve">ria a avaliação de aspectos clínicos e impossibilitaria a </w:t>
      </w:r>
      <w:r w:rsidR="00707BD4" w:rsidRPr="00293C46">
        <w:rPr>
          <w:rFonts w:ascii="Arial" w:hAnsi="Arial" w:cs="Arial"/>
        </w:rPr>
        <w:t xml:space="preserve">concessão de registro somente com dados </w:t>
      </w:r>
      <w:r w:rsidR="00707BD4" w:rsidRPr="00293C46">
        <w:rPr>
          <w:rFonts w:ascii="Arial" w:hAnsi="Arial" w:cs="Arial"/>
          <w:i/>
          <w:iCs/>
        </w:rPr>
        <w:t>in vitro</w:t>
      </w:r>
      <w:r w:rsidR="00707BD4" w:rsidRPr="00293C46">
        <w:rPr>
          <w:rFonts w:ascii="Arial" w:hAnsi="Arial" w:cs="Arial"/>
        </w:rPr>
        <w:t>.</w:t>
      </w:r>
      <w:r w:rsidR="000A1C4D" w:rsidRPr="00293C46">
        <w:rPr>
          <w:rFonts w:ascii="Arial" w:hAnsi="Arial" w:cs="Arial"/>
        </w:rPr>
        <w:t xml:space="preserve"> </w:t>
      </w:r>
      <w:r w:rsidR="00A4727B" w:rsidRPr="00293C46">
        <w:rPr>
          <w:rFonts w:ascii="Arial" w:hAnsi="Arial" w:cs="Arial"/>
        </w:rPr>
        <w:t xml:space="preserve">Além disso, </w:t>
      </w:r>
      <w:r w:rsidR="00293C46" w:rsidRPr="00293C46">
        <w:rPr>
          <w:rFonts w:ascii="Arial" w:hAnsi="Arial" w:cs="Arial"/>
        </w:rPr>
        <w:t xml:space="preserve">diferentes concentrações em processos de registros distintos </w:t>
      </w:r>
      <w:r w:rsidR="00293C46">
        <w:rPr>
          <w:rFonts w:ascii="Arial" w:hAnsi="Arial" w:cs="Arial"/>
        </w:rPr>
        <w:t>causa</w:t>
      </w:r>
      <w:r w:rsidR="00575F1C">
        <w:rPr>
          <w:rFonts w:ascii="Arial" w:hAnsi="Arial" w:cs="Arial"/>
        </w:rPr>
        <w:t>m</w:t>
      </w:r>
      <w:r w:rsidR="00293C46">
        <w:rPr>
          <w:rFonts w:ascii="Arial" w:hAnsi="Arial" w:cs="Arial"/>
        </w:rPr>
        <w:t xml:space="preserve"> dificuldade ao acompanhamento d</w:t>
      </w:r>
      <w:r w:rsidR="00293C46" w:rsidRPr="00293C46">
        <w:rPr>
          <w:rFonts w:ascii="Arial" w:hAnsi="Arial" w:cs="Arial"/>
        </w:rPr>
        <w:t>o ciclo de vida das concentrações de forma paralela</w:t>
      </w:r>
      <w:r w:rsidR="00304E89">
        <w:rPr>
          <w:rFonts w:ascii="Arial" w:hAnsi="Arial" w:cs="Arial"/>
        </w:rPr>
        <w:t>.</w:t>
      </w:r>
      <w:r w:rsidR="00A210CC">
        <w:rPr>
          <w:rFonts w:ascii="Arial" w:hAnsi="Arial" w:cs="Arial"/>
        </w:rPr>
        <w:t xml:space="preserve"> </w:t>
      </w:r>
    </w:p>
    <w:p w14:paraId="44644500" w14:textId="77777777" w:rsidR="00A55C7A" w:rsidRPr="00A55C7A" w:rsidRDefault="00A55C7A" w:rsidP="00A55C7A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2F619E6" w14:textId="584E6527" w:rsidR="0037781E" w:rsidRDefault="0037781E" w:rsidP="00123537">
      <w:pPr>
        <w:pStyle w:val="PargrafodaLista"/>
        <w:numPr>
          <w:ilvl w:val="1"/>
          <w:numId w:val="10"/>
        </w:numPr>
        <w:spacing w:after="0" w:line="276" w:lineRule="auto"/>
        <w:ind w:left="0" w:firstLine="0"/>
        <w:jc w:val="both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8" w:name="_Toc132733811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RDC </w:t>
      </w:r>
      <w:r w:rsidR="003E79D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nº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749/2022 – </w:t>
      </w:r>
      <w:proofErr w:type="spellStart"/>
      <w:r w:rsidR="00123537">
        <w:rPr>
          <w:rFonts w:ascii="Arial" w:hAnsi="Arial" w:cs="Arial"/>
          <w:b/>
          <w:color w:val="2E74B5" w:themeColor="accent1" w:themeShade="BF"/>
          <w:sz w:val="24"/>
          <w:szCs w:val="24"/>
        </w:rPr>
        <w:t>B</w:t>
      </w:r>
      <w:r w:rsidR="00672DFD" w:rsidRPr="00672DFD">
        <w:rPr>
          <w:rFonts w:ascii="Arial" w:hAnsi="Arial" w:cs="Arial"/>
          <w:b/>
          <w:color w:val="2E74B5" w:themeColor="accent1" w:themeShade="BF"/>
          <w:sz w:val="24"/>
          <w:szCs w:val="24"/>
        </w:rPr>
        <w:t>ioisenção</w:t>
      </w:r>
      <w:proofErr w:type="spellEnd"/>
      <w:r w:rsidR="00672DFD" w:rsidRPr="00672DF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baseada no sistema de classificação biofarmacêutica</w:t>
      </w:r>
      <w:bookmarkEnd w:id="8"/>
    </w:p>
    <w:p w14:paraId="0E6B6CE6" w14:textId="77777777" w:rsidR="007438C0" w:rsidRDefault="007438C0" w:rsidP="007438C0">
      <w:pPr>
        <w:pStyle w:val="PargrafodaLista"/>
        <w:spacing w:after="0"/>
        <w:ind w:left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515AA8D7" w14:textId="77777777" w:rsidR="00A203A0" w:rsidRPr="008C53FD" w:rsidRDefault="00A203A0" w:rsidP="00F931C3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Por que a </w:t>
      </w:r>
      <w:proofErr w:type="spellStart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pelo SCB somente é aplicável a pró-fármacos </w:t>
      </w:r>
      <w:r w:rsidRPr="008C53FD">
        <w:rPr>
          <w:rFonts w:ascii="Arial" w:hAnsi="Arial" w:cs="Arial"/>
          <w:b/>
          <w:color w:val="2E74B5" w:themeColor="accent1" w:themeShade="BF"/>
          <w:sz w:val="24"/>
          <w:szCs w:val="24"/>
        </w:rPr>
        <w:t>quando estes são absorvidos como pró-fármacos?</w:t>
      </w:r>
    </w:p>
    <w:p w14:paraId="392289BB" w14:textId="3D74C669" w:rsidR="00A203A0" w:rsidRPr="008C53FD" w:rsidRDefault="00A203A0" w:rsidP="00A203A0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43EC7A8B" w14:textId="5F245828" w:rsidR="00A203A0" w:rsidRPr="00A203A0" w:rsidRDefault="00A203A0" w:rsidP="00A203A0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8C53FD">
        <w:rPr>
          <w:rFonts w:ascii="Arial" w:hAnsi="Arial" w:cs="Arial"/>
        </w:rPr>
        <w:t xml:space="preserve">A </w:t>
      </w:r>
      <w:proofErr w:type="spellStart"/>
      <w:r w:rsidRPr="008C53FD">
        <w:rPr>
          <w:rFonts w:ascii="Arial" w:hAnsi="Arial" w:cs="Arial"/>
        </w:rPr>
        <w:t>bioisenção</w:t>
      </w:r>
      <w:proofErr w:type="spellEnd"/>
      <w:r w:rsidRPr="008C53FD">
        <w:rPr>
          <w:rFonts w:ascii="Arial" w:hAnsi="Arial" w:cs="Arial"/>
        </w:rPr>
        <w:t xml:space="preserve"> pelo SCB é baseada nos critérios de solubilidade e permeabilidade para um fármaco específico. Desta forma, a classificação não pode ser conferida para diferentes moléculas, como o fármaco inalterado e metabólitos. A classificação pelo SCB deve ser referente à molécula do fármaco presente na forma farmacêutica do medicamento uma vez que a dissolução </w:t>
      </w:r>
      <w:r w:rsidRPr="00A0418F">
        <w:rPr>
          <w:rFonts w:ascii="Arial" w:hAnsi="Arial" w:cs="Arial"/>
          <w:i/>
          <w:iCs/>
        </w:rPr>
        <w:t>in vitro</w:t>
      </w:r>
      <w:r w:rsidRPr="008C53FD">
        <w:rPr>
          <w:rFonts w:ascii="Arial" w:hAnsi="Arial" w:cs="Arial"/>
        </w:rPr>
        <w:t xml:space="preserve"> desta molécula será utilizada para demonstração de similaridade do produto.</w:t>
      </w:r>
    </w:p>
    <w:p w14:paraId="66551B82" w14:textId="6246A360" w:rsidR="00A203A0" w:rsidRDefault="00A203A0" w:rsidP="00A203A0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6D8550D8" w14:textId="74C82A9C" w:rsidR="00034BD8" w:rsidRPr="00F13A28" w:rsidRDefault="00034BD8" w:rsidP="00034BD8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No caso de fármacos de associação em dose fixa (ADF), é possível realizar a quantificação no estudo de bioequivalência somente do fármaco não habilitado à </w:t>
      </w:r>
      <w:proofErr w:type="spellStart"/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baseada em SCB?</w:t>
      </w:r>
      <w:r w:rsidRPr="00F13A28">
        <w:t xml:space="preserve"> </w:t>
      </w:r>
    </w:p>
    <w:p w14:paraId="2E7B7365" w14:textId="77777777" w:rsidR="00034BD8" w:rsidRPr="00F13A28" w:rsidRDefault="00034BD8" w:rsidP="00034BD8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5106A628" w14:textId="77777777" w:rsidR="00034BD8" w:rsidRPr="004D2E78" w:rsidRDefault="00034BD8" w:rsidP="00034BD8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F13A28">
        <w:rPr>
          <w:rFonts w:ascii="Arial" w:hAnsi="Arial" w:cs="Arial"/>
        </w:rPr>
        <w:t xml:space="preserve">Não, pois todos os fármacos da associação em dose fixa devem cumprir os critérios do SCB classe I ou III para qualificar para </w:t>
      </w:r>
      <w:proofErr w:type="spellStart"/>
      <w:r w:rsidRPr="00F13A28">
        <w:rPr>
          <w:rFonts w:ascii="Arial" w:hAnsi="Arial" w:cs="Arial"/>
        </w:rPr>
        <w:t>bioisenção</w:t>
      </w:r>
      <w:proofErr w:type="spellEnd"/>
      <w:r w:rsidRPr="00F13A28">
        <w:rPr>
          <w:rFonts w:ascii="Arial" w:hAnsi="Arial" w:cs="Arial"/>
        </w:rPr>
        <w:t xml:space="preserve">. Se um dos fármacos não for classe I ou III, a possibilidade que a formulação da ADF possa influenciar a </w:t>
      </w:r>
      <w:r w:rsidRPr="00F13A28">
        <w:rPr>
          <w:rFonts w:ascii="Arial" w:hAnsi="Arial" w:cs="Arial"/>
        </w:rPr>
        <w:lastRenderedPageBreak/>
        <w:t>performance não pode ser excluída, conforme descrito no documento de Perguntas &amp; Respostas do guia ICH M9.</w:t>
      </w:r>
    </w:p>
    <w:p w14:paraId="4AF67F7A" w14:textId="54895392" w:rsidR="00034BD8" w:rsidRDefault="00034BD8" w:rsidP="00A203A0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506F84A8" w14:textId="77777777" w:rsidR="00776A2F" w:rsidRPr="00F13A28" w:rsidRDefault="00776A2F" w:rsidP="00776A2F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Pode ser requerida a </w:t>
      </w:r>
      <w:proofErr w:type="spellStart"/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nos casos em que a administração não for somente com água, como também com outros veículos? Por exemplo, os grânulos de um determinado medicamento também podem ser reconstituídos com suco de maçã e outros líquidos. </w:t>
      </w:r>
    </w:p>
    <w:p w14:paraId="6140F8FF" w14:textId="77777777" w:rsidR="00776A2F" w:rsidRPr="00F13A28" w:rsidRDefault="00776A2F" w:rsidP="00776A2F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149D31EB" w14:textId="06F6E311" w:rsidR="00776A2F" w:rsidRPr="00F13A28" w:rsidRDefault="00776A2F" w:rsidP="00776A2F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F13A28">
        <w:rPr>
          <w:rFonts w:ascii="Arial" w:hAnsi="Arial" w:cs="Arial"/>
        </w:rPr>
        <w:t xml:space="preserve">Não, a </w:t>
      </w:r>
      <w:proofErr w:type="spellStart"/>
      <w:r w:rsidRPr="00F13A28">
        <w:rPr>
          <w:rFonts w:ascii="Arial" w:hAnsi="Arial" w:cs="Arial"/>
        </w:rPr>
        <w:t>bioisenção</w:t>
      </w:r>
      <w:proofErr w:type="spellEnd"/>
      <w:r w:rsidRPr="00F13A28">
        <w:rPr>
          <w:rFonts w:ascii="Arial" w:hAnsi="Arial" w:cs="Arial"/>
        </w:rPr>
        <w:t xml:space="preserve"> baseada no SCB somente é aplicável quando o medicamento é administrado com água, conforme guia ICH M9</w:t>
      </w:r>
      <w:r w:rsidR="00521A6E" w:rsidRPr="00F13A28">
        <w:rPr>
          <w:rFonts w:ascii="Arial" w:hAnsi="Arial" w:cs="Arial"/>
        </w:rPr>
        <w:t xml:space="preserve"> e Art. 29, §2º</w:t>
      </w:r>
      <w:r w:rsidR="00C71552" w:rsidRPr="00F13A28">
        <w:rPr>
          <w:rFonts w:ascii="Arial" w:hAnsi="Arial" w:cs="Arial"/>
        </w:rPr>
        <w:t xml:space="preserve"> da RDC </w:t>
      </w:r>
      <w:r w:rsidR="00EE01D2">
        <w:rPr>
          <w:rFonts w:ascii="Arial" w:hAnsi="Arial" w:cs="Arial"/>
        </w:rPr>
        <w:t xml:space="preserve">nº </w:t>
      </w:r>
      <w:r w:rsidR="00C71552" w:rsidRPr="00F13A28">
        <w:rPr>
          <w:rFonts w:ascii="Arial" w:hAnsi="Arial" w:cs="Arial"/>
        </w:rPr>
        <w:t>749/2022</w:t>
      </w:r>
      <w:r w:rsidRPr="00F13A28">
        <w:rPr>
          <w:rFonts w:ascii="Arial" w:hAnsi="Arial" w:cs="Arial"/>
        </w:rPr>
        <w:t>.</w:t>
      </w:r>
    </w:p>
    <w:p w14:paraId="2A841AB4" w14:textId="77777777" w:rsidR="00F87544" w:rsidRDefault="00F87544" w:rsidP="00776A2F">
      <w:pPr>
        <w:pStyle w:val="PargrafodaLista"/>
        <w:spacing w:after="0"/>
        <w:ind w:left="0" w:firstLine="851"/>
        <w:jc w:val="both"/>
        <w:rPr>
          <w:rFonts w:ascii="Arial" w:hAnsi="Arial" w:cs="Arial"/>
          <w:highlight w:val="cyan"/>
        </w:rPr>
      </w:pPr>
    </w:p>
    <w:p w14:paraId="3AAE27FD" w14:textId="606C44D8" w:rsidR="007C7047" w:rsidRPr="00F13A28" w:rsidRDefault="007C7047" w:rsidP="007C7047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Nos casos </w:t>
      </w:r>
      <w:r w:rsidR="00EE01D2">
        <w:rPr>
          <w:rFonts w:ascii="Arial" w:hAnsi="Arial" w:cs="Arial"/>
          <w:b/>
          <w:color w:val="2E74B5" w:themeColor="accent1" w:themeShade="BF"/>
          <w:sz w:val="24"/>
          <w:szCs w:val="24"/>
        </w:rPr>
        <w:t>em</w:t>
      </w:r>
      <w:r w:rsidR="00EE01D2"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que a maior dose administrada oralmente não atende aos critérios descritos no art. 31 da Resolução, quais dados adicionais devem ser submetidos para justificar a abordagem de </w:t>
      </w:r>
      <w:proofErr w:type="spellStart"/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pelo SCB?</w:t>
      </w:r>
    </w:p>
    <w:p w14:paraId="4640EAB4" w14:textId="77777777" w:rsidR="007C7047" w:rsidRDefault="007C7047" w:rsidP="007C7047">
      <w:pPr>
        <w:pStyle w:val="PargrafodaLista"/>
        <w:spacing w:after="0"/>
        <w:ind w:left="0" w:firstLine="851"/>
        <w:jc w:val="both"/>
        <w:rPr>
          <w:rFonts w:ascii="Arial" w:hAnsi="Arial" w:cs="Arial"/>
          <w:highlight w:val="cyan"/>
        </w:rPr>
      </w:pPr>
    </w:p>
    <w:p w14:paraId="3357F56F" w14:textId="3F81D4B5" w:rsidR="00776A2F" w:rsidRPr="00C949DB" w:rsidRDefault="006E626B" w:rsidP="00C949DB">
      <w:pPr>
        <w:spacing w:after="0"/>
        <w:ind w:firstLine="708"/>
        <w:jc w:val="both"/>
        <w:rPr>
          <w:rFonts w:ascii="Arial" w:hAnsi="Arial" w:cs="Arial"/>
        </w:rPr>
      </w:pPr>
      <w:r w:rsidRPr="00C949DB">
        <w:rPr>
          <w:rFonts w:ascii="Arial" w:hAnsi="Arial" w:cs="Arial"/>
        </w:rPr>
        <w:t>Quando a maior dose administrad</w:t>
      </w:r>
      <w:r w:rsidR="00E119A3" w:rsidRPr="00C949DB">
        <w:rPr>
          <w:rFonts w:ascii="Arial" w:hAnsi="Arial" w:cs="Arial"/>
        </w:rPr>
        <w:t>a</w:t>
      </w:r>
      <w:r w:rsidRPr="00C949DB">
        <w:rPr>
          <w:rFonts w:ascii="Arial" w:hAnsi="Arial" w:cs="Arial"/>
        </w:rPr>
        <w:t xml:space="preserve"> oralmente não atender </w:t>
      </w:r>
      <w:r w:rsidR="00EE7A30" w:rsidRPr="00C949DB">
        <w:rPr>
          <w:rFonts w:ascii="Arial" w:hAnsi="Arial" w:cs="Arial"/>
        </w:rPr>
        <w:t>a</w:t>
      </w:r>
      <w:r w:rsidRPr="00C949DB">
        <w:rPr>
          <w:rFonts w:ascii="Arial" w:hAnsi="Arial" w:cs="Arial"/>
        </w:rPr>
        <w:t>o critério de alta solubilidade descrito no art. 31, o fármaco ainda poderá ser classificado como sendo de alta solubilidade quando a maior concentração</w:t>
      </w:r>
      <w:r w:rsidR="001D1A14" w:rsidRPr="00C949DB">
        <w:rPr>
          <w:rFonts w:ascii="Arial" w:hAnsi="Arial" w:cs="Arial"/>
        </w:rPr>
        <w:t xml:space="preserve"> registrada do medicamento de referência</w:t>
      </w:r>
      <w:r w:rsidR="00551CF3" w:rsidRPr="00C949DB">
        <w:rPr>
          <w:rFonts w:ascii="Arial" w:hAnsi="Arial" w:cs="Arial"/>
        </w:rPr>
        <w:t>,</w:t>
      </w:r>
      <w:r w:rsidRPr="00C949DB">
        <w:rPr>
          <w:rFonts w:ascii="Arial" w:hAnsi="Arial" w:cs="Arial"/>
        </w:rPr>
        <w:t xml:space="preserve"> </w:t>
      </w:r>
      <w:r w:rsidR="00406209" w:rsidRPr="00C949DB">
        <w:rPr>
          <w:rFonts w:ascii="Arial" w:hAnsi="Arial" w:cs="Arial"/>
        </w:rPr>
        <w:t xml:space="preserve">na forma </w:t>
      </w:r>
      <w:r w:rsidR="006043A5" w:rsidRPr="00C949DB">
        <w:rPr>
          <w:rFonts w:ascii="Arial" w:hAnsi="Arial" w:cs="Arial"/>
        </w:rPr>
        <w:t xml:space="preserve">de </w:t>
      </w:r>
      <w:r w:rsidRPr="00C949DB">
        <w:rPr>
          <w:rFonts w:ascii="Arial" w:hAnsi="Arial" w:cs="Arial"/>
        </w:rPr>
        <w:t xml:space="preserve">uma </w:t>
      </w:r>
      <w:r w:rsidR="00406209" w:rsidRPr="00C949DB">
        <w:rPr>
          <w:rFonts w:ascii="Arial" w:hAnsi="Arial" w:cs="Arial"/>
        </w:rPr>
        <w:t>única</w:t>
      </w:r>
      <w:r w:rsidRPr="00C949DB">
        <w:rPr>
          <w:rFonts w:ascii="Arial" w:hAnsi="Arial" w:cs="Arial"/>
        </w:rPr>
        <w:t xml:space="preserve"> unidade farmacotécnica</w:t>
      </w:r>
      <w:r w:rsidR="00551CF3" w:rsidRPr="00C949DB">
        <w:rPr>
          <w:rFonts w:ascii="Arial" w:hAnsi="Arial" w:cs="Arial"/>
        </w:rPr>
        <w:t>,</w:t>
      </w:r>
      <w:r w:rsidR="001D1A14" w:rsidRPr="00C949DB">
        <w:rPr>
          <w:rFonts w:ascii="Arial" w:hAnsi="Arial" w:cs="Arial"/>
        </w:rPr>
        <w:t xml:space="preserve"> </w:t>
      </w:r>
      <w:r w:rsidRPr="00C949DB">
        <w:rPr>
          <w:rFonts w:ascii="Arial" w:hAnsi="Arial" w:cs="Arial"/>
        </w:rPr>
        <w:t xml:space="preserve">atender </w:t>
      </w:r>
      <w:r w:rsidR="000904EF" w:rsidRPr="00C949DB">
        <w:rPr>
          <w:rFonts w:ascii="Arial" w:hAnsi="Arial" w:cs="Arial"/>
        </w:rPr>
        <w:t>a</w:t>
      </w:r>
      <w:r w:rsidRPr="00C949DB">
        <w:rPr>
          <w:rFonts w:ascii="Arial" w:hAnsi="Arial" w:cs="Arial"/>
        </w:rPr>
        <w:t xml:space="preserve">o critério de alta solubilidade apresentado neste artigo </w:t>
      </w:r>
      <w:r w:rsidR="00406209" w:rsidRPr="00C949DB">
        <w:rPr>
          <w:rFonts w:ascii="Arial" w:hAnsi="Arial" w:cs="Arial"/>
        </w:rPr>
        <w:t xml:space="preserve">da RDC </w:t>
      </w:r>
      <w:r w:rsidRPr="00C949DB">
        <w:rPr>
          <w:rFonts w:ascii="Arial" w:hAnsi="Arial" w:cs="Arial"/>
        </w:rPr>
        <w:t xml:space="preserve">e </w:t>
      </w:r>
      <w:r w:rsidR="002D6B42" w:rsidRPr="00C949DB">
        <w:rPr>
          <w:rFonts w:ascii="Arial" w:hAnsi="Arial" w:cs="Arial"/>
        </w:rPr>
        <w:t xml:space="preserve">for demonstrada </w:t>
      </w:r>
      <w:r w:rsidR="000A4A73" w:rsidRPr="00C949DB">
        <w:rPr>
          <w:rFonts w:ascii="Arial" w:hAnsi="Arial" w:cs="Arial"/>
        </w:rPr>
        <w:t xml:space="preserve">a </w:t>
      </w:r>
      <w:r w:rsidRPr="00C949DB">
        <w:rPr>
          <w:rFonts w:ascii="Arial" w:hAnsi="Arial" w:cs="Arial"/>
        </w:rPr>
        <w:t>linearidade farmacocinética entre essas duas concentrações.</w:t>
      </w:r>
    </w:p>
    <w:p w14:paraId="15EE85C3" w14:textId="7A8E3ED0" w:rsidR="00A203A0" w:rsidRDefault="00A203A0" w:rsidP="00A203A0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9016BA7" w14:textId="32E1287F" w:rsidR="00A203A0" w:rsidRDefault="00D1124A" w:rsidP="00F931C3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Como deve ser feito o ajuste de pH durante o ensaio de solubilidade?</w:t>
      </w:r>
    </w:p>
    <w:p w14:paraId="02DB6EB3" w14:textId="6D9F5AB6" w:rsidR="00D1124A" w:rsidRDefault="00D1124A" w:rsidP="00D1124A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4D0BA4F3" w14:textId="0F9825B1" w:rsidR="00720710" w:rsidRPr="00682B9E" w:rsidRDefault="00720710" w:rsidP="00720710">
      <w:pPr>
        <w:spacing w:after="0"/>
        <w:ind w:firstLine="708"/>
        <w:jc w:val="both"/>
        <w:rPr>
          <w:rFonts w:ascii="Arial" w:hAnsi="Arial" w:cs="Arial"/>
        </w:rPr>
      </w:pPr>
      <w:r w:rsidRPr="001149D8">
        <w:rPr>
          <w:rFonts w:ascii="Arial" w:hAnsi="Arial" w:cs="Arial"/>
        </w:rPr>
        <w:t xml:space="preserve">O desvio de ± 0,1 </w:t>
      </w:r>
      <w:r>
        <w:rPr>
          <w:rFonts w:ascii="Arial" w:hAnsi="Arial" w:cs="Arial"/>
        </w:rPr>
        <w:t xml:space="preserve">entre o pH ao início e final do experimento </w:t>
      </w:r>
      <w:r w:rsidRPr="001149D8">
        <w:rPr>
          <w:rFonts w:ascii="Arial" w:hAnsi="Arial" w:cs="Arial"/>
        </w:rPr>
        <w:t>é considerado aceitável.</w:t>
      </w:r>
      <w:r>
        <w:rPr>
          <w:rFonts w:ascii="Arial" w:hAnsi="Arial" w:cs="Arial"/>
        </w:rPr>
        <w:t xml:space="preserve"> </w:t>
      </w:r>
      <w:r w:rsidRPr="00682B9E">
        <w:rPr>
          <w:rFonts w:ascii="Arial" w:hAnsi="Arial" w:cs="Arial"/>
        </w:rPr>
        <w:t xml:space="preserve">Se o pH do </w:t>
      </w:r>
      <w:r>
        <w:rPr>
          <w:rFonts w:ascii="Arial" w:hAnsi="Arial" w:cs="Arial"/>
        </w:rPr>
        <w:t xml:space="preserve">meio apresentar desvio maior do que </w:t>
      </w:r>
      <w:r w:rsidRPr="001149D8">
        <w:rPr>
          <w:rFonts w:ascii="Arial" w:hAnsi="Arial" w:cs="Arial"/>
        </w:rPr>
        <w:t xml:space="preserve">± 0,1 </w:t>
      </w:r>
      <w:r w:rsidRPr="00682B9E">
        <w:rPr>
          <w:rFonts w:ascii="Arial" w:hAnsi="Arial" w:cs="Arial"/>
        </w:rPr>
        <w:t>após</w:t>
      </w:r>
      <w:r>
        <w:rPr>
          <w:rFonts w:ascii="Arial" w:hAnsi="Arial" w:cs="Arial"/>
        </w:rPr>
        <w:t xml:space="preserve"> a</w:t>
      </w:r>
      <w:r w:rsidRPr="00682B9E">
        <w:rPr>
          <w:rFonts w:ascii="Arial" w:hAnsi="Arial" w:cs="Arial"/>
        </w:rPr>
        <w:t xml:space="preserve"> </w:t>
      </w:r>
      <w:r w:rsidR="00405B7A">
        <w:rPr>
          <w:rFonts w:ascii="Arial" w:hAnsi="Arial" w:cs="Arial"/>
        </w:rPr>
        <w:t>adição</w:t>
      </w:r>
      <w:r w:rsidRPr="00682B9E">
        <w:rPr>
          <w:rFonts w:ascii="Arial" w:hAnsi="Arial" w:cs="Arial"/>
        </w:rPr>
        <w:t xml:space="preserve"> </w:t>
      </w:r>
      <w:r w:rsidR="00405B7A">
        <w:rPr>
          <w:rFonts w:ascii="Arial" w:hAnsi="Arial" w:cs="Arial"/>
        </w:rPr>
        <w:t>d</w:t>
      </w:r>
      <w:r w:rsidRPr="00682B9E">
        <w:rPr>
          <w:rFonts w:ascii="Arial" w:hAnsi="Arial" w:cs="Arial"/>
        </w:rPr>
        <w:t xml:space="preserve">o </w:t>
      </w:r>
      <w:r w:rsidR="00405B7A">
        <w:rPr>
          <w:rFonts w:ascii="Arial" w:hAnsi="Arial" w:cs="Arial"/>
        </w:rPr>
        <w:t>IFA</w:t>
      </w:r>
      <w:r w:rsidRPr="00682B9E">
        <w:rPr>
          <w:rFonts w:ascii="Arial" w:hAnsi="Arial" w:cs="Arial"/>
        </w:rPr>
        <w:t xml:space="preserve">, o ajuste do pH com uma solução ácida ou básica apropriada pode ser suficiente para resolver o problema, ou um tampão com uma capacidade </w:t>
      </w:r>
      <w:proofErr w:type="spellStart"/>
      <w:r>
        <w:rPr>
          <w:rFonts w:ascii="Arial" w:hAnsi="Arial" w:cs="Arial"/>
        </w:rPr>
        <w:t>tamponante</w:t>
      </w:r>
      <w:proofErr w:type="spellEnd"/>
      <w:r w:rsidRPr="00682B9E">
        <w:rPr>
          <w:rFonts w:ascii="Arial" w:hAnsi="Arial" w:cs="Arial"/>
        </w:rPr>
        <w:t xml:space="preserve"> mais forte pode ser empregado. Após o ajuste do pH, a solução deve ser reequilibrada por pelo menos uma hora antes de uma amostra ser coletada.</w:t>
      </w:r>
    </w:p>
    <w:p w14:paraId="73CE3B48" w14:textId="77777777" w:rsidR="00D1124A" w:rsidRPr="00D1124A" w:rsidRDefault="00D1124A" w:rsidP="00D1124A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55C95F44" w14:textId="08FF4BE1" w:rsidR="00DB6043" w:rsidRDefault="003671EA" w:rsidP="00DB6043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O que acontece com fármacos que apresentem</w:t>
      </w:r>
      <w:r w:rsidR="00DB6043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instabilidade </w:t>
      </w:r>
      <w:r w:rsidR="007E7E1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em solução no ensaio de </w:t>
      </w:r>
      <w:r w:rsidR="007E7E18" w:rsidRPr="00FC55C4"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t>solubilidade</w:t>
      </w:r>
      <w:r w:rsidR="007E7E18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70A633FD" w14:textId="4D28B271" w:rsidR="00C65CC1" w:rsidRPr="0012778E" w:rsidRDefault="00C65CC1" w:rsidP="00C65CC1">
      <w:pPr>
        <w:pStyle w:val="PargrafodaLista"/>
        <w:spacing w:after="0"/>
        <w:ind w:left="709"/>
        <w:jc w:val="both"/>
        <w:rPr>
          <w:rFonts w:ascii="Arial" w:hAnsi="Arial" w:cs="Arial"/>
        </w:rPr>
      </w:pPr>
    </w:p>
    <w:p w14:paraId="017059E7" w14:textId="210FD457" w:rsidR="00DB6043" w:rsidRDefault="00B346AB" w:rsidP="00233DB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Fármacos que </w:t>
      </w:r>
      <w:r w:rsidR="00C11813">
        <w:rPr>
          <w:rFonts w:ascii="Arial" w:hAnsi="Arial" w:cs="Arial"/>
        </w:rPr>
        <w:t xml:space="preserve">não cumpram o requisito de estabilidade definido pelo artigo 42 </w:t>
      </w:r>
      <w:r w:rsidR="008624CC">
        <w:rPr>
          <w:rFonts w:ascii="Arial" w:hAnsi="Arial" w:cs="Arial"/>
        </w:rPr>
        <w:t xml:space="preserve">no ensaio de solubilidade </w:t>
      </w:r>
      <w:r w:rsidR="000776B5">
        <w:rPr>
          <w:rFonts w:ascii="Arial" w:hAnsi="Arial" w:cs="Arial"/>
        </w:rPr>
        <w:t xml:space="preserve">em qualquer </w:t>
      </w:r>
      <w:r w:rsidR="003671EA">
        <w:rPr>
          <w:rFonts w:ascii="Arial" w:hAnsi="Arial" w:cs="Arial"/>
        </w:rPr>
        <w:t>das condições experimentais testadas</w:t>
      </w:r>
      <w:r w:rsidR="00001392">
        <w:rPr>
          <w:rFonts w:ascii="Arial" w:hAnsi="Arial" w:cs="Arial"/>
        </w:rPr>
        <w:t xml:space="preserve"> e pelo período </w:t>
      </w:r>
      <w:r w:rsidR="00F341AF">
        <w:rPr>
          <w:rFonts w:ascii="Arial" w:hAnsi="Arial" w:cs="Arial"/>
        </w:rPr>
        <w:t>total do estudo</w:t>
      </w:r>
      <w:r w:rsidR="003671EA">
        <w:rPr>
          <w:rFonts w:ascii="Arial" w:hAnsi="Arial" w:cs="Arial"/>
        </w:rPr>
        <w:t xml:space="preserve"> não poderão</w:t>
      </w:r>
      <w:r w:rsidR="008624CC">
        <w:rPr>
          <w:rFonts w:ascii="Arial" w:hAnsi="Arial" w:cs="Arial"/>
        </w:rPr>
        <w:t xml:space="preserve"> </w:t>
      </w:r>
      <w:r w:rsidR="00BB2B15">
        <w:rPr>
          <w:rFonts w:ascii="Arial" w:hAnsi="Arial" w:cs="Arial"/>
        </w:rPr>
        <w:t>ser classificados</w:t>
      </w:r>
      <w:r w:rsidR="00A757C5">
        <w:rPr>
          <w:rFonts w:ascii="Arial" w:hAnsi="Arial" w:cs="Arial"/>
        </w:rPr>
        <w:t xml:space="preserve"> </w:t>
      </w:r>
      <w:r w:rsidR="00233DBD">
        <w:rPr>
          <w:rFonts w:ascii="Arial" w:hAnsi="Arial" w:cs="Arial"/>
        </w:rPr>
        <w:t>e</w:t>
      </w:r>
      <w:r w:rsidR="00B15581">
        <w:rPr>
          <w:rFonts w:ascii="Arial" w:hAnsi="Arial" w:cs="Arial"/>
        </w:rPr>
        <w:t xml:space="preserve">, consequentemente, </w:t>
      </w:r>
      <w:r w:rsidR="00F341AF">
        <w:rPr>
          <w:rFonts w:ascii="Arial" w:hAnsi="Arial" w:cs="Arial"/>
        </w:rPr>
        <w:t>deixam de ser</w:t>
      </w:r>
      <w:r w:rsidR="00FC55C4">
        <w:rPr>
          <w:rFonts w:ascii="Arial" w:hAnsi="Arial" w:cs="Arial"/>
        </w:rPr>
        <w:t xml:space="preserve"> candidatos à </w:t>
      </w:r>
      <w:proofErr w:type="spellStart"/>
      <w:r w:rsidR="00A757C5">
        <w:rPr>
          <w:rFonts w:ascii="Arial" w:hAnsi="Arial" w:cs="Arial"/>
        </w:rPr>
        <w:t>bioisenção</w:t>
      </w:r>
      <w:proofErr w:type="spellEnd"/>
      <w:r w:rsidR="00A757C5">
        <w:rPr>
          <w:rFonts w:ascii="Arial" w:hAnsi="Arial" w:cs="Arial"/>
        </w:rPr>
        <w:t xml:space="preserve"> pelo SCB</w:t>
      </w:r>
      <w:r w:rsidR="00233DBD">
        <w:rPr>
          <w:rFonts w:ascii="Arial" w:hAnsi="Arial" w:cs="Arial"/>
        </w:rPr>
        <w:t>.</w:t>
      </w:r>
    </w:p>
    <w:p w14:paraId="7751E33F" w14:textId="1B87D955" w:rsidR="00034BD8" w:rsidRDefault="00034BD8" w:rsidP="00233DBD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09E20537" w14:textId="70B3FCCB" w:rsidR="00034BD8" w:rsidRPr="000339AA" w:rsidRDefault="00034BD8" w:rsidP="00034BD8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0339A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Os métodos de quantificação do fármaco para fins de determinação da solubilidade do fármaco deverão ser preferencialmente os disponíveis nas Farmacopeias reconhecidas pela </w:t>
      </w:r>
      <w:r w:rsidR="007C1076">
        <w:rPr>
          <w:rFonts w:ascii="Arial" w:hAnsi="Arial" w:cs="Arial"/>
          <w:b/>
          <w:color w:val="2E74B5" w:themeColor="accent1" w:themeShade="BF"/>
          <w:sz w:val="24"/>
          <w:szCs w:val="24"/>
        </w:rPr>
        <w:t>ANVISA</w:t>
      </w:r>
      <w:r w:rsidRPr="000339A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? O método deverá ser validado para todos os solventes estudados? </w:t>
      </w:r>
    </w:p>
    <w:p w14:paraId="3EEED7E3" w14:textId="77777777" w:rsidR="00034BD8" w:rsidRPr="000339AA" w:rsidRDefault="00034BD8" w:rsidP="00034BD8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6BDCEF30" w14:textId="77C85633" w:rsidR="00034BD8" w:rsidRPr="000339AA" w:rsidRDefault="00034BD8" w:rsidP="00034BD8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0339AA">
        <w:rPr>
          <w:rFonts w:ascii="Arial" w:hAnsi="Arial" w:cs="Arial"/>
        </w:rPr>
        <w:t xml:space="preserve">Não há obrigatoriedade ou preferência para utilização do método farmacopeico para fins de quantificação do fármaco na determinação da solubilidade. A empresa poderá optar por utilizar o método farmacopeico desde que ele seja adequado e esteja </w:t>
      </w:r>
      <w:r w:rsidRPr="000339AA">
        <w:rPr>
          <w:rFonts w:ascii="Arial" w:hAnsi="Arial" w:cs="Arial"/>
        </w:rPr>
        <w:lastRenderedPageBreak/>
        <w:t xml:space="preserve">devidamente validado (total ou parcialmente), conforme previsto na RDC </w:t>
      </w:r>
      <w:r w:rsidR="00DC7F5F">
        <w:rPr>
          <w:rFonts w:ascii="Arial" w:hAnsi="Arial" w:cs="Arial"/>
        </w:rPr>
        <w:t xml:space="preserve">nº </w:t>
      </w:r>
      <w:r w:rsidRPr="000339AA">
        <w:rPr>
          <w:rFonts w:ascii="Arial" w:hAnsi="Arial" w:cs="Arial"/>
        </w:rPr>
        <w:t>166/2017. Em todos os casos, a empresa deverá avaliar o parâmetro da seletividade considerando todos os meios avaliados.</w:t>
      </w:r>
    </w:p>
    <w:p w14:paraId="78B0BFB8" w14:textId="77777777" w:rsidR="00DB6043" w:rsidRDefault="00DB6043" w:rsidP="00C65CC1">
      <w:pPr>
        <w:pStyle w:val="PargrafodaLista"/>
        <w:spacing w:after="0"/>
        <w:ind w:left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319FD12" w14:textId="260388DC" w:rsidR="00A203A0" w:rsidRDefault="00B76543" w:rsidP="00F931C3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Quais os </w:t>
      </w:r>
      <w:r w:rsidR="008A13F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detalhes </w:t>
      </w:r>
      <w:r w:rsidR="00364F4D" w:rsidRPr="00364F4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importantes que devem constar </w:t>
      </w:r>
      <w:r w:rsidR="00364F4D">
        <w:rPr>
          <w:rFonts w:ascii="Arial" w:hAnsi="Arial" w:cs="Arial"/>
          <w:b/>
          <w:color w:val="2E74B5" w:themeColor="accent1" w:themeShade="BF"/>
          <w:sz w:val="24"/>
          <w:szCs w:val="24"/>
        </w:rPr>
        <w:t>nos d</w:t>
      </w:r>
      <w:r w:rsidR="00364F4D" w:rsidRPr="00364F4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ados de estudos farmacocinéticos </w:t>
      </w:r>
      <w:r w:rsidR="00364F4D" w:rsidRPr="00B42C0B">
        <w:rPr>
          <w:rFonts w:ascii="Arial" w:hAnsi="Arial" w:cs="Arial"/>
          <w:b/>
          <w:i/>
          <w:iCs/>
          <w:color w:val="2E74B5" w:themeColor="accent1" w:themeShade="BF"/>
          <w:sz w:val="24"/>
          <w:szCs w:val="24"/>
        </w:rPr>
        <w:t>in vivo</w:t>
      </w:r>
      <w:r w:rsidR="00364F4D" w:rsidRPr="00364F4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em humanos obtidos de literatura científica indexada</w:t>
      </w:r>
      <w:r w:rsidR="00364F4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para fins do artigo 48?</w:t>
      </w:r>
    </w:p>
    <w:p w14:paraId="55141E88" w14:textId="5C79C187" w:rsidR="006A7FBF" w:rsidRDefault="006A7FBF" w:rsidP="006A7FBF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232BA26C" w14:textId="5A5D95B8" w:rsidR="00F77786" w:rsidRPr="00D87DA8" w:rsidRDefault="0046363E" w:rsidP="006A7FBF">
      <w:pPr>
        <w:spacing w:after="0"/>
        <w:ind w:firstLine="851"/>
        <w:jc w:val="both"/>
        <w:rPr>
          <w:rFonts w:ascii="Arial" w:hAnsi="Arial" w:cs="Arial"/>
        </w:rPr>
      </w:pPr>
      <w:r w:rsidRPr="00D87DA8">
        <w:rPr>
          <w:rFonts w:ascii="Arial" w:hAnsi="Arial" w:cs="Arial"/>
        </w:rPr>
        <w:t xml:space="preserve">Para cumprimento do artigo 48 da RDC </w:t>
      </w:r>
      <w:r w:rsidR="00141583">
        <w:rPr>
          <w:rFonts w:ascii="Arial" w:hAnsi="Arial" w:cs="Arial"/>
        </w:rPr>
        <w:t xml:space="preserve">nº </w:t>
      </w:r>
      <w:r w:rsidRPr="00D87DA8">
        <w:rPr>
          <w:rFonts w:ascii="Arial" w:hAnsi="Arial" w:cs="Arial"/>
        </w:rPr>
        <w:t xml:space="preserve">749/2022 devem ser apresentados artigos de revistas indexadas </w:t>
      </w:r>
      <w:r w:rsidR="00D87DA8" w:rsidRPr="00D87DA8">
        <w:rPr>
          <w:rFonts w:ascii="Arial" w:hAnsi="Arial" w:cs="Arial"/>
        </w:rPr>
        <w:t xml:space="preserve">e que apresentem resultados robustos e conclusivos acerca dos critérios </w:t>
      </w:r>
      <w:r w:rsidR="008B0D3E">
        <w:rPr>
          <w:rFonts w:ascii="Arial" w:hAnsi="Arial" w:cs="Arial"/>
        </w:rPr>
        <w:t>exigidos</w:t>
      </w:r>
      <w:r w:rsidR="00D87DA8" w:rsidRPr="00D87DA8">
        <w:rPr>
          <w:rFonts w:ascii="Arial" w:hAnsi="Arial" w:cs="Arial"/>
        </w:rPr>
        <w:t xml:space="preserve"> nos artigos 47 e 51 da RDC</w:t>
      </w:r>
      <w:r w:rsidR="00990248">
        <w:rPr>
          <w:rFonts w:ascii="Arial" w:hAnsi="Arial" w:cs="Arial"/>
        </w:rPr>
        <w:t xml:space="preserve"> nº</w:t>
      </w:r>
      <w:r w:rsidR="00D87DA8" w:rsidRPr="00D87DA8">
        <w:rPr>
          <w:rFonts w:ascii="Arial" w:hAnsi="Arial" w:cs="Arial"/>
        </w:rPr>
        <w:t xml:space="preserve"> 749/2022. </w:t>
      </w:r>
    </w:p>
    <w:p w14:paraId="570E87E3" w14:textId="6FA03B03" w:rsidR="00CB6418" w:rsidRDefault="00CB6418" w:rsidP="00CB6418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05516544" w14:textId="13768DE1" w:rsidR="006329C7" w:rsidRPr="00DE31C0" w:rsidRDefault="006329C7" w:rsidP="00F931C3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DE31C0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É possível não apresentar </w:t>
      </w:r>
      <w:r w:rsidR="00345C90" w:rsidRPr="00DE31C0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avaliação </w:t>
      </w:r>
      <w:r w:rsidRPr="00DE31C0">
        <w:rPr>
          <w:rFonts w:ascii="Arial" w:hAnsi="Arial" w:cs="Arial"/>
          <w:b/>
          <w:color w:val="2E74B5" w:themeColor="accent1" w:themeShade="BF"/>
          <w:sz w:val="24"/>
          <w:szCs w:val="24"/>
        </w:rPr>
        <w:t>de permeabilidade</w:t>
      </w:r>
      <w:r w:rsidR="009A4667" w:rsidRPr="00DE31C0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na solicitação de </w:t>
      </w:r>
      <w:proofErr w:type="spellStart"/>
      <w:r w:rsidR="00E539F8" w:rsidRPr="00DE31C0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="00E539F8" w:rsidRPr="00DE31C0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pelo SCB</w:t>
      </w:r>
      <w:r w:rsidR="00F61D37" w:rsidRPr="00DE31C0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7E5C9468" w14:textId="53AF48A7" w:rsidR="00F61D37" w:rsidRPr="00DE31C0" w:rsidRDefault="00F61D37" w:rsidP="00F61D37">
      <w:pPr>
        <w:spacing w:after="0"/>
        <w:jc w:val="both"/>
        <w:rPr>
          <w:rFonts w:ascii="Arial" w:hAnsi="Arial" w:cs="Arial"/>
          <w:color w:val="FF0000"/>
          <w:highlight w:val="yellow"/>
        </w:rPr>
      </w:pPr>
    </w:p>
    <w:p w14:paraId="06831E3D" w14:textId="09E6F80B" w:rsidR="00F61D37" w:rsidRPr="00DE31C0" w:rsidRDefault="00BF361E" w:rsidP="00A837DD">
      <w:pPr>
        <w:spacing w:after="0"/>
        <w:ind w:firstLine="851"/>
        <w:jc w:val="both"/>
        <w:rPr>
          <w:rFonts w:ascii="Arial" w:hAnsi="Arial" w:cs="Arial"/>
        </w:rPr>
      </w:pPr>
      <w:r w:rsidRPr="00DE31C0">
        <w:rPr>
          <w:rFonts w:ascii="Arial" w:hAnsi="Arial" w:cs="Arial"/>
        </w:rPr>
        <w:t xml:space="preserve">Caso a empresa opte por não </w:t>
      </w:r>
      <w:r w:rsidR="00A837DD" w:rsidRPr="00DE31C0">
        <w:rPr>
          <w:rFonts w:ascii="Arial" w:hAnsi="Arial" w:cs="Arial"/>
        </w:rPr>
        <w:t xml:space="preserve">apresentar dados de </w:t>
      </w:r>
      <w:r w:rsidR="003A32E3" w:rsidRPr="00DE31C0">
        <w:rPr>
          <w:rFonts w:ascii="Arial" w:hAnsi="Arial" w:cs="Arial"/>
        </w:rPr>
        <w:t xml:space="preserve">permeabilidade </w:t>
      </w:r>
      <w:r w:rsidR="00B77AEA" w:rsidRPr="00DE31C0">
        <w:rPr>
          <w:rFonts w:ascii="Arial" w:hAnsi="Arial" w:cs="Arial"/>
        </w:rPr>
        <w:t xml:space="preserve">para </w:t>
      </w:r>
      <w:r w:rsidR="003A32E3" w:rsidRPr="00DE31C0">
        <w:rPr>
          <w:rFonts w:ascii="Arial" w:hAnsi="Arial" w:cs="Arial"/>
        </w:rPr>
        <w:t>fármac</w:t>
      </w:r>
      <w:r w:rsidR="00CF314A" w:rsidRPr="00DE31C0">
        <w:rPr>
          <w:rFonts w:ascii="Arial" w:hAnsi="Arial" w:cs="Arial"/>
        </w:rPr>
        <w:t>o</w:t>
      </w:r>
      <w:r w:rsidR="00B77AEA" w:rsidRPr="00DE31C0">
        <w:rPr>
          <w:rFonts w:ascii="Arial" w:hAnsi="Arial" w:cs="Arial"/>
        </w:rPr>
        <w:t xml:space="preserve">s </w:t>
      </w:r>
      <w:r w:rsidR="005C1384" w:rsidRPr="00DE31C0">
        <w:rPr>
          <w:rFonts w:ascii="Arial" w:hAnsi="Arial" w:cs="Arial"/>
        </w:rPr>
        <w:t xml:space="preserve">em que foi demonstrada </w:t>
      </w:r>
      <w:r w:rsidR="00B80726" w:rsidRPr="00DE31C0">
        <w:rPr>
          <w:rFonts w:ascii="Arial" w:hAnsi="Arial" w:cs="Arial"/>
        </w:rPr>
        <w:t xml:space="preserve">a </w:t>
      </w:r>
      <w:r w:rsidR="005C1384" w:rsidRPr="00DE31C0">
        <w:rPr>
          <w:rFonts w:ascii="Arial" w:hAnsi="Arial" w:cs="Arial"/>
        </w:rPr>
        <w:t>alta solubilidade</w:t>
      </w:r>
      <w:r w:rsidR="00CF314A" w:rsidRPr="00DE31C0">
        <w:rPr>
          <w:rFonts w:ascii="Arial" w:hAnsi="Arial" w:cs="Arial"/>
        </w:rPr>
        <w:t xml:space="preserve">, este será </w:t>
      </w:r>
      <w:r w:rsidR="004B6222" w:rsidRPr="00DE31C0">
        <w:rPr>
          <w:rFonts w:ascii="Arial" w:hAnsi="Arial" w:cs="Arial"/>
        </w:rPr>
        <w:t xml:space="preserve">automaticamente </w:t>
      </w:r>
      <w:r w:rsidR="00E1721D" w:rsidRPr="00DE31C0">
        <w:rPr>
          <w:rFonts w:ascii="Arial" w:hAnsi="Arial" w:cs="Arial"/>
        </w:rPr>
        <w:t xml:space="preserve">considerado como de baixa permeabilidade </w:t>
      </w:r>
      <w:r w:rsidR="00CF314A" w:rsidRPr="00DE31C0">
        <w:rPr>
          <w:rFonts w:ascii="Arial" w:hAnsi="Arial" w:cs="Arial"/>
        </w:rPr>
        <w:t xml:space="preserve">para fins de </w:t>
      </w:r>
      <w:proofErr w:type="spellStart"/>
      <w:r w:rsidR="00CF314A" w:rsidRPr="00DE31C0">
        <w:rPr>
          <w:rFonts w:ascii="Arial" w:hAnsi="Arial" w:cs="Arial"/>
        </w:rPr>
        <w:t>bioisenção</w:t>
      </w:r>
      <w:proofErr w:type="spellEnd"/>
      <w:r w:rsidR="00CF314A" w:rsidRPr="00DE31C0">
        <w:rPr>
          <w:rFonts w:ascii="Arial" w:hAnsi="Arial" w:cs="Arial"/>
        </w:rPr>
        <w:t xml:space="preserve"> pelo SCB</w:t>
      </w:r>
      <w:r w:rsidR="002F5226" w:rsidRPr="00DE31C0">
        <w:rPr>
          <w:rFonts w:ascii="Arial" w:hAnsi="Arial" w:cs="Arial"/>
        </w:rPr>
        <w:t xml:space="preserve">, </w:t>
      </w:r>
      <w:r w:rsidR="00E1721D" w:rsidRPr="00DE31C0">
        <w:rPr>
          <w:rFonts w:ascii="Arial" w:hAnsi="Arial" w:cs="Arial"/>
        </w:rPr>
        <w:t>conforme</w:t>
      </w:r>
      <w:r w:rsidR="002F5226" w:rsidRPr="00DE31C0">
        <w:rPr>
          <w:rFonts w:ascii="Arial" w:hAnsi="Arial" w:cs="Arial"/>
        </w:rPr>
        <w:t xml:space="preserve"> artigo 50 </w:t>
      </w:r>
      <w:r w:rsidR="008269B8" w:rsidRPr="00DE31C0">
        <w:rPr>
          <w:rFonts w:ascii="Arial" w:hAnsi="Arial" w:cs="Arial"/>
        </w:rPr>
        <w:t xml:space="preserve">da RDC </w:t>
      </w:r>
      <w:r w:rsidR="00C623C1">
        <w:rPr>
          <w:rFonts w:ascii="Arial" w:hAnsi="Arial" w:cs="Arial"/>
        </w:rPr>
        <w:t xml:space="preserve">nº </w:t>
      </w:r>
      <w:r w:rsidR="008269B8" w:rsidRPr="00DE31C0">
        <w:rPr>
          <w:rFonts w:ascii="Arial" w:hAnsi="Arial" w:cs="Arial"/>
        </w:rPr>
        <w:t>749/2022,</w:t>
      </w:r>
      <w:r w:rsidR="00CF314A" w:rsidRPr="00DE31C0">
        <w:rPr>
          <w:rFonts w:ascii="Arial" w:hAnsi="Arial" w:cs="Arial"/>
        </w:rPr>
        <w:t xml:space="preserve"> e deverá seguir as orientações de perfis de dissolução e excipientes definidas para </w:t>
      </w:r>
      <w:r w:rsidR="00F72643" w:rsidRPr="00DE31C0">
        <w:rPr>
          <w:rFonts w:ascii="Arial" w:hAnsi="Arial" w:cs="Arial"/>
        </w:rPr>
        <w:t xml:space="preserve">fármacos </w:t>
      </w:r>
      <w:r w:rsidR="00CF314A" w:rsidRPr="00DE31C0">
        <w:rPr>
          <w:rFonts w:ascii="Arial" w:hAnsi="Arial" w:cs="Arial"/>
        </w:rPr>
        <w:t>Classe</w:t>
      </w:r>
      <w:r w:rsidR="00E1721D" w:rsidRPr="00DE31C0">
        <w:rPr>
          <w:rFonts w:ascii="Arial" w:hAnsi="Arial" w:cs="Arial"/>
        </w:rPr>
        <w:t xml:space="preserve"> III</w:t>
      </w:r>
      <w:r w:rsidR="00CF314A" w:rsidRPr="00DE31C0">
        <w:rPr>
          <w:rFonts w:ascii="Arial" w:hAnsi="Arial" w:cs="Arial"/>
        </w:rPr>
        <w:t xml:space="preserve"> </w:t>
      </w:r>
      <w:r w:rsidR="00F72643" w:rsidRPr="00DE31C0">
        <w:rPr>
          <w:rFonts w:ascii="Arial" w:hAnsi="Arial" w:cs="Arial"/>
        </w:rPr>
        <w:t xml:space="preserve">nas subseções IV e V da Seção III, Capítulo II da RDC </w:t>
      </w:r>
      <w:r w:rsidR="00C623C1">
        <w:rPr>
          <w:rFonts w:ascii="Arial" w:hAnsi="Arial" w:cs="Arial"/>
        </w:rPr>
        <w:t xml:space="preserve">nº </w:t>
      </w:r>
      <w:r w:rsidR="00F72643" w:rsidRPr="00DE31C0">
        <w:rPr>
          <w:rFonts w:ascii="Arial" w:hAnsi="Arial" w:cs="Arial"/>
        </w:rPr>
        <w:t>749/2022.</w:t>
      </w:r>
    </w:p>
    <w:p w14:paraId="2C0D7032" w14:textId="77777777" w:rsidR="00F61D37" w:rsidRPr="00F61D37" w:rsidRDefault="00F61D37" w:rsidP="00F61D37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3BCB88D0" w14:textId="4631F359" w:rsidR="00A203A0" w:rsidRDefault="00F128D2" w:rsidP="00F931C3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Por que </w:t>
      </w:r>
      <w:r w:rsidR="007E135B">
        <w:rPr>
          <w:rFonts w:ascii="Arial" w:hAnsi="Arial" w:cs="Arial"/>
          <w:b/>
          <w:color w:val="2E74B5" w:themeColor="accent1" w:themeShade="BF"/>
          <w:sz w:val="24"/>
          <w:szCs w:val="24"/>
        </w:rPr>
        <w:t>fármacos que apresenta</w:t>
      </w:r>
      <w:r w:rsidR="00D53DCE">
        <w:rPr>
          <w:rFonts w:ascii="Arial" w:hAnsi="Arial" w:cs="Arial"/>
          <w:b/>
          <w:color w:val="2E74B5" w:themeColor="accent1" w:themeShade="BF"/>
          <w:sz w:val="24"/>
          <w:szCs w:val="24"/>
        </w:rPr>
        <w:t>m</w:t>
      </w:r>
      <w:r w:rsidR="007E135B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instabilidade </w:t>
      </w:r>
      <w:r w:rsidR="00D53DCE">
        <w:rPr>
          <w:rFonts w:ascii="Arial" w:hAnsi="Arial" w:cs="Arial"/>
          <w:b/>
          <w:color w:val="2E74B5" w:themeColor="accent1" w:themeShade="BF"/>
          <w:sz w:val="24"/>
          <w:szCs w:val="24"/>
        </w:rPr>
        <w:t>no</w:t>
      </w:r>
      <w:r w:rsidR="007E135B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trato gastrointestinal</w:t>
      </w:r>
      <w:r w:rsidR="00D53DC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E730D9">
        <w:rPr>
          <w:rFonts w:ascii="Arial" w:hAnsi="Arial" w:cs="Arial"/>
          <w:b/>
          <w:color w:val="2E74B5" w:themeColor="accent1" w:themeShade="BF"/>
          <w:sz w:val="24"/>
          <w:szCs w:val="24"/>
        </w:rPr>
        <w:t>serão</w:t>
      </w:r>
      <w:r w:rsidR="00D53DC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considerados de baixa </w:t>
      </w:r>
      <w:r w:rsidR="00D53DCE" w:rsidRPr="00C65CC1"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t>permeabilidade</w:t>
      </w:r>
      <w:r w:rsidR="00D53DC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pelo SCB?</w:t>
      </w:r>
    </w:p>
    <w:p w14:paraId="730BA978" w14:textId="023F01C8" w:rsidR="00E730D9" w:rsidRPr="00E730D9" w:rsidRDefault="00E730D9" w:rsidP="00E730D9">
      <w:pPr>
        <w:spacing w:after="0"/>
        <w:jc w:val="both"/>
        <w:rPr>
          <w:rFonts w:ascii="Arial" w:hAnsi="Arial" w:cs="Arial"/>
        </w:rPr>
      </w:pPr>
    </w:p>
    <w:p w14:paraId="46340144" w14:textId="4D13865C" w:rsidR="00E730D9" w:rsidRPr="00E730D9" w:rsidRDefault="00FE1B72" w:rsidP="00FE1B72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Apenas fármacos considerados como altamente permeáveis poderão usufruir do</w:t>
      </w:r>
      <w:r w:rsidR="008A5577">
        <w:rPr>
          <w:rFonts w:ascii="Arial" w:hAnsi="Arial" w:cs="Arial"/>
        </w:rPr>
        <w:t>s benefícios d</w:t>
      </w:r>
      <w:r w:rsidR="00036C9C">
        <w:rPr>
          <w:rFonts w:ascii="Arial" w:hAnsi="Arial" w:cs="Arial"/>
        </w:rPr>
        <w:t>a classificação d</w:t>
      </w:r>
      <w:r w:rsidR="008A5577">
        <w:rPr>
          <w:rFonts w:ascii="Arial" w:hAnsi="Arial" w:cs="Arial"/>
        </w:rPr>
        <w:t xml:space="preserve">e fármacos Classe I </w:t>
      </w:r>
      <w:r w:rsidR="00C10764">
        <w:rPr>
          <w:rFonts w:ascii="Arial" w:hAnsi="Arial" w:cs="Arial"/>
        </w:rPr>
        <w:t xml:space="preserve">nos critérios </w:t>
      </w:r>
      <w:r w:rsidR="008A5577">
        <w:rPr>
          <w:rFonts w:ascii="Arial" w:hAnsi="Arial" w:cs="Arial"/>
        </w:rPr>
        <w:t xml:space="preserve">definidos nas subseções </w:t>
      </w:r>
      <w:r w:rsidR="00FF6757">
        <w:rPr>
          <w:rFonts w:ascii="Arial" w:hAnsi="Arial" w:cs="Arial"/>
        </w:rPr>
        <w:t xml:space="preserve">IV (dissolução </w:t>
      </w:r>
      <w:r w:rsidR="00FF6757" w:rsidRPr="00A0418F">
        <w:rPr>
          <w:rFonts w:ascii="Arial" w:hAnsi="Arial" w:cs="Arial"/>
          <w:i/>
          <w:iCs/>
        </w:rPr>
        <w:t>in vitro</w:t>
      </w:r>
      <w:r w:rsidR="00FF6757">
        <w:rPr>
          <w:rFonts w:ascii="Arial" w:hAnsi="Arial" w:cs="Arial"/>
        </w:rPr>
        <w:t>) e V (excipientes) da Seção III, Capítulo II da RDC</w:t>
      </w:r>
      <w:r w:rsidR="00C623C1">
        <w:rPr>
          <w:rFonts w:ascii="Arial" w:hAnsi="Arial" w:cs="Arial"/>
        </w:rPr>
        <w:t xml:space="preserve"> nº</w:t>
      </w:r>
      <w:r w:rsidR="00FF6757">
        <w:rPr>
          <w:rFonts w:ascii="Arial" w:hAnsi="Arial" w:cs="Arial"/>
        </w:rPr>
        <w:t xml:space="preserve"> 749/2022. </w:t>
      </w:r>
      <w:r w:rsidR="00794A49">
        <w:rPr>
          <w:rFonts w:ascii="Arial" w:hAnsi="Arial" w:cs="Arial"/>
        </w:rPr>
        <w:t>Para os f</w:t>
      </w:r>
      <w:r w:rsidR="00485E3A">
        <w:rPr>
          <w:rFonts w:ascii="Arial" w:hAnsi="Arial" w:cs="Arial"/>
        </w:rPr>
        <w:t>ármacos que apresent</w:t>
      </w:r>
      <w:r w:rsidR="00794A49">
        <w:rPr>
          <w:rFonts w:ascii="Arial" w:hAnsi="Arial" w:cs="Arial"/>
        </w:rPr>
        <w:t>a</w:t>
      </w:r>
      <w:r w:rsidR="00485E3A">
        <w:rPr>
          <w:rFonts w:ascii="Arial" w:hAnsi="Arial" w:cs="Arial"/>
        </w:rPr>
        <w:t xml:space="preserve">m </w:t>
      </w:r>
      <w:r w:rsidR="00260C47">
        <w:rPr>
          <w:rFonts w:ascii="Arial" w:hAnsi="Arial" w:cs="Arial"/>
        </w:rPr>
        <w:t xml:space="preserve">instabilidade no trato gastrointestinal, segundo critério definido no inciso VI do artigo 51, </w:t>
      </w:r>
      <w:r w:rsidR="00794A49">
        <w:rPr>
          <w:rFonts w:ascii="Arial" w:hAnsi="Arial" w:cs="Arial"/>
        </w:rPr>
        <w:t xml:space="preserve">não é possível demonstrar a </w:t>
      </w:r>
      <w:r w:rsidR="006456A3">
        <w:rPr>
          <w:rFonts w:ascii="Arial" w:hAnsi="Arial" w:cs="Arial"/>
        </w:rPr>
        <w:t xml:space="preserve">alta permeabilidade </w:t>
      </w:r>
      <w:r w:rsidR="006456A3" w:rsidRPr="00A0418F">
        <w:rPr>
          <w:rFonts w:ascii="Arial" w:hAnsi="Arial" w:cs="Arial"/>
          <w:i/>
          <w:iCs/>
        </w:rPr>
        <w:t>in vivo</w:t>
      </w:r>
      <w:r w:rsidR="006456A3">
        <w:rPr>
          <w:rFonts w:ascii="Arial" w:hAnsi="Arial" w:cs="Arial"/>
        </w:rPr>
        <w:t>. Nos casos em qu</w:t>
      </w:r>
      <w:r w:rsidR="00ED762B">
        <w:rPr>
          <w:rFonts w:ascii="Arial" w:hAnsi="Arial" w:cs="Arial"/>
        </w:rPr>
        <w:t>e</w:t>
      </w:r>
      <w:r w:rsidR="006456A3">
        <w:rPr>
          <w:rFonts w:ascii="Arial" w:hAnsi="Arial" w:cs="Arial"/>
        </w:rPr>
        <w:t xml:space="preserve"> a </w:t>
      </w:r>
      <w:r w:rsidR="00851E52">
        <w:rPr>
          <w:rFonts w:ascii="Arial" w:hAnsi="Arial" w:cs="Arial"/>
        </w:rPr>
        <w:t xml:space="preserve">alta permeabilidade </w:t>
      </w:r>
      <w:r w:rsidR="00ED762B">
        <w:rPr>
          <w:rFonts w:ascii="Arial" w:hAnsi="Arial" w:cs="Arial"/>
        </w:rPr>
        <w:t xml:space="preserve">do fármaco </w:t>
      </w:r>
      <w:r w:rsidR="00851E52">
        <w:rPr>
          <w:rFonts w:ascii="Arial" w:hAnsi="Arial" w:cs="Arial"/>
        </w:rPr>
        <w:t xml:space="preserve">não </w:t>
      </w:r>
      <w:r w:rsidR="00ED762B">
        <w:rPr>
          <w:rFonts w:ascii="Arial" w:hAnsi="Arial" w:cs="Arial"/>
        </w:rPr>
        <w:t>foi</w:t>
      </w:r>
      <w:r w:rsidR="00851E52">
        <w:rPr>
          <w:rFonts w:ascii="Arial" w:hAnsi="Arial" w:cs="Arial"/>
        </w:rPr>
        <w:t xml:space="preserve"> demonstrada, pelos métodos definidos na RDC </w:t>
      </w:r>
      <w:r w:rsidR="00B37750">
        <w:rPr>
          <w:rFonts w:ascii="Arial" w:hAnsi="Arial" w:cs="Arial"/>
        </w:rPr>
        <w:t xml:space="preserve">nº </w:t>
      </w:r>
      <w:r w:rsidR="00851E52">
        <w:rPr>
          <w:rFonts w:ascii="Arial" w:hAnsi="Arial" w:cs="Arial"/>
        </w:rPr>
        <w:t>7</w:t>
      </w:r>
      <w:r w:rsidR="00160C3C">
        <w:rPr>
          <w:rFonts w:ascii="Arial" w:hAnsi="Arial" w:cs="Arial"/>
        </w:rPr>
        <w:t>4</w:t>
      </w:r>
      <w:r w:rsidR="00851E52">
        <w:rPr>
          <w:rFonts w:ascii="Arial" w:hAnsi="Arial" w:cs="Arial"/>
        </w:rPr>
        <w:t xml:space="preserve">9/2022, </w:t>
      </w:r>
      <w:r w:rsidR="002C3A99">
        <w:rPr>
          <w:rFonts w:ascii="Arial" w:hAnsi="Arial" w:cs="Arial"/>
        </w:rPr>
        <w:t xml:space="preserve">a </w:t>
      </w:r>
      <w:proofErr w:type="spellStart"/>
      <w:r w:rsidR="002C3A99">
        <w:rPr>
          <w:rFonts w:ascii="Arial" w:hAnsi="Arial" w:cs="Arial"/>
        </w:rPr>
        <w:t>bioisenção</w:t>
      </w:r>
      <w:proofErr w:type="spellEnd"/>
      <w:r w:rsidR="002C3A99">
        <w:rPr>
          <w:rFonts w:ascii="Arial" w:hAnsi="Arial" w:cs="Arial"/>
        </w:rPr>
        <w:t xml:space="preserve"> ainda pode ser concedida seguindo os critérios definidos para fármacos de </w:t>
      </w:r>
      <w:r w:rsidR="00BA2162">
        <w:rPr>
          <w:rFonts w:ascii="Arial" w:hAnsi="Arial" w:cs="Arial"/>
        </w:rPr>
        <w:t xml:space="preserve">Classe III nas subseções IV (dissolução </w:t>
      </w:r>
      <w:r w:rsidR="00BA2162" w:rsidRPr="00A0418F">
        <w:rPr>
          <w:rFonts w:ascii="Arial" w:hAnsi="Arial" w:cs="Arial"/>
          <w:i/>
          <w:iCs/>
        </w:rPr>
        <w:t>in vitro</w:t>
      </w:r>
      <w:r w:rsidR="00BA2162">
        <w:rPr>
          <w:rFonts w:ascii="Arial" w:hAnsi="Arial" w:cs="Arial"/>
        </w:rPr>
        <w:t xml:space="preserve">) e V (excipientes) da Seção III, Capítulo II da RDC </w:t>
      </w:r>
      <w:r w:rsidR="00B37750">
        <w:rPr>
          <w:rFonts w:ascii="Arial" w:hAnsi="Arial" w:cs="Arial"/>
        </w:rPr>
        <w:t xml:space="preserve">nº </w:t>
      </w:r>
      <w:r w:rsidR="00BA2162">
        <w:rPr>
          <w:rFonts w:ascii="Arial" w:hAnsi="Arial" w:cs="Arial"/>
        </w:rPr>
        <w:t>749/2022.</w:t>
      </w:r>
    </w:p>
    <w:p w14:paraId="7FD8952F" w14:textId="77777777" w:rsidR="007C7047" w:rsidRDefault="007C7047" w:rsidP="007C7047">
      <w:pPr>
        <w:pStyle w:val="PargrafodaLista"/>
        <w:spacing w:after="0"/>
        <w:ind w:left="0" w:firstLine="851"/>
        <w:jc w:val="both"/>
        <w:rPr>
          <w:rFonts w:ascii="Arial" w:hAnsi="Arial" w:cs="Arial"/>
          <w:color w:val="FF0000"/>
          <w:highlight w:val="cyan"/>
        </w:rPr>
      </w:pPr>
    </w:p>
    <w:p w14:paraId="32E03BCA" w14:textId="77777777" w:rsidR="007C7047" w:rsidRPr="00F13A28" w:rsidRDefault="007C7047" w:rsidP="007C7047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Qual o método (condições experimentais) deve ser utilizado no estudo de perfil de dissolução comparativo no caso de </w:t>
      </w:r>
      <w:proofErr w:type="spellStart"/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Pr="00F13A2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pelo SCB?</w:t>
      </w:r>
    </w:p>
    <w:p w14:paraId="5F6276D8" w14:textId="77777777" w:rsidR="007C7047" w:rsidRPr="00F13A28" w:rsidRDefault="007C7047" w:rsidP="007C7047">
      <w:pPr>
        <w:pStyle w:val="PargrafodaLista"/>
        <w:spacing w:after="0"/>
        <w:ind w:left="0" w:firstLine="851"/>
        <w:jc w:val="both"/>
        <w:rPr>
          <w:rFonts w:ascii="Arial" w:hAnsi="Arial" w:cs="Arial"/>
          <w:color w:val="FF0000"/>
        </w:rPr>
      </w:pPr>
    </w:p>
    <w:p w14:paraId="5F761ABA" w14:textId="589BDDB8" w:rsidR="007C7047" w:rsidRPr="00F13A28" w:rsidRDefault="007C7047" w:rsidP="007C7047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F13A28">
        <w:rPr>
          <w:rFonts w:ascii="Arial" w:hAnsi="Arial" w:cs="Arial"/>
        </w:rPr>
        <w:t>O método é o padronizado e está detalhado no artigo 54 da RDC. O método deve ser devidamente validado, conforme previsto no artigo 55.</w:t>
      </w:r>
    </w:p>
    <w:p w14:paraId="6E95C557" w14:textId="02C09139" w:rsidR="007C7047" w:rsidRDefault="007C7047" w:rsidP="007C7047">
      <w:pPr>
        <w:pStyle w:val="PargrafodaLista"/>
        <w:spacing w:after="0"/>
        <w:ind w:left="0" w:firstLine="851"/>
        <w:jc w:val="both"/>
        <w:rPr>
          <w:rFonts w:ascii="Arial" w:hAnsi="Arial" w:cs="Arial"/>
          <w:highlight w:val="cyan"/>
        </w:rPr>
      </w:pPr>
    </w:p>
    <w:p w14:paraId="243EBDB2" w14:textId="6AA6D3FC" w:rsidR="00110B3E" w:rsidRDefault="000C155D" w:rsidP="00F931C3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Qual documentação</w:t>
      </w:r>
      <w:r w:rsidR="00997A5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deve ser apresentada para </w:t>
      </w:r>
      <w:r w:rsidR="00AF0542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solicitação de </w:t>
      </w:r>
      <w:proofErr w:type="spellStart"/>
      <w:r w:rsidR="005320BD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="005320B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pelo SCB?</w:t>
      </w:r>
    </w:p>
    <w:p w14:paraId="5E090231" w14:textId="294FF092" w:rsidR="005320BD" w:rsidRDefault="005320BD" w:rsidP="005320BD">
      <w:pPr>
        <w:pStyle w:val="PargrafodaLista"/>
        <w:spacing w:after="0"/>
        <w:ind w:left="36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44358052" w14:textId="528B6EB2" w:rsidR="005320BD" w:rsidRDefault="00703032" w:rsidP="00CE2079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 w:rsidRPr="00CE2079">
        <w:rPr>
          <w:rFonts w:ascii="Arial" w:hAnsi="Arial" w:cs="Arial"/>
        </w:rPr>
        <w:t xml:space="preserve">A documentação </w:t>
      </w:r>
      <w:r w:rsidR="00F20ECF" w:rsidRPr="00CE2079">
        <w:rPr>
          <w:rFonts w:ascii="Arial" w:hAnsi="Arial" w:cs="Arial"/>
        </w:rPr>
        <w:t>para</w:t>
      </w:r>
      <w:r w:rsidR="00F83D1C" w:rsidRPr="00CE2079">
        <w:rPr>
          <w:rFonts w:ascii="Arial" w:hAnsi="Arial" w:cs="Arial"/>
        </w:rPr>
        <w:t xml:space="preserve"> solicitação de </w:t>
      </w:r>
      <w:proofErr w:type="spellStart"/>
      <w:r w:rsidR="00F83D1C" w:rsidRPr="00CE2079">
        <w:rPr>
          <w:rFonts w:ascii="Arial" w:hAnsi="Arial" w:cs="Arial"/>
        </w:rPr>
        <w:t>bioisenção</w:t>
      </w:r>
      <w:proofErr w:type="spellEnd"/>
      <w:r w:rsidR="00F83D1C" w:rsidRPr="00CE2079">
        <w:rPr>
          <w:rFonts w:ascii="Arial" w:hAnsi="Arial" w:cs="Arial"/>
        </w:rPr>
        <w:t xml:space="preserve"> pelo SCB </w:t>
      </w:r>
      <w:r w:rsidR="00601A84" w:rsidRPr="00CE2079">
        <w:rPr>
          <w:rFonts w:ascii="Arial" w:hAnsi="Arial" w:cs="Arial"/>
        </w:rPr>
        <w:t xml:space="preserve">deve seguir o </w:t>
      </w:r>
      <w:r w:rsidR="002712FA" w:rsidRPr="002D432E">
        <w:rPr>
          <w:rFonts w:ascii="Arial" w:hAnsi="Arial" w:cs="Arial"/>
          <w:b/>
          <w:bCs/>
        </w:rPr>
        <w:t xml:space="preserve">Modelo de relatório para solicitação de </w:t>
      </w:r>
      <w:proofErr w:type="spellStart"/>
      <w:r w:rsidR="002712FA" w:rsidRPr="002D432E">
        <w:rPr>
          <w:rFonts w:ascii="Arial" w:hAnsi="Arial" w:cs="Arial"/>
          <w:b/>
          <w:bCs/>
        </w:rPr>
        <w:t>bioisenção</w:t>
      </w:r>
      <w:proofErr w:type="spellEnd"/>
      <w:r w:rsidR="002712FA" w:rsidRPr="002D432E">
        <w:rPr>
          <w:rFonts w:ascii="Arial" w:hAnsi="Arial" w:cs="Arial"/>
          <w:b/>
          <w:bCs/>
        </w:rPr>
        <w:t xml:space="preserve"> baseada no sistema de </w:t>
      </w:r>
      <w:r w:rsidR="002712FA" w:rsidRPr="002D432E">
        <w:rPr>
          <w:rFonts w:ascii="Arial" w:hAnsi="Arial" w:cs="Arial"/>
          <w:b/>
          <w:bCs/>
        </w:rPr>
        <w:lastRenderedPageBreak/>
        <w:t>classificação biofarmacêutica (SCB)</w:t>
      </w:r>
      <w:r w:rsidR="00F2733E" w:rsidRPr="002D432E">
        <w:rPr>
          <w:rFonts w:ascii="Arial" w:hAnsi="Arial" w:cs="Arial"/>
          <w:b/>
          <w:bCs/>
        </w:rPr>
        <w:t>,</w:t>
      </w:r>
      <w:r w:rsidR="00F20ECF" w:rsidRPr="00CE2079">
        <w:rPr>
          <w:rFonts w:ascii="Arial" w:hAnsi="Arial" w:cs="Arial"/>
        </w:rPr>
        <w:t xml:space="preserve"> </w:t>
      </w:r>
      <w:r w:rsidR="00AD69A2">
        <w:rPr>
          <w:rFonts w:ascii="Arial" w:hAnsi="Arial" w:cs="Arial"/>
        </w:rPr>
        <w:t xml:space="preserve">disponível </w:t>
      </w:r>
      <w:r w:rsidR="00F2733E">
        <w:rPr>
          <w:rFonts w:ascii="Arial" w:hAnsi="Arial" w:cs="Arial"/>
        </w:rPr>
        <w:t xml:space="preserve">no site da Agência, </w:t>
      </w:r>
      <w:r w:rsidR="002D432E">
        <w:rPr>
          <w:rFonts w:ascii="Arial" w:hAnsi="Arial" w:cs="Arial"/>
        </w:rPr>
        <w:t>e</w:t>
      </w:r>
      <w:r w:rsidR="002D432E" w:rsidRPr="00CE2079">
        <w:rPr>
          <w:rFonts w:ascii="Arial" w:hAnsi="Arial" w:cs="Arial"/>
        </w:rPr>
        <w:t xml:space="preserve"> ser protocolada à </w:t>
      </w:r>
      <w:r w:rsidR="003B6BFF">
        <w:rPr>
          <w:rFonts w:ascii="Arial" w:hAnsi="Arial" w:cs="Arial"/>
        </w:rPr>
        <w:t>Anvisa</w:t>
      </w:r>
      <w:r w:rsidR="003B6BFF" w:rsidRPr="00CE2079">
        <w:rPr>
          <w:rFonts w:ascii="Arial" w:hAnsi="Arial" w:cs="Arial"/>
        </w:rPr>
        <w:t xml:space="preserve"> </w:t>
      </w:r>
      <w:r w:rsidR="00CE2079" w:rsidRPr="00CE2079">
        <w:rPr>
          <w:rFonts w:ascii="Arial" w:hAnsi="Arial" w:cs="Arial"/>
        </w:rPr>
        <w:t xml:space="preserve">por meio dos seguintes códigos de assunto: </w:t>
      </w:r>
    </w:p>
    <w:p w14:paraId="4A228139" w14:textId="77777777" w:rsidR="003E79DC" w:rsidRDefault="003E79DC" w:rsidP="00CE2079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p w14:paraId="53A9E04F" w14:textId="77777777" w:rsidR="007C1076" w:rsidRDefault="007C1076" w:rsidP="00CE2079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</w:p>
    <w:tbl>
      <w:tblPr>
        <w:tblStyle w:val="Tabelacomgrade"/>
        <w:tblW w:w="8563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235"/>
        <w:gridCol w:w="7328"/>
      </w:tblGrid>
      <w:tr w:rsidR="007C1076" w14:paraId="759B96E9" w14:textId="77777777" w:rsidTr="00427D5C">
        <w:trPr>
          <w:trHeight w:val="295"/>
        </w:trPr>
        <w:tc>
          <w:tcPr>
            <w:tcW w:w="1235" w:type="dxa"/>
            <w:shd w:val="clear" w:color="auto" w:fill="2E74B5" w:themeFill="accent1" w:themeFillShade="BF"/>
          </w:tcPr>
          <w:p w14:paraId="3C83163F" w14:textId="77777777" w:rsidR="007C1076" w:rsidRPr="00F0486A" w:rsidRDefault="007C1076" w:rsidP="00427D5C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7328" w:type="dxa"/>
            <w:shd w:val="clear" w:color="auto" w:fill="2E74B5" w:themeFill="accent1" w:themeFillShade="BF"/>
          </w:tcPr>
          <w:p w14:paraId="0BF94A14" w14:textId="77777777" w:rsidR="007C1076" w:rsidRPr="00F0486A" w:rsidRDefault="007C1076" w:rsidP="00427D5C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Assunto</w:t>
            </w:r>
          </w:p>
        </w:tc>
      </w:tr>
      <w:tr w:rsidR="007C1076" w:rsidRPr="007E3647" w14:paraId="0EAD8924" w14:textId="77777777" w:rsidTr="00427D5C">
        <w:trPr>
          <w:trHeight w:val="271"/>
        </w:trPr>
        <w:tc>
          <w:tcPr>
            <w:tcW w:w="1235" w:type="dxa"/>
          </w:tcPr>
          <w:p w14:paraId="6CF96AF1" w14:textId="121B5C51" w:rsidR="007C1076" w:rsidRPr="007E3647" w:rsidRDefault="007C1076" w:rsidP="00427D5C">
            <w:pPr>
              <w:pStyle w:val="PargrafodaLista"/>
              <w:ind w:left="0"/>
              <w:rPr>
                <w:rFonts w:ascii="Arial" w:hAnsi="Arial" w:cs="Arial"/>
              </w:rPr>
            </w:pPr>
            <w:r w:rsidRPr="008A2440">
              <w:rPr>
                <w:rFonts w:ascii="Arial" w:hAnsi="Arial" w:cs="Arial"/>
              </w:rPr>
              <w:t>11631</w:t>
            </w:r>
          </w:p>
        </w:tc>
        <w:tc>
          <w:tcPr>
            <w:tcW w:w="7328" w:type="dxa"/>
          </w:tcPr>
          <w:p w14:paraId="37889AF5" w14:textId="3089507C" w:rsidR="007C1076" w:rsidRPr="007E3647" w:rsidRDefault="007C1076" w:rsidP="00427D5C">
            <w:pPr>
              <w:pStyle w:val="PargrafodaLista"/>
              <w:ind w:left="0"/>
              <w:rPr>
                <w:rFonts w:ascii="Arial" w:hAnsi="Arial" w:cs="Arial"/>
              </w:rPr>
            </w:pPr>
            <w:r w:rsidRPr="008A2440">
              <w:rPr>
                <w:rFonts w:ascii="Arial" w:hAnsi="Arial" w:cs="Arial"/>
              </w:rPr>
              <w:t xml:space="preserve">GENÉRICO - Estudo de </w:t>
            </w:r>
            <w:proofErr w:type="spellStart"/>
            <w:r w:rsidRPr="008A2440">
              <w:rPr>
                <w:rFonts w:ascii="Arial" w:hAnsi="Arial" w:cs="Arial"/>
              </w:rPr>
              <w:t>bioisenção</w:t>
            </w:r>
            <w:proofErr w:type="spellEnd"/>
          </w:p>
        </w:tc>
      </w:tr>
      <w:tr w:rsidR="007C1076" w:rsidRPr="007E3647" w14:paraId="3ADBDADA" w14:textId="77777777" w:rsidTr="00427D5C">
        <w:trPr>
          <w:trHeight w:val="271"/>
        </w:trPr>
        <w:tc>
          <w:tcPr>
            <w:tcW w:w="1235" w:type="dxa"/>
          </w:tcPr>
          <w:p w14:paraId="3272DF47" w14:textId="0A1A31F3" w:rsidR="007C1076" w:rsidRPr="007E3647" w:rsidRDefault="007C1076" w:rsidP="00427D5C">
            <w:pPr>
              <w:pStyle w:val="PargrafodaLista"/>
              <w:ind w:left="0"/>
              <w:rPr>
                <w:rFonts w:ascii="Arial" w:hAnsi="Arial" w:cs="Arial"/>
              </w:rPr>
            </w:pPr>
            <w:r w:rsidRPr="00FC36A4">
              <w:rPr>
                <w:rFonts w:ascii="Arial" w:hAnsi="Arial" w:cs="Arial"/>
              </w:rPr>
              <w:t>11633</w:t>
            </w:r>
          </w:p>
        </w:tc>
        <w:tc>
          <w:tcPr>
            <w:tcW w:w="7328" w:type="dxa"/>
          </w:tcPr>
          <w:p w14:paraId="7BEC7F48" w14:textId="7071FF78" w:rsidR="007C1076" w:rsidRPr="007E3647" w:rsidRDefault="007C1076" w:rsidP="00427D5C">
            <w:pPr>
              <w:pStyle w:val="PargrafodaLista"/>
              <w:ind w:left="0"/>
              <w:rPr>
                <w:rFonts w:ascii="Arial" w:hAnsi="Arial" w:cs="Arial"/>
              </w:rPr>
            </w:pPr>
            <w:r w:rsidRPr="00FC36A4">
              <w:rPr>
                <w:rFonts w:ascii="Arial" w:hAnsi="Arial" w:cs="Arial"/>
              </w:rPr>
              <w:t xml:space="preserve">SIMILAR - Estudo de </w:t>
            </w:r>
            <w:proofErr w:type="spellStart"/>
            <w:r w:rsidRPr="00FC36A4">
              <w:rPr>
                <w:rFonts w:ascii="Arial" w:hAnsi="Arial" w:cs="Arial"/>
              </w:rPr>
              <w:t>bioisenção</w:t>
            </w:r>
            <w:proofErr w:type="spellEnd"/>
          </w:p>
        </w:tc>
      </w:tr>
    </w:tbl>
    <w:p w14:paraId="52F45729" w14:textId="77777777" w:rsidR="007C1076" w:rsidRDefault="007C1076" w:rsidP="007330C9">
      <w:pPr>
        <w:spacing w:after="0"/>
        <w:ind w:firstLine="709"/>
        <w:jc w:val="both"/>
        <w:rPr>
          <w:rFonts w:ascii="Arial" w:hAnsi="Arial" w:cs="Arial"/>
        </w:rPr>
      </w:pPr>
    </w:p>
    <w:p w14:paraId="085827A4" w14:textId="374671FD" w:rsidR="008E2802" w:rsidRPr="007330C9" w:rsidRDefault="008E2802" w:rsidP="007330C9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dados </w:t>
      </w:r>
      <w:r w:rsidR="00B24698">
        <w:rPr>
          <w:rFonts w:ascii="Arial" w:hAnsi="Arial" w:cs="Arial"/>
        </w:rPr>
        <w:t>refe</w:t>
      </w:r>
      <w:r w:rsidR="00394A60">
        <w:rPr>
          <w:rFonts w:ascii="Arial" w:hAnsi="Arial" w:cs="Arial"/>
        </w:rPr>
        <w:t xml:space="preserve">rentes ao </w:t>
      </w:r>
      <w:r w:rsidR="00394A60" w:rsidRPr="00394A60">
        <w:rPr>
          <w:rFonts w:ascii="Arial" w:hAnsi="Arial" w:cs="Arial"/>
        </w:rPr>
        <w:t xml:space="preserve">relatório para solicitação de </w:t>
      </w:r>
      <w:proofErr w:type="spellStart"/>
      <w:r w:rsidR="00394A60" w:rsidRPr="00394A60">
        <w:rPr>
          <w:rFonts w:ascii="Arial" w:hAnsi="Arial" w:cs="Arial"/>
        </w:rPr>
        <w:t>bioisenção</w:t>
      </w:r>
      <w:proofErr w:type="spellEnd"/>
      <w:r w:rsidR="00394A60" w:rsidRPr="00394A60">
        <w:rPr>
          <w:rFonts w:ascii="Arial" w:hAnsi="Arial" w:cs="Arial"/>
        </w:rPr>
        <w:t xml:space="preserve"> baseada no sistema de classificação biofarmacêutica (SCB)</w:t>
      </w:r>
      <w:r w:rsidR="00394A60">
        <w:rPr>
          <w:rFonts w:ascii="Arial" w:hAnsi="Arial" w:cs="Arial"/>
        </w:rPr>
        <w:t xml:space="preserve"> </w:t>
      </w:r>
      <w:r w:rsidR="00394A60" w:rsidRPr="00AA1A70">
        <w:rPr>
          <w:rFonts w:ascii="Arial" w:hAnsi="Arial" w:cs="Arial"/>
        </w:rPr>
        <w:t xml:space="preserve">devem ser apresentados </w:t>
      </w:r>
      <w:r w:rsidR="009B6017" w:rsidRPr="00AA1A70">
        <w:rPr>
          <w:rFonts w:ascii="Arial" w:hAnsi="Arial" w:cs="Arial"/>
        </w:rPr>
        <w:t>pelos códigos descritos acima</w:t>
      </w:r>
      <w:r w:rsidR="00AA1A70">
        <w:rPr>
          <w:rFonts w:ascii="Arial" w:hAnsi="Arial" w:cs="Arial"/>
        </w:rPr>
        <w:t xml:space="preserve"> e, em caso de </w:t>
      </w:r>
      <w:r w:rsidR="009B6017" w:rsidRPr="00AA1A70">
        <w:rPr>
          <w:rFonts w:ascii="Arial" w:hAnsi="Arial" w:cs="Arial"/>
        </w:rPr>
        <w:t>formato CTD</w:t>
      </w:r>
      <w:r w:rsidR="00EC0B2B">
        <w:rPr>
          <w:rFonts w:ascii="Arial" w:hAnsi="Arial" w:cs="Arial"/>
        </w:rPr>
        <w:t>,</w:t>
      </w:r>
      <w:r w:rsidR="009B6017" w:rsidRPr="00AA1A70">
        <w:rPr>
          <w:rFonts w:ascii="Arial" w:hAnsi="Arial" w:cs="Arial"/>
        </w:rPr>
        <w:t xml:space="preserve"> n</w:t>
      </w:r>
      <w:r w:rsidR="00B6019D" w:rsidRPr="00AA1A70">
        <w:rPr>
          <w:rFonts w:ascii="Arial" w:hAnsi="Arial" w:cs="Arial"/>
        </w:rPr>
        <w:t>o módulo</w:t>
      </w:r>
      <w:r w:rsidR="009B6017" w:rsidRPr="00AA1A70">
        <w:rPr>
          <w:rFonts w:ascii="Arial" w:hAnsi="Arial" w:cs="Arial"/>
        </w:rPr>
        <w:t xml:space="preserve"> </w:t>
      </w:r>
      <w:r w:rsidR="00B6019D" w:rsidRPr="00AA1A70">
        <w:rPr>
          <w:rFonts w:ascii="Arial" w:hAnsi="Arial" w:cs="Arial"/>
        </w:rPr>
        <w:t>5.</w:t>
      </w:r>
      <w:r w:rsidR="00B6019D">
        <w:rPr>
          <w:rFonts w:ascii="Arial" w:hAnsi="Arial" w:cs="Arial"/>
        </w:rPr>
        <w:t xml:space="preserve"> </w:t>
      </w:r>
    </w:p>
    <w:p w14:paraId="59FCCB17" w14:textId="77777777" w:rsidR="005802AF" w:rsidRDefault="005802AF" w:rsidP="005802AF">
      <w:pPr>
        <w:spacing w:after="0"/>
        <w:jc w:val="both"/>
        <w:rPr>
          <w:rFonts w:ascii="Arial" w:hAnsi="Arial" w:cs="Arial"/>
        </w:rPr>
      </w:pPr>
    </w:p>
    <w:p w14:paraId="3A4EFE5F" w14:textId="4FE6FAE9" w:rsidR="00731803" w:rsidRDefault="00731803" w:rsidP="001D64B2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dados de </w:t>
      </w:r>
      <w:r w:rsidR="0083747A">
        <w:rPr>
          <w:rFonts w:ascii="Arial" w:hAnsi="Arial" w:cs="Arial"/>
        </w:rPr>
        <w:t>formulação</w:t>
      </w:r>
      <w:r>
        <w:rPr>
          <w:rFonts w:ascii="Arial" w:hAnsi="Arial" w:cs="Arial"/>
        </w:rPr>
        <w:t xml:space="preserve"> referente</w:t>
      </w:r>
      <w:r w:rsidR="008374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bioisenção</w:t>
      </w:r>
      <w:proofErr w:type="spellEnd"/>
      <w:r>
        <w:rPr>
          <w:rFonts w:ascii="Arial" w:hAnsi="Arial" w:cs="Arial"/>
        </w:rPr>
        <w:t xml:space="preserve"> pelo SCB devem ser enviados </w:t>
      </w:r>
      <w:r w:rsidR="00BF32AD">
        <w:rPr>
          <w:rFonts w:ascii="Arial" w:hAnsi="Arial" w:cs="Arial"/>
        </w:rPr>
        <w:t>na seção 3.2.P.2</w:t>
      </w:r>
      <w:r w:rsidR="00954B6D">
        <w:rPr>
          <w:rFonts w:ascii="Arial" w:hAnsi="Arial" w:cs="Arial"/>
        </w:rPr>
        <w:t xml:space="preserve"> para submissões em formato CTD e no item </w:t>
      </w:r>
      <w:r w:rsidR="00EC14AB">
        <w:rPr>
          <w:rFonts w:ascii="Arial" w:hAnsi="Arial" w:cs="Arial"/>
        </w:rPr>
        <w:t xml:space="preserve">16 do </w:t>
      </w:r>
      <w:proofErr w:type="spellStart"/>
      <w:r w:rsidR="00EC14AB" w:rsidRPr="007330C9">
        <w:rPr>
          <w:rFonts w:ascii="Arial" w:hAnsi="Arial" w:cs="Arial"/>
          <w:i/>
          <w:iCs/>
        </w:rPr>
        <w:t>check-list</w:t>
      </w:r>
      <w:proofErr w:type="spellEnd"/>
      <w:r w:rsidR="00EC14AB">
        <w:rPr>
          <w:rFonts w:ascii="Arial" w:hAnsi="Arial" w:cs="Arial"/>
        </w:rPr>
        <w:t xml:space="preserve"> de similares e </w:t>
      </w:r>
      <w:r w:rsidR="001D64B2">
        <w:rPr>
          <w:rFonts w:ascii="Arial" w:hAnsi="Arial" w:cs="Arial"/>
        </w:rPr>
        <w:t>genéricos</w:t>
      </w:r>
      <w:r w:rsidR="00EC14AB">
        <w:rPr>
          <w:rFonts w:ascii="Arial" w:hAnsi="Arial" w:cs="Arial"/>
        </w:rPr>
        <w:t xml:space="preserve"> para submissões que não seguem o formato CTD</w:t>
      </w:r>
      <w:r w:rsidR="001D64B2">
        <w:rPr>
          <w:rFonts w:ascii="Arial" w:hAnsi="Arial" w:cs="Arial"/>
        </w:rPr>
        <w:t>.</w:t>
      </w:r>
    </w:p>
    <w:p w14:paraId="4121DA3E" w14:textId="184C7FDE" w:rsidR="003B51D1" w:rsidRDefault="003B51D1" w:rsidP="006F49D1">
      <w:pPr>
        <w:pStyle w:val="PargrafodaLista"/>
        <w:spacing w:after="0"/>
        <w:ind w:left="0" w:firstLine="851"/>
        <w:jc w:val="both"/>
        <w:rPr>
          <w:rFonts w:ascii="Arial" w:hAnsi="Arial" w:cs="Arial"/>
          <w:highlight w:val="cyan"/>
        </w:rPr>
      </w:pPr>
    </w:p>
    <w:p w14:paraId="1E58B5ED" w14:textId="19AAF883" w:rsidR="003065D8" w:rsidRPr="00C76B62" w:rsidRDefault="00AC5A11" w:rsidP="003065D8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AC5A11">
        <w:rPr>
          <w:rFonts w:ascii="Arial" w:hAnsi="Arial" w:cs="Arial"/>
          <w:b/>
          <w:color w:val="2E74B5" w:themeColor="accent1" w:themeShade="BF"/>
          <w:sz w:val="24"/>
          <w:szCs w:val="24"/>
        </w:rPr>
        <w:t>A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s</w:t>
      </w:r>
      <w:r w:rsidRPr="00AC5A1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variaç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ões previstas </w:t>
      </w:r>
      <w:r w:rsidRPr="00AC5A11">
        <w:rPr>
          <w:rFonts w:ascii="Arial" w:hAnsi="Arial" w:cs="Arial"/>
          <w:b/>
          <w:color w:val="2E74B5" w:themeColor="accent1" w:themeShade="BF"/>
          <w:sz w:val="24"/>
          <w:szCs w:val="24"/>
        </w:rPr>
        <w:t>no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s</w:t>
      </w:r>
      <w:r w:rsidRPr="00AC5A1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AC5A11">
        <w:rPr>
          <w:rFonts w:ascii="Arial" w:hAnsi="Arial" w:cs="Arial"/>
          <w:b/>
          <w:color w:val="2E74B5" w:themeColor="accent1" w:themeShade="BF"/>
          <w:sz w:val="24"/>
          <w:szCs w:val="24"/>
        </w:rPr>
        <w:t>Art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s</w:t>
      </w:r>
      <w:proofErr w:type="spellEnd"/>
      <w:r w:rsidRPr="00AC5A1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.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66, 67 e anexo</w:t>
      </w:r>
      <w:r w:rsidRPr="00AC5A1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da RDC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são</w:t>
      </w:r>
      <w:r w:rsidRPr="00AC5A1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referente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s</w:t>
      </w:r>
      <w:r w:rsidRPr="00AC5A1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à formulação do medicamento comparador</w:t>
      </w:r>
      <w:r w:rsidR="003065D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? </w:t>
      </w:r>
      <w:r w:rsidR="00707A25">
        <w:rPr>
          <w:rFonts w:ascii="Arial" w:hAnsi="Arial" w:cs="Arial"/>
          <w:b/>
          <w:color w:val="2E74B5" w:themeColor="accent1" w:themeShade="BF"/>
          <w:sz w:val="24"/>
          <w:szCs w:val="24"/>
        </w:rPr>
        <w:t>Se sim, c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omo </w:t>
      </w:r>
      <w:r w:rsidR="00707A2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ela deverá ser </w:t>
      </w:r>
      <w:r w:rsidR="001C69D9">
        <w:rPr>
          <w:rFonts w:ascii="Arial" w:hAnsi="Arial" w:cs="Arial"/>
          <w:b/>
          <w:color w:val="2E74B5" w:themeColor="accent1" w:themeShade="BF"/>
          <w:sz w:val="24"/>
          <w:szCs w:val="24"/>
        </w:rPr>
        <w:t>obtida?</w:t>
      </w:r>
    </w:p>
    <w:p w14:paraId="4C480815" w14:textId="77777777" w:rsidR="003065D8" w:rsidRDefault="003065D8" w:rsidP="003065D8">
      <w:pPr>
        <w:spacing w:after="0"/>
        <w:ind w:firstLine="851"/>
        <w:jc w:val="both"/>
        <w:rPr>
          <w:rFonts w:ascii="Arial" w:hAnsi="Arial" w:cs="Arial"/>
        </w:rPr>
      </w:pPr>
    </w:p>
    <w:p w14:paraId="026AF64F" w14:textId="2E2FAA66" w:rsidR="003065D8" w:rsidRDefault="003065D8" w:rsidP="003065D8">
      <w:pPr>
        <w:spacing w:after="0"/>
        <w:ind w:firstLine="851"/>
        <w:jc w:val="both"/>
        <w:rPr>
          <w:rFonts w:ascii="Arial" w:hAnsi="Arial" w:cs="Arial"/>
        </w:rPr>
      </w:pPr>
      <w:r w:rsidRPr="00B42C0B">
        <w:rPr>
          <w:rFonts w:ascii="Arial" w:hAnsi="Arial" w:cs="Arial"/>
        </w:rPr>
        <w:t>A variação será avaliada frente à fórmula</w:t>
      </w:r>
      <w:r w:rsidR="0004714C">
        <w:rPr>
          <w:rFonts w:ascii="Arial" w:hAnsi="Arial" w:cs="Arial"/>
        </w:rPr>
        <w:t xml:space="preserve"> (real)</w:t>
      </w:r>
      <w:r w:rsidRPr="00B42C0B">
        <w:rPr>
          <w:rFonts w:ascii="Arial" w:hAnsi="Arial" w:cs="Arial"/>
        </w:rPr>
        <w:t xml:space="preserve"> do medicamento de referência. Para atendimento desse requisito, a empresa deverá efetuar um estudo de </w:t>
      </w:r>
      <w:proofErr w:type="spellStart"/>
      <w:r w:rsidRPr="00B42C0B">
        <w:rPr>
          <w:rFonts w:ascii="Arial" w:hAnsi="Arial" w:cs="Arial"/>
        </w:rPr>
        <w:t>deformulação</w:t>
      </w:r>
      <w:proofErr w:type="spellEnd"/>
      <w:r>
        <w:rPr>
          <w:rFonts w:ascii="Arial" w:hAnsi="Arial" w:cs="Arial"/>
        </w:rPr>
        <w:t xml:space="preserve"> (ou engenharia reversa)</w:t>
      </w:r>
      <w:r w:rsidRPr="00B42C0B">
        <w:rPr>
          <w:rFonts w:ascii="Arial" w:hAnsi="Arial" w:cs="Arial"/>
        </w:rPr>
        <w:t xml:space="preserve"> com o medicamento de referência.</w:t>
      </w:r>
    </w:p>
    <w:p w14:paraId="036885F2" w14:textId="5BE7561A" w:rsidR="00961851" w:rsidRDefault="00961851" w:rsidP="003065D8">
      <w:pPr>
        <w:spacing w:after="0"/>
        <w:ind w:firstLine="851"/>
        <w:jc w:val="both"/>
        <w:rPr>
          <w:rFonts w:ascii="Arial" w:hAnsi="Arial" w:cs="Arial"/>
        </w:rPr>
      </w:pPr>
    </w:p>
    <w:p w14:paraId="711ECA65" w14:textId="4177687B" w:rsidR="00457E65" w:rsidRPr="00C76B62" w:rsidRDefault="00457E65" w:rsidP="00457E65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Qual o embasamento</w:t>
      </w:r>
      <w:r w:rsidR="00C92BFF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técnico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para </w:t>
      </w:r>
      <w:r w:rsidR="000A54E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os </w:t>
      </w:r>
      <w:r w:rsidR="00C92BFF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requisitos </w:t>
      </w:r>
      <w:r w:rsidR="000A54E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diferentes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para fármacos de classe I e III? </w:t>
      </w:r>
      <w:r w:rsidR="00C92BFF">
        <w:rPr>
          <w:rFonts w:ascii="Arial" w:hAnsi="Arial" w:cs="Arial"/>
          <w:b/>
          <w:color w:val="2E74B5" w:themeColor="accent1" w:themeShade="BF"/>
          <w:sz w:val="24"/>
          <w:szCs w:val="24"/>
        </w:rPr>
        <w:t>E no que diz respeito a excipientes?</w:t>
      </w:r>
    </w:p>
    <w:p w14:paraId="454766D9" w14:textId="77777777" w:rsidR="00457E65" w:rsidRDefault="00457E65" w:rsidP="00457E65">
      <w:pPr>
        <w:spacing w:after="0"/>
        <w:ind w:firstLine="851"/>
        <w:jc w:val="both"/>
        <w:rPr>
          <w:rFonts w:ascii="Arial" w:hAnsi="Arial" w:cs="Arial"/>
        </w:rPr>
      </w:pPr>
    </w:p>
    <w:p w14:paraId="4082F8AE" w14:textId="737FE019" w:rsidR="00C92BFF" w:rsidRDefault="00457E65" w:rsidP="00457E65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requisitos </w:t>
      </w:r>
      <w:r w:rsidR="00C92BFF">
        <w:rPr>
          <w:rFonts w:ascii="Arial" w:hAnsi="Arial" w:cs="Arial"/>
        </w:rPr>
        <w:t xml:space="preserve">para </w:t>
      </w:r>
      <w:proofErr w:type="spellStart"/>
      <w:r w:rsidR="00C92BFF">
        <w:rPr>
          <w:rFonts w:ascii="Arial" w:hAnsi="Arial" w:cs="Arial"/>
        </w:rPr>
        <w:t>bioisenção</w:t>
      </w:r>
      <w:proofErr w:type="spellEnd"/>
      <w:r w:rsidR="00C92BFF">
        <w:rPr>
          <w:rFonts w:ascii="Arial" w:hAnsi="Arial" w:cs="Arial"/>
        </w:rPr>
        <w:t xml:space="preserve"> baseada n</w:t>
      </w:r>
      <w:r w:rsidR="00B67164">
        <w:rPr>
          <w:rFonts w:ascii="Arial" w:hAnsi="Arial" w:cs="Arial"/>
        </w:rPr>
        <w:t>o</w:t>
      </w:r>
      <w:r w:rsidR="00C92BFF">
        <w:rPr>
          <w:rFonts w:ascii="Arial" w:hAnsi="Arial" w:cs="Arial"/>
        </w:rPr>
        <w:t xml:space="preserve"> SCB </w:t>
      </w:r>
      <w:r>
        <w:rPr>
          <w:rFonts w:ascii="Arial" w:hAnsi="Arial" w:cs="Arial"/>
        </w:rPr>
        <w:t xml:space="preserve">estão totalmente alinhados com o guia ICH M9. </w:t>
      </w:r>
    </w:p>
    <w:p w14:paraId="1A714B83" w14:textId="08C669E5" w:rsidR="007241CE" w:rsidRDefault="00C92BFF" w:rsidP="00457E65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241CE" w:rsidRPr="007241CE">
        <w:rPr>
          <w:rFonts w:ascii="Arial" w:hAnsi="Arial" w:cs="Arial"/>
        </w:rPr>
        <w:t xml:space="preserve"> cenário ideal para os produtos </w:t>
      </w:r>
      <w:proofErr w:type="spellStart"/>
      <w:r w:rsidR="007241CE" w:rsidRPr="007241CE">
        <w:rPr>
          <w:rFonts w:ascii="Arial" w:hAnsi="Arial" w:cs="Arial"/>
        </w:rPr>
        <w:t>bioisentos</w:t>
      </w:r>
      <w:proofErr w:type="spellEnd"/>
      <w:r w:rsidR="007241CE" w:rsidRPr="007241CE">
        <w:rPr>
          <w:rFonts w:ascii="Arial" w:hAnsi="Arial" w:cs="Arial"/>
        </w:rPr>
        <w:t xml:space="preserve"> é que eles sejam </w:t>
      </w:r>
      <w:proofErr w:type="spellStart"/>
      <w:r w:rsidR="007241CE" w:rsidRPr="007241CE">
        <w:rPr>
          <w:rFonts w:ascii="Arial" w:hAnsi="Arial" w:cs="Arial"/>
        </w:rPr>
        <w:t>quali</w:t>
      </w:r>
      <w:proofErr w:type="spellEnd"/>
      <w:r w:rsidR="007241CE" w:rsidRPr="007241CE">
        <w:rPr>
          <w:rFonts w:ascii="Arial" w:hAnsi="Arial" w:cs="Arial"/>
        </w:rPr>
        <w:t xml:space="preserve"> e quanti</w:t>
      </w:r>
      <w:r w:rsidR="001C69D9">
        <w:rPr>
          <w:rFonts w:ascii="Arial" w:hAnsi="Arial" w:cs="Arial"/>
        </w:rPr>
        <w:t>tativamente</w:t>
      </w:r>
      <w:r w:rsidR="007241CE" w:rsidRPr="007241CE">
        <w:rPr>
          <w:rFonts w:ascii="Arial" w:hAnsi="Arial" w:cs="Arial"/>
        </w:rPr>
        <w:t xml:space="preserve"> idênticos para minimizar o risco de </w:t>
      </w:r>
      <w:proofErr w:type="spellStart"/>
      <w:r w:rsidR="007241CE" w:rsidRPr="007241CE">
        <w:rPr>
          <w:rFonts w:ascii="Arial" w:hAnsi="Arial" w:cs="Arial"/>
        </w:rPr>
        <w:t>bioinequivalência</w:t>
      </w:r>
      <w:proofErr w:type="spellEnd"/>
      <w:r w:rsidR="007241CE" w:rsidRPr="007241CE">
        <w:rPr>
          <w:rFonts w:ascii="Arial" w:hAnsi="Arial" w:cs="Arial"/>
        </w:rPr>
        <w:t>.</w:t>
      </w:r>
      <w:r w:rsidR="007241CE">
        <w:rPr>
          <w:rFonts w:ascii="Arial" w:hAnsi="Arial" w:cs="Arial"/>
        </w:rPr>
        <w:t xml:space="preserve"> </w:t>
      </w:r>
    </w:p>
    <w:p w14:paraId="19E81CC1" w14:textId="61DEC419" w:rsidR="00051E04" w:rsidRDefault="00C92BFF" w:rsidP="00051E04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Destaca-se que o</w:t>
      </w:r>
      <w:r w:rsidR="00051E04">
        <w:rPr>
          <w:rFonts w:ascii="Arial" w:hAnsi="Arial" w:cs="Arial"/>
        </w:rPr>
        <w:t xml:space="preserve">s fármacos com alta permeabilidade (classe I) apresentam </w:t>
      </w:r>
      <w:r w:rsidR="00051E04" w:rsidRPr="00051E04">
        <w:rPr>
          <w:rFonts w:ascii="Arial" w:hAnsi="Arial" w:cs="Arial"/>
        </w:rPr>
        <w:t xml:space="preserve">flexibilidade </w:t>
      </w:r>
      <w:r w:rsidR="00051E04">
        <w:rPr>
          <w:rFonts w:ascii="Arial" w:hAnsi="Arial" w:cs="Arial"/>
        </w:rPr>
        <w:t>maior</w:t>
      </w:r>
      <w:r w:rsidR="00051E04" w:rsidRPr="00051E04">
        <w:rPr>
          <w:rFonts w:ascii="Arial" w:hAnsi="Arial" w:cs="Arial"/>
        </w:rPr>
        <w:t xml:space="preserve"> para alterações </w:t>
      </w:r>
      <w:r w:rsidR="00051E04">
        <w:rPr>
          <w:rFonts w:ascii="Arial" w:hAnsi="Arial" w:cs="Arial"/>
        </w:rPr>
        <w:t>em</w:t>
      </w:r>
      <w:r w:rsidR="00051E04" w:rsidRPr="00051E04">
        <w:rPr>
          <w:rFonts w:ascii="Arial" w:hAnsi="Arial" w:cs="Arial"/>
        </w:rPr>
        <w:t xml:space="preserve"> excipientes </w:t>
      </w:r>
      <w:r>
        <w:rPr>
          <w:rFonts w:ascii="Arial" w:hAnsi="Arial" w:cs="Arial"/>
        </w:rPr>
        <w:t xml:space="preserve">como também </w:t>
      </w:r>
      <w:r w:rsidR="00051E04" w:rsidRPr="00051E04">
        <w:rPr>
          <w:rFonts w:ascii="Arial" w:hAnsi="Arial" w:cs="Arial"/>
        </w:rPr>
        <w:t>critérios de dissolução mais amplos (ou seja, ≥</w:t>
      </w:r>
      <w:r w:rsidR="00051E04">
        <w:rPr>
          <w:rFonts w:ascii="Arial" w:hAnsi="Arial" w:cs="Arial"/>
        </w:rPr>
        <w:t xml:space="preserve"> </w:t>
      </w:r>
      <w:r w:rsidR="00051E04" w:rsidRPr="00051E04">
        <w:rPr>
          <w:rFonts w:ascii="Arial" w:hAnsi="Arial" w:cs="Arial"/>
        </w:rPr>
        <w:t>85% em 30</w:t>
      </w:r>
      <w:r w:rsidR="00051E04">
        <w:rPr>
          <w:rFonts w:ascii="Arial" w:hAnsi="Arial" w:cs="Arial"/>
        </w:rPr>
        <w:t xml:space="preserve"> </w:t>
      </w:r>
      <w:r w:rsidR="00051E04" w:rsidRPr="00051E04">
        <w:rPr>
          <w:rFonts w:ascii="Arial" w:hAnsi="Arial" w:cs="Arial"/>
        </w:rPr>
        <w:t>minutos)</w:t>
      </w:r>
      <w:r w:rsidR="00051E04">
        <w:rPr>
          <w:rFonts w:ascii="Arial" w:hAnsi="Arial" w:cs="Arial"/>
        </w:rPr>
        <w:t>.</w:t>
      </w:r>
    </w:p>
    <w:p w14:paraId="0E36FE59" w14:textId="1FDB0621" w:rsidR="00457E65" w:rsidRDefault="00C92BFF" w:rsidP="00457E65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51E04">
        <w:rPr>
          <w:rFonts w:ascii="Arial" w:hAnsi="Arial" w:cs="Arial"/>
        </w:rPr>
        <w:t>or fim, o</w:t>
      </w:r>
      <w:r w:rsidR="00457E65">
        <w:rPr>
          <w:rFonts w:ascii="Arial" w:hAnsi="Arial" w:cs="Arial"/>
        </w:rPr>
        <w:t xml:space="preserve"> não atendimento </w:t>
      </w:r>
      <w:r w:rsidR="002571B8">
        <w:rPr>
          <w:rFonts w:ascii="Arial" w:hAnsi="Arial" w:cs="Arial"/>
        </w:rPr>
        <w:t xml:space="preserve">dos </w:t>
      </w:r>
      <w:r w:rsidR="00051E04">
        <w:rPr>
          <w:rFonts w:ascii="Arial" w:hAnsi="Arial" w:cs="Arial"/>
        </w:rPr>
        <w:t xml:space="preserve">requisitos exigidos na RDC </w:t>
      </w:r>
      <w:r w:rsidR="00457E65">
        <w:rPr>
          <w:rFonts w:ascii="Arial" w:hAnsi="Arial" w:cs="Arial"/>
        </w:rPr>
        <w:t xml:space="preserve">ensejarão o indeferimento da </w:t>
      </w:r>
      <w:proofErr w:type="spellStart"/>
      <w:r w:rsidR="00457E65">
        <w:rPr>
          <w:rFonts w:ascii="Arial" w:hAnsi="Arial" w:cs="Arial"/>
        </w:rPr>
        <w:t>bioisenção</w:t>
      </w:r>
      <w:proofErr w:type="spellEnd"/>
      <w:r w:rsidR="00457E65">
        <w:rPr>
          <w:rFonts w:ascii="Arial" w:hAnsi="Arial" w:cs="Arial"/>
        </w:rPr>
        <w:t xml:space="preserve"> e</w:t>
      </w:r>
      <w:r w:rsidR="002571B8">
        <w:rPr>
          <w:rFonts w:ascii="Arial" w:hAnsi="Arial" w:cs="Arial"/>
        </w:rPr>
        <w:t xml:space="preserve">, </w:t>
      </w:r>
      <w:r w:rsidR="009F49E1">
        <w:rPr>
          <w:rFonts w:ascii="Arial" w:hAnsi="Arial" w:cs="Arial"/>
        </w:rPr>
        <w:t>por consequência</w:t>
      </w:r>
      <w:r w:rsidR="002571B8">
        <w:rPr>
          <w:rFonts w:ascii="Arial" w:hAnsi="Arial" w:cs="Arial"/>
        </w:rPr>
        <w:t xml:space="preserve">, </w:t>
      </w:r>
      <w:r w:rsidR="00457E65">
        <w:rPr>
          <w:rFonts w:ascii="Arial" w:hAnsi="Arial" w:cs="Arial"/>
        </w:rPr>
        <w:t>a petição de registro ou pós-registro será indeferida.</w:t>
      </w:r>
    </w:p>
    <w:p w14:paraId="55B3FBB5" w14:textId="77777777" w:rsidR="007C1076" w:rsidRDefault="007C1076" w:rsidP="002571B8">
      <w:pPr>
        <w:tabs>
          <w:tab w:val="left" w:pos="2600"/>
        </w:tabs>
        <w:spacing w:after="0"/>
        <w:ind w:firstLine="851"/>
        <w:jc w:val="both"/>
        <w:rPr>
          <w:rFonts w:ascii="Arial" w:hAnsi="Arial" w:cs="Arial"/>
        </w:rPr>
      </w:pPr>
    </w:p>
    <w:p w14:paraId="54DEFE55" w14:textId="3794775D" w:rsidR="00961851" w:rsidRPr="00B42C0B" w:rsidRDefault="002571B8" w:rsidP="002571B8">
      <w:pPr>
        <w:tabs>
          <w:tab w:val="left" w:pos="2600"/>
        </w:tabs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B1EADC" w14:textId="2EB28847" w:rsidR="000856E7" w:rsidRDefault="000856E7" w:rsidP="00123537">
      <w:pPr>
        <w:pStyle w:val="PargrafodaLista"/>
        <w:numPr>
          <w:ilvl w:val="1"/>
          <w:numId w:val="10"/>
        </w:numPr>
        <w:spacing w:after="0" w:line="276" w:lineRule="auto"/>
        <w:ind w:left="0" w:firstLine="0"/>
        <w:jc w:val="both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9" w:name="_Toc132733812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RDC </w:t>
      </w:r>
      <w:r w:rsidR="003E79D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nº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749/2022 – </w:t>
      </w:r>
      <w:r w:rsidR="00056056">
        <w:rPr>
          <w:rFonts w:ascii="Arial" w:hAnsi="Arial" w:cs="Arial"/>
          <w:b/>
          <w:color w:val="2E74B5" w:themeColor="accent1" w:themeShade="BF"/>
          <w:sz w:val="24"/>
          <w:szCs w:val="24"/>
        </w:rPr>
        <w:t>D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isposições finais e transitórias</w:t>
      </w:r>
      <w:bookmarkEnd w:id="9"/>
    </w:p>
    <w:p w14:paraId="0E5B7321" w14:textId="77777777" w:rsidR="000856E7" w:rsidRDefault="000856E7" w:rsidP="00A55C7A">
      <w:pPr>
        <w:pStyle w:val="PargrafodaLista"/>
        <w:spacing w:after="0"/>
        <w:ind w:left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0AC79DD1" w14:textId="5F0C576B" w:rsidR="000856E7" w:rsidRDefault="000856E7" w:rsidP="000856E7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Haverá algum prazo de adequação para medicamentos registrados pela via de </w:t>
      </w:r>
      <w:proofErr w:type="spellStart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já aprovados pela Agência?</w:t>
      </w:r>
    </w:p>
    <w:p w14:paraId="26FE0137" w14:textId="77777777" w:rsidR="000856E7" w:rsidRPr="00E730D9" w:rsidRDefault="000856E7" w:rsidP="000856E7">
      <w:pPr>
        <w:spacing w:after="0"/>
        <w:jc w:val="both"/>
        <w:rPr>
          <w:rFonts w:ascii="Arial" w:hAnsi="Arial" w:cs="Arial"/>
        </w:rPr>
      </w:pPr>
    </w:p>
    <w:p w14:paraId="2A7D0C4F" w14:textId="0A1C3092" w:rsidR="00BE0C8D" w:rsidRDefault="000856E7" w:rsidP="000856E7">
      <w:pPr>
        <w:pStyle w:val="PargrafodaLista"/>
        <w:spacing w:after="0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Não</w:t>
      </w:r>
      <w:r w:rsidR="00AF6648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 </w:t>
      </w:r>
      <w:r w:rsidR="00000FCC">
        <w:rPr>
          <w:rFonts w:ascii="Arial" w:hAnsi="Arial" w:cs="Arial"/>
        </w:rPr>
        <w:t xml:space="preserve">Anvisa </w:t>
      </w:r>
      <w:r w:rsidR="00AF6648">
        <w:rPr>
          <w:rFonts w:ascii="Arial" w:hAnsi="Arial" w:cs="Arial"/>
        </w:rPr>
        <w:t xml:space="preserve">também </w:t>
      </w:r>
      <w:r>
        <w:rPr>
          <w:rFonts w:ascii="Arial" w:hAnsi="Arial" w:cs="Arial"/>
        </w:rPr>
        <w:t xml:space="preserve">poderá </w:t>
      </w:r>
      <w:r w:rsidRPr="000856E7">
        <w:rPr>
          <w:rFonts w:ascii="Arial" w:hAnsi="Arial" w:cs="Arial"/>
        </w:rPr>
        <w:t>exigir provas adicionais de identidade e qualidade dos componentes de medicamento</w:t>
      </w:r>
      <w:r w:rsidR="00AF6648">
        <w:rPr>
          <w:rFonts w:ascii="Arial" w:hAnsi="Arial" w:cs="Arial"/>
        </w:rPr>
        <w:t>s</w:t>
      </w:r>
      <w:r w:rsidRPr="000856E7">
        <w:rPr>
          <w:rFonts w:ascii="Arial" w:hAnsi="Arial" w:cs="Arial"/>
        </w:rPr>
        <w:t xml:space="preserve"> aprovado</w:t>
      </w:r>
      <w:r w:rsidR="00AF6648">
        <w:rPr>
          <w:rFonts w:ascii="Arial" w:hAnsi="Arial" w:cs="Arial"/>
        </w:rPr>
        <w:t>s</w:t>
      </w:r>
      <w:r w:rsidRPr="000856E7">
        <w:rPr>
          <w:rFonts w:ascii="Arial" w:hAnsi="Arial" w:cs="Arial"/>
        </w:rPr>
        <w:t xml:space="preserve"> por meio do mecanismo da </w:t>
      </w:r>
      <w:proofErr w:type="spellStart"/>
      <w:r w:rsidRPr="000856E7">
        <w:rPr>
          <w:rFonts w:ascii="Arial" w:hAnsi="Arial" w:cs="Arial"/>
        </w:rPr>
        <w:t>bioisenção</w:t>
      </w:r>
      <w:proofErr w:type="spellEnd"/>
      <w:r w:rsidRPr="000856E7">
        <w:rPr>
          <w:rFonts w:ascii="Arial" w:hAnsi="Arial" w:cs="Arial"/>
        </w:rPr>
        <w:t xml:space="preserve">, ou requerer novas provas para comprovação de segurança e eficácia, incluindo o próprio estudo de bioequivalência, caso ocorram fatos novos que </w:t>
      </w:r>
      <w:r w:rsidR="001A0C6D" w:rsidRPr="000856E7">
        <w:rPr>
          <w:rFonts w:ascii="Arial" w:hAnsi="Arial" w:cs="Arial"/>
        </w:rPr>
        <w:t>deem</w:t>
      </w:r>
      <w:r w:rsidRPr="000856E7">
        <w:rPr>
          <w:rFonts w:ascii="Arial" w:hAnsi="Arial" w:cs="Arial"/>
        </w:rPr>
        <w:t xml:space="preserve"> ensejo a avaliações complementares, mesmo após a concessão do registro.</w:t>
      </w:r>
    </w:p>
    <w:p w14:paraId="3F035B9D" w14:textId="34392EE5" w:rsidR="00BE0C8D" w:rsidRDefault="00BE0C8D" w:rsidP="00A55C7A">
      <w:pPr>
        <w:pStyle w:val="PargrafodaLista"/>
        <w:spacing w:after="0"/>
        <w:ind w:left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0C8DB44" w14:textId="04906B8A" w:rsidR="003E79DC" w:rsidRDefault="003E79DC" w:rsidP="00A55C7A">
      <w:pPr>
        <w:pStyle w:val="PargrafodaLista"/>
        <w:spacing w:after="0"/>
        <w:ind w:left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337A4A93" w14:textId="214409C4" w:rsidR="003E79DC" w:rsidRDefault="003E79DC" w:rsidP="00A55C7A">
      <w:pPr>
        <w:pStyle w:val="PargrafodaLista"/>
        <w:spacing w:after="0"/>
        <w:ind w:left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4A3775E0" w14:textId="77777777" w:rsidR="003E79DC" w:rsidRDefault="003E79DC" w:rsidP="00A55C7A">
      <w:pPr>
        <w:pStyle w:val="PargrafodaLista"/>
        <w:spacing w:after="0"/>
        <w:ind w:left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3E12637" w14:textId="13CD1E26" w:rsidR="0037781E" w:rsidRDefault="0037781E" w:rsidP="00123537">
      <w:pPr>
        <w:pStyle w:val="PargrafodaLista"/>
        <w:numPr>
          <w:ilvl w:val="1"/>
          <w:numId w:val="10"/>
        </w:numPr>
        <w:spacing w:after="0" w:line="276" w:lineRule="auto"/>
        <w:ind w:left="0" w:firstLine="0"/>
        <w:jc w:val="both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10" w:name="_Toc132733813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IN </w:t>
      </w:r>
      <w:r w:rsidR="003E79D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nº </w:t>
      </w:r>
      <w:r w:rsidR="00A55C7A">
        <w:rPr>
          <w:rFonts w:ascii="Arial" w:hAnsi="Arial" w:cs="Arial"/>
          <w:b/>
          <w:color w:val="2E74B5" w:themeColor="accent1" w:themeShade="BF"/>
          <w:sz w:val="24"/>
          <w:szCs w:val="24"/>
        </w:rPr>
        <w:t>182/2022</w:t>
      </w:r>
      <w:bookmarkEnd w:id="10"/>
    </w:p>
    <w:p w14:paraId="677A1FF2" w14:textId="77777777" w:rsidR="00854C6F" w:rsidRDefault="00854C6F" w:rsidP="00854C6F">
      <w:pPr>
        <w:pStyle w:val="PargrafodaLista"/>
        <w:spacing w:after="0"/>
        <w:ind w:left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04D3F85F" w14:textId="56D77C13" w:rsidR="007B5724" w:rsidRDefault="007B5724" w:rsidP="00A93791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Os ensaios de permeabilidade </w:t>
      </w:r>
      <w:r w:rsidR="001E5689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usando células Caco-2 e sua validação </w:t>
      </w:r>
      <w:r w:rsidR="00F46B91">
        <w:rPr>
          <w:rFonts w:ascii="Arial" w:hAnsi="Arial" w:cs="Arial"/>
          <w:b/>
          <w:color w:val="2E74B5" w:themeColor="accent1" w:themeShade="BF"/>
          <w:sz w:val="24"/>
          <w:szCs w:val="24"/>
        </w:rPr>
        <w:t>devem ser realizados em centros certificados?</w:t>
      </w:r>
    </w:p>
    <w:p w14:paraId="23BFBA53" w14:textId="1774BFC4" w:rsidR="002E67D8" w:rsidRDefault="002E67D8" w:rsidP="002E67D8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3DA9204F" w14:textId="768007A9" w:rsidR="00C73E0D" w:rsidRPr="003D647B" w:rsidRDefault="002E67D8" w:rsidP="00B07692">
      <w:pPr>
        <w:spacing w:after="0"/>
        <w:ind w:firstLine="851"/>
        <w:jc w:val="both"/>
        <w:rPr>
          <w:rFonts w:ascii="Arial" w:hAnsi="Arial" w:cs="Arial"/>
        </w:rPr>
      </w:pPr>
      <w:r w:rsidRPr="003D647B">
        <w:rPr>
          <w:rFonts w:ascii="Arial" w:hAnsi="Arial" w:cs="Arial"/>
        </w:rPr>
        <w:t xml:space="preserve">Os ensaios de permeabilidade usando células Caco-2 e </w:t>
      </w:r>
      <w:r w:rsidR="00C8786D" w:rsidRPr="003D647B">
        <w:rPr>
          <w:rFonts w:ascii="Arial" w:hAnsi="Arial" w:cs="Arial"/>
        </w:rPr>
        <w:t>a validação do método devem ser realizad</w:t>
      </w:r>
      <w:r w:rsidR="00C73E0D" w:rsidRPr="003D647B">
        <w:rPr>
          <w:rFonts w:ascii="Arial" w:hAnsi="Arial" w:cs="Arial"/>
        </w:rPr>
        <w:t>o</w:t>
      </w:r>
      <w:r w:rsidR="00C8786D" w:rsidRPr="003D647B">
        <w:rPr>
          <w:rFonts w:ascii="Arial" w:hAnsi="Arial" w:cs="Arial"/>
        </w:rPr>
        <w:t xml:space="preserve">s em laboratório com expertise </w:t>
      </w:r>
      <w:r w:rsidR="00AC3B59" w:rsidRPr="003D647B">
        <w:rPr>
          <w:rFonts w:ascii="Arial" w:hAnsi="Arial" w:cs="Arial"/>
        </w:rPr>
        <w:t xml:space="preserve">na realização do ensaio e capaz de cumprir os critérios </w:t>
      </w:r>
      <w:r w:rsidR="0032232A" w:rsidRPr="003D647B">
        <w:rPr>
          <w:rFonts w:ascii="Arial" w:hAnsi="Arial" w:cs="Arial"/>
        </w:rPr>
        <w:t xml:space="preserve">da RDC </w:t>
      </w:r>
      <w:r w:rsidR="00AF6648">
        <w:rPr>
          <w:rFonts w:ascii="Arial" w:hAnsi="Arial" w:cs="Arial"/>
        </w:rPr>
        <w:t xml:space="preserve">nº </w:t>
      </w:r>
      <w:r w:rsidR="0032232A" w:rsidRPr="003D647B">
        <w:rPr>
          <w:rFonts w:ascii="Arial" w:hAnsi="Arial" w:cs="Arial"/>
        </w:rPr>
        <w:t>7</w:t>
      </w:r>
      <w:r w:rsidR="003D647B" w:rsidRPr="003D647B">
        <w:rPr>
          <w:rFonts w:ascii="Arial" w:hAnsi="Arial" w:cs="Arial"/>
        </w:rPr>
        <w:t>4</w:t>
      </w:r>
      <w:r w:rsidR="0032232A" w:rsidRPr="003D647B">
        <w:rPr>
          <w:rFonts w:ascii="Arial" w:hAnsi="Arial" w:cs="Arial"/>
        </w:rPr>
        <w:t xml:space="preserve">9/2022 e da IN </w:t>
      </w:r>
      <w:r w:rsidR="00AF6648">
        <w:rPr>
          <w:rFonts w:ascii="Arial" w:hAnsi="Arial" w:cs="Arial"/>
        </w:rPr>
        <w:t xml:space="preserve">nº </w:t>
      </w:r>
      <w:r w:rsidR="0032232A" w:rsidRPr="003D647B">
        <w:rPr>
          <w:rFonts w:ascii="Arial" w:hAnsi="Arial" w:cs="Arial"/>
        </w:rPr>
        <w:t>182/2022 para o ensaio</w:t>
      </w:r>
      <w:r w:rsidR="00C73E0D" w:rsidRPr="003D647B">
        <w:rPr>
          <w:rFonts w:ascii="Arial" w:hAnsi="Arial" w:cs="Arial"/>
        </w:rPr>
        <w:t xml:space="preserve">, não sendo requerida a realização em centros certificados pela </w:t>
      </w:r>
      <w:r w:rsidR="00AF6648">
        <w:rPr>
          <w:rFonts w:ascii="Arial" w:hAnsi="Arial" w:cs="Arial"/>
        </w:rPr>
        <w:t>Anvisa</w:t>
      </w:r>
      <w:r w:rsidR="00C73E0D" w:rsidRPr="003D647B">
        <w:rPr>
          <w:rFonts w:ascii="Arial" w:hAnsi="Arial" w:cs="Arial"/>
        </w:rPr>
        <w:t xml:space="preserve">. </w:t>
      </w:r>
    </w:p>
    <w:p w14:paraId="03B7CF22" w14:textId="3B1E042D" w:rsidR="007B5724" w:rsidRPr="007C1076" w:rsidRDefault="000E4AF0" w:rsidP="007C1076">
      <w:pPr>
        <w:spacing w:after="0"/>
        <w:ind w:firstLine="851"/>
        <w:jc w:val="both"/>
        <w:rPr>
          <w:rFonts w:ascii="Arial" w:hAnsi="Arial" w:cs="Arial"/>
        </w:rPr>
      </w:pPr>
      <w:r w:rsidRPr="003D647B">
        <w:rPr>
          <w:rFonts w:ascii="Arial" w:hAnsi="Arial" w:cs="Arial"/>
        </w:rPr>
        <w:t xml:space="preserve">Ainda, o laboratório deve ser capaz de fornecer toda a documentação </w:t>
      </w:r>
      <w:r w:rsidR="004B465C" w:rsidRPr="003D647B">
        <w:rPr>
          <w:rFonts w:ascii="Arial" w:hAnsi="Arial" w:cs="Arial"/>
        </w:rPr>
        <w:t xml:space="preserve">requerida para a solicitação de </w:t>
      </w:r>
      <w:proofErr w:type="spellStart"/>
      <w:r w:rsidR="004B465C" w:rsidRPr="003D647B">
        <w:rPr>
          <w:rFonts w:ascii="Arial" w:hAnsi="Arial" w:cs="Arial"/>
        </w:rPr>
        <w:t>bioisenção</w:t>
      </w:r>
      <w:proofErr w:type="spellEnd"/>
      <w:r w:rsidR="004B465C" w:rsidRPr="003D647B">
        <w:rPr>
          <w:rFonts w:ascii="Arial" w:hAnsi="Arial" w:cs="Arial"/>
        </w:rPr>
        <w:t xml:space="preserve"> pelo SCB definida em Modelo de Relatório disponível no site da Agência e apresentar </w:t>
      </w:r>
      <w:r w:rsidR="00B07692" w:rsidRPr="003D647B">
        <w:rPr>
          <w:rFonts w:ascii="Arial" w:hAnsi="Arial" w:cs="Arial"/>
        </w:rPr>
        <w:t>registros de rastreabilidade adequados.</w:t>
      </w:r>
      <w:r w:rsidR="00B07692" w:rsidRPr="00B07692">
        <w:rPr>
          <w:rFonts w:ascii="Arial" w:hAnsi="Arial" w:cs="Arial"/>
        </w:rPr>
        <w:t xml:space="preserve"> </w:t>
      </w:r>
    </w:p>
    <w:p w14:paraId="441CF95B" w14:textId="77777777" w:rsidR="007B5724" w:rsidRDefault="007B5724" w:rsidP="00A55C7A">
      <w:pPr>
        <w:pStyle w:val="PargrafodaLista"/>
        <w:spacing w:after="0"/>
        <w:ind w:left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65E905E8" w14:textId="77777777" w:rsidR="007C1076" w:rsidRDefault="007C1076" w:rsidP="00A55C7A">
      <w:pPr>
        <w:pStyle w:val="PargrafodaLista"/>
        <w:spacing w:after="0"/>
        <w:ind w:left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A07E0DB" w14:textId="0541D2C0" w:rsidR="00DB070A" w:rsidRDefault="00A55C7A" w:rsidP="00123537">
      <w:pPr>
        <w:pStyle w:val="PargrafodaLista"/>
        <w:numPr>
          <w:ilvl w:val="1"/>
          <w:numId w:val="10"/>
        </w:numPr>
        <w:spacing w:after="0" w:line="276" w:lineRule="auto"/>
        <w:ind w:left="0" w:firstLine="0"/>
        <w:jc w:val="both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11" w:name="_Toc132733814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IN </w:t>
      </w:r>
      <w:r w:rsidR="003E79D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nº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183/2022</w:t>
      </w:r>
      <w:bookmarkEnd w:id="11"/>
    </w:p>
    <w:p w14:paraId="7757EC83" w14:textId="0342E424" w:rsidR="00854C6F" w:rsidRDefault="00854C6F" w:rsidP="00854C6F">
      <w:pPr>
        <w:pStyle w:val="PargrafodaLista"/>
        <w:spacing w:after="0"/>
        <w:ind w:left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6EDC44C" w14:textId="1BC0035B" w:rsidR="007C7047" w:rsidRPr="007330C9" w:rsidRDefault="007C7047" w:rsidP="007C7047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7330C9">
        <w:rPr>
          <w:rFonts w:ascii="Arial" w:hAnsi="Arial" w:cs="Arial"/>
          <w:b/>
          <w:color w:val="2E74B5" w:themeColor="accent1" w:themeShade="BF"/>
          <w:sz w:val="24"/>
          <w:szCs w:val="24"/>
        </w:rPr>
        <w:t>Por que foram retirados da IN</w:t>
      </w:r>
      <w:r w:rsidRPr="007330C9">
        <w:t xml:space="preserve"> </w:t>
      </w:r>
      <w:r w:rsidRPr="007330C9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fármacos que constavam na Lista 3 – Fármacos de ação no trato gastrintestinal que não necessitam de estudos de biodisponibilidade relativa/ bioequivalência, disponível no site da </w:t>
      </w:r>
      <w:r w:rsidR="007C1076">
        <w:rPr>
          <w:rFonts w:ascii="Arial" w:hAnsi="Arial" w:cs="Arial"/>
          <w:b/>
          <w:color w:val="2E74B5" w:themeColor="accent1" w:themeShade="BF"/>
          <w:sz w:val="24"/>
          <w:szCs w:val="24"/>
        </w:rPr>
        <w:t>ANVISA</w:t>
      </w:r>
      <w:r w:rsidRPr="007330C9">
        <w:rPr>
          <w:rFonts w:ascii="Arial" w:hAnsi="Arial" w:cs="Arial"/>
          <w:b/>
          <w:color w:val="2E74B5" w:themeColor="accent1" w:themeShade="BF"/>
          <w:sz w:val="24"/>
          <w:szCs w:val="24"/>
        </w:rPr>
        <w:t>?</w:t>
      </w:r>
    </w:p>
    <w:p w14:paraId="3A904804" w14:textId="77777777" w:rsidR="007C7047" w:rsidRPr="007330C9" w:rsidRDefault="007C7047" w:rsidP="007C7047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187EE0E2" w14:textId="12C05DB1" w:rsidR="004833E1" w:rsidRPr="00A420A5" w:rsidRDefault="007C7047" w:rsidP="007C7047">
      <w:pPr>
        <w:spacing w:after="0"/>
        <w:ind w:firstLine="851"/>
        <w:jc w:val="both"/>
        <w:rPr>
          <w:rFonts w:ascii="Arial" w:hAnsi="Arial" w:cs="Arial"/>
        </w:rPr>
      </w:pPr>
      <w:r w:rsidRPr="007330C9">
        <w:rPr>
          <w:rFonts w:ascii="Arial" w:hAnsi="Arial" w:cs="Arial"/>
        </w:rPr>
        <w:t xml:space="preserve">A </w:t>
      </w:r>
      <w:r w:rsidR="00D00F92">
        <w:rPr>
          <w:rFonts w:ascii="Arial" w:hAnsi="Arial" w:cs="Arial"/>
        </w:rPr>
        <w:t>Anvisa</w:t>
      </w:r>
      <w:r w:rsidR="00D00F92" w:rsidRPr="007330C9">
        <w:rPr>
          <w:rFonts w:ascii="Arial" w:hAnsi="Arial" w:cs="Arial"/>
        </w:rPr>
        <w:t xml:space="preserve"> </w:t>
      </w:r>
      <w:r w:rsidRPr="007330C9">
        <w:rPr>
          <w:rFonts w:ascii="Arial" w:hAnsi="Arial" w:cs="Arial"/>
        </w:rPr>
        <w:t xml:space="preserve">é a única </w:t>
      </w:r>
      <w:r w:rsidR="00713E86" w:rsidRPr="007330C9">
        <w:rPr>
          <w:rFonts w:ascii="Arial" w:hAnsi="Arial" w:cs="Arial"/>
        </w:rPr>
        <w:t>A</w:t>
      </w:r>
      <w:r w:rsidRPr="007330C9">
        <w:rPr>
          <w:rFonts w:ascii="Arial" w:hAnsi="Arial" w:cs="Arial"/>
        </w:rPr>
        <w:t xml:space="preserve">gência que dispõe de lista de </w:t>
      </w:r>
      <w:proofErr w:type="spellStart"/>
      <w:r w:rsidRPr="007330C9">
        <w:rPr>
          <w:rFonts w:ascii="Arial" w:hAnsi="Arial" w:cs="Arial"/>
        </w:rPr>
        <w:t>bioisenção</w:t>
      </w:r>
      <w:proofErr w:type="spellEnd"/>
      <w:r w:rsidRPr="007330C9">
        <w:rPr>
          <w:rFonts w:ascii="Arial" w:hAnsi="Arial" w:cs="Arial"/>
        </w:rPr>
        <w:t xml:space="preserve"> com base no local de ação. Por isso, os fármacos constantes da lista 3 foram reavaliados quanto aos requisitos </w:t>
      </w:r>
      <w:r w:rsidRPr="00A420A5">
        <w:rPr>
          <w:rFonts w:ascii="Arial" w:hAnsi="Arial" w:cs="Arial"/>
        </w:rPr>
        <w:t xml:space="preserve">técnicos, </w:t>
      </w:r>
      <w:r w:rsidR="003C644E" w:rsidRPr="00A420A5">
        <w:rPr>
          <w:rFonts w:ascii="Arial" w:hAnsi="Arial" w:cs="Arial"/>
        </w:rPr>
        <w:t xml:space="preserve">assim como </w:t>
      </w:r>
      <w:r w:rsidRPr="00A420A5">
        <w:rPr>
          <w:rFonts w:ascii="Arial" w:hAnsi="Arial" w:cs="Arial"/>
        </w:rPr>
        <w:t xml:space="preserve">a situação de registro na </w:t>
      </w:r>
      <w:r w:rsidR="00D00F92" w:rsidRPr="00A420A5">
        <w:rPr>
          <w:rFonts w:ascii="Arial" w:hAnsi="Arial" w:cs="Arial"/>
        </w:rPr>
        <w:t xml:space="preserve">Anvisa </w:t>
      </w:r>
      <w:r w:rsidR="003C644E" w:rsidRPr="00A420A5">
        <w:rPr>
          <w:rFonts w:ascii="Arial" w:hAnsi="Arial" w:cs="Arial"/>
        </w:rPr>
        <w:t>e a categoria regulatória</w:t>
      </w:r>
      <w:r w:rsidRPr="00A420A5">
        <w:rPr>
          <w:rFonts w:ascii="Arial" w:hAnsi="Arial" w:cs="Arial"/>
        </w:rPr>
        <w:t xml:space="preserve">. </w:t>
      </w:r>
      <w:r w:rsidR="004833E1" w:rsidRPr="00A420A5">
        <w:rPr>
          <w:rFonts w:ascii="Arial" w:hAnsi="Arial" w:cs="Arial"/>
        </w:rPr>
        <w:t>Desse modo, f</w:t>
      </w:r>
      <w:r w:rsidRPr="00A420A5">
        <w:rPr>
          <w:rFonts w:ascii="Arial" w:hAnsi="Arial" w:cs="Arial"/>
        </w:rPr>
        <w:t xml:space="preserve">ármacos sem registro na </w:t>
      </w:r>
      <w:r w:rsidR="00D00F92" w:rsidRPr="00A420A5">
        <w:rPr>
          <w:rFonts w:ascii="Arial" w:hAnsi="Arial" w:cs="Arial"/>
        </w:rPr>
        <w:t xml:space="preserve">Anvisa </w:t>
      </w:r>
      <w:r w:rsidRPr="00A420A5">
        <w:rPr>
          <w:rFonts w:ascii="Arial" w:hAnsi="Arial" w:cs="Arial"/>
        </w:rPr>
        <w:t xml:space="preserve">ou enquadrados em outras categorias não previstas na norma de </w:t>
      </w:r>
      <w:proofErr w:type="spellStart"/>
      <w:r w:rsidRPr="00A420A5">
        <w:rPr>
          <w:rFonts w:ascii="Arial" w:hAnsi="Arial" w:cs="Arial"/>
        </w:rPr>
        <w:t>bioisenção</w:t>
      </w:r>
      <w:proofErr w:type="spellEnd"/>
      <w:r w:rsidRPr="00A420A5">
        <w:rPr>
          <w:rFonts w:ascii="Arial" w:hAnsi="Arial" w:cs="Arial"/>
        </w:rPr>
        <w:t>, como medicamentos específicos</w:t>
      </w:r>
      <w:r w:rsidR="00600CE7" w:rsidRPr="00A420A5">
        <w:rPr>
          <w:rFonts w:ascii="Arial" w:hAnsi="Arial" w:cs="Arial"/>
        </w:rPr>
        <w:t>, foram retirados</w:t>
      </w:r>
      <w:r w:rsidRPr="00A420A5">
        <w:rPr>
          <w:rFonts w:ascii="Arial" w:hAnsi="Arial" w:cs="Arial"/>
        </w:rPr>
        <w:t xml:space="preserve">. </w:t>
      </w:r>
    </w:p>
    <w:p w14:paraId="4C2781F7" w14:textId="6A74A8DC" w:rsidR="007C7047" w:rsidRPr="0083322F" w:rsidRDefault="007C7047" w:rsidP="00B82A16">
      <w:pPr>
        <w:ind w:firstLine="708"/>
        <w:jc w:val="both"/>
        <w:rPr>
          <w:rFonts w:ascii="Arial" w:hAnsi="Arial" w:cs="Arial"/>
        </w:rPr>
      </w:pPr>
      <w:r w:rsidRPr="00A420A5">
        <w:rPr>
          <w:rFonts w:ascii="Arial" w:hAnsi="Arial" w:cs="Arial"/>
        </w:rPr>
        <w:t xml:space="preserve">Além disso, foram também retirados os medicamentos para as quais outras provas eram aplicáveis para fins de comprovação da equivalência terapêutica, como é o caso de estudos de bioequivalência </w:t>
      </w:r>
      <w:r w:rsidRPr="00A420A5">
        <w:rPr>
          <w:rFonts w:ascii="Arial" w:hAnsi="Arial" w:cs="Arial"/>
          <w:i/>
          <w:iCs/>
        </w:rPr>
        <w:t>in vitro</w:t>
      </w:r>
      <w:r w:rsidRPr="00A420A5">
        <w:rPr>
          <w:rFonts w:ascii="Arial" w:hAnsi="Arial" w:cs="Arial"/>
        </w:rPr>
        <w:t>. Portanto, nesses casos,</w:t>
      </w:r>
      <w:r w:rsidR="009757CA" w:rsidRPr="00A420A5">
        <w:rPr>
          <w:rFonts w:ascii="Arial" w:hAnsi="Arial" w:cs="Arial"/>
        </w:rPr>
        <w:t xml:space="preserve"> </w:t>
      </w:r>
      <w:r w:rsidR="00EB16DE" w:rsidRPr="00A420A5">
        <w:rPr>
          <w:rFonts w:ascii="Arial" w:hAnsi="Arial" w:cs="Arial"/>
        </w:rPr>
        <w:t xml:space="preserve">a aplicação da </w:t>
      </w:r>
      <w:proofErr w:type="spellStart"/>
      <w:r w:rsidR="00EB16DE" w:rsidRPr="00A420A5">
        <w:rPr>
          <w:rFonts w:ascii="Arial" w:hAnsi="Arial" w:cs="Arial"/>
        </w:rPr>
        <w:t>bioisenção</w:t>
      </w:r>
      <w:proofErr w:type="spellEnd"/>
      <w:r w:rsidR="00EB16DE" w:rsidRPr="00A420A5">
        <w:rPr>
          <w:rFonts w:ascii="Arial" w:hAnsi="Arial" w:cs="Arial"/>
        </w:rPr>
        <w:t xml:space="preserve"> depende da apresentação de dados adicionais.</w:t>
      </w:r>
    </w:p>
    <w:p w14:paraId="3836ED27" w14:textId="77777777" w:rsidR="007C7047" w:rsidRDefault="007C7047" w:rsidP="00854C6F">
      <w:pPr>
        <w:pStyle w:val="PargrafodaLista"/>
        <w:spacing w:after="0"/>
        <w:ind w:left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57C993DE" w14:textId="325D134C" w:rsidR="00F105FA" w:rsidRPr="00854C6F" w:rsidRDefault="00F105FA" w:rsidP="00A93791">
      <w:pPr>
        <w:pStyle w:val="PargrafodaLista"/>
        <w:numPr>
          <w:ilvl w:val="2"/>
          <w:numId w:val="10"/>
        </w:numPr>
        <w:spacing w:after="0"/>
        <w:ind w:left="709" w:hanging="709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Como serão feitas inclusões na lista </w:t>
      </w:r>
      <w:r w:rsidR="00854C6F" w:rsidRPr="00854C6F">
        <w:rPr>
          <w:rFonts w:ascii="Arial" w:hAnsi="Arial" w:cs="Arial"/>
          <w:b/>
          <w:color w:val="2E74B5" w:themeColor="accent1" w:themeShade="BF"/>
          <w:sz w:val="24"/>
          <w:szCs w:val="24"/>
        </w:rPr>
        <w:t>de fármacos de uso oral destinados à ação local</w:t>
      </w:r>
      <w:r w:rsidR="00854C6F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854C6F" w:rsidRPr="00854C6F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no trato gastrintestinal candidatos à </w:t>
      </w:r>
      <w:proofErr w:type="spellStart"/>
      <w:r w:rsidR="00854C6F" w:rsidRPr="00854C6F">
        <w:rPr>
          <w:rFonts w:ascii="Arial" w:hAnsi="Arial" w:cs="Arial"/>
          <w:b/>
          <w:color w:val="2E74B5" w:themeColor="accent1" w:themeShade="BF"/>
          <w:sz w:val="24"/>
          <w:szCs w:val="24"/>
        </w:rPr>
        <w:t>bioisenção</w:t>
      </w:r>
      <w:proofErr w:type="spellEnd"/>
      <w:r w:rsidR="00854C6F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da IN 183/2022?</w:t>
      </w:r>
    </w:p>
    <w:p w14:paraId="727A0130" w14:textId="77777777" w:rsidR="00DB070A" w:rsidRDefault="00DB070A" w:rsidP="00DB070A">
      <w:pPr>
        <w:spacing w:after="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711D1275" w14:textId="5BC235BE" w:rsidR="005F1514" w:rsidRPr="007330C9" w:rsidRDefault="005F1514" w:rsidP="007330C9">
      <w:pPr>
        <w:spacing w:after="0"/>
        <w:ind w:firstLine="851"/>
        <w:jc w:val="both"/>
        <w:rPr>
          <w:rFonts w:ascii="Arial" w:hAnsi="Arial" w:cs="Arial"/>
        </w:rPr>
      </w:pPr>
      <w:r w:rsidRPr="007330C9">
        <w:rPr>
          <w:rFonts w:ascii="Arial" w:hAnsi="Arial" w:cs="Arial"/>
        </w:rPr>
        <w:t>A em</w:t>
      </w:r>
      <w:r>
        <w:rPr>
          <w:rFonts w:ascii="Arial" w:hAnsi="Arial" w:cs="Arial"/>
        </w:rPr>
        <w:t xml:space="preserve">presa poderá </w:t>
      </w:r>
      <w:r w:rsidR="00093BC9">
        <w:rPr>
          <w:rFonts w:ascii="Arial" w:hAnsi="Arial" w:cs="Arial"/>
        </w:rPr>
        <w:t xml:space="preserve">fazer consulta às áreas técnicas da GGMED sobre a possibilidade de </w:t>
      </w:r>
      <w:proofErr w:type="spellStart"/>
      <w:r w:rsidR="00093BC9">
        <w:rPr>
          <w:rFonts w:ascii="Arial" w:hAnsi="Arial" w:cs="Arial"/>
        </w:rPr>
        <w:t>bioisenção</w:t>
      </w:r>
      <w:proofErr w:type="spellEnd"/>
      <w:r w:rsidR="00093BC9">
        <w:rPr>
          <w:rFonts w:ascii="Arial" w:hAnsi="Arial" w:cs="Arial"/>
        </w:rPr>
        <w:t xml:space="preserve"> </w:t>
      </w:r>
      <w:r w:rsidR="00A52DE1">
        <w:rPr>
          <w:rFonts w:ascii="Arial" w:hAnsi="Arial" w:cs="Arial"/>
        </w:rPr>
        <w:t xml:space="preserve">com base no Art. 18 da RDC </w:t>
      </w:r>
      <w:r w:rsidR="00600CE7">
        <w:rPr>
          <w:rFonts w:ascii="Arial" w:hAnsi="Arial" w:cs="Arial"/>
        </w:rPr>
        <w:t xml:space="preserve">nº </w:t>
      </w:r>
      <w:r w:rsidR="00A52DE1">
        <w:rPr>
          <w:rFonts w:ascii="Arial" w:hAnsi="Arial" w:cs="Arial"/>
        </w:rPr>
        <w:t>749/2022</w:t>
      </w:r>
      <w:r w:rsidR="00A853DC">
        <w:rPr>
          <w:rFonts w:ascii="Arial" w:hAnsi="Arial" w:cs="Arial"/>
        </w:rPr>
        <w:t>.</w:t>
      </w:r>
    </w:p>
    <w:p w14:paraId="392F3B01" w14:textId="77777777" w:rsidR="00F0486A" w:rsidRPr="007330C9" w:rsidRDefault="00F0486A" w:rsidP="007330C9">
      <w:pPr>
        <w:spacing w:after="200" w:line="276" w:lineRule="auto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63F766E2" w14:textId="77777777" w:rsidR="00F0486A" w:rsidRPr="007A1100" w:rsidRDefault="00F0486A" w:rsidP="00F0486A">
      <w:pPr>
        <w:pStyle w:val="PargrafodaLista"/>
        <w:numPr>
          <w:ilvl w:val="0"/>
          <w:numId w:val="10"/>
        </w:numPr>
        <w:spacing w:after="200" w:line="276" w:lineRule="auto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12" w:name="_Toc132733815"/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NORMAS RELACIONADAS E REFERÊNCIAS</w:t>
      </w:r>
      <w:bookmarkEnd w:id="12"/>
    </w:p>
    <w:p w14:paraId="2532DDEB" w14:textId="77777777" w:rsidR="00F0486A" w:rsidRPr="00F862FB" w:rsidRDefault="00F0486A" w:rsidP="00F0486A">
      <w:pPr>
        <w:pStyle w:val="PargrafodaLista"/>
        <w:jc w:val="both"/>
        <w:rPr>
          <w:rFonts w:ascii="Arial" w:hAnsi="Arial" w:cs="Arial"/>
          <w:b/>
          <w:color w:val="2E74B5" w:themeColor="accent1" w:themeShade="BF"/>
          <w:sz w:val="24"/>
        </w:rPr>
      </w:pPr>
    </w:p>
    <w:p w14:paraId="2B7856D7" w14:textId="6966C31B" w:rsidR="00F0486A" w:rsidRPr="007E3647" w:rsidRDefault="005B0251" w:rsidP="00D02938">
      <w:pPr>
        <w:pStyle w:val="PargrafodaLista"/>
        <w:spacing w:after="0"/>
        <w:ind w:left="0"/>
        <w:jc w:val="both"/>
        <w:rPr>
          <w:rFonts w:ascii="Arial" w:hAnsi="Arial" w:cs="Arial"/>
        </w:rPr>
      </w:pPr>
      <w:hyperlink r:id="rId16" w:anchor="/visualizar/27506" w:history="1">
        <w:r w:rsidR="007E3647" w:rsidRPr="007E3647">
          <w:rPr>
            <w:rStyle w:val="Hyperlink"/>
            <w:rFonts w:ascii="Arial" w:hAnsi="Arial" w:cs="Arial"/>
          </w:rPr>
          <w:t>Resolução - R</w:t>
        </w:r>
        <w:r w:rsidR="005220C4">
          <w:rPr>
            <w:rStyle w:val="Hyperlink"/>
            <w:rFonts w:ascii="Arial" w:hAnsi="Arial" w:cs="Arial"/>
          </w:rPr>
          <w:t>DC</w:t>
        </w:r>
        <w:r w:rsidR="007E3647" w:rsidRPr="007E3647">
          <w:rPr>
            <w:rStyle w:val="Hyperlink"/>
            <w:rFonts w:ascii="Arial" w:hAnsi="Arial" w:cs="Arial"/>
          </w:rPr>
          <w:t xml:space="preserve"> n° </w:t>
        </w:r>
        <w:r w:rsidR="005220C4">
          <w:rPr>
            <w:rStyle w:val="Hyperlink"/>
            <w:rFonts w:ascii="Arial" w:hAnsi="Arial" w:cs="Arial"/>
          </w:rPr>
          <w:t>749</w:t>
        </w:r>
        <w:r w:rsidR="007E3647" w:rsidRPr="007E3647">
          <w:rPr>
            <w:rStyle w:val="Hyperlink"/>
            <w:rFonts w:ascii="Arial" w:hAnsi="Arial" w:cs="Arial"/>
          </w:rPr>
          <w:t xml:space="preserve">, de </w:t>
        </w:r>
        <w:r w:rsidR="005220C4">
          <w:rPr>
            <w:rStyle w:val="Hyperlink"/>
            <w:rFonts w:ascii="Arial" w:hAnsi="Arial" w:cs="Arial"/>
          </w:rPr>
          <w:t>05</w:t>
        </w:r>
        <w:r w:rsidR="007E3647" w:rsidRPr="007E3647">
          <w:rPr>
            <w:rStyle w:val="Hyperlink"/>
            <w:rFonts w:ascii="Arial" w:hAnsi="Arial" w:cs="Arial"/>
          </w:rPr>
          <w:t xml:space="preserve"> de </w:t>
        </w:r>
        <w:r w:rsidR="005220C4">
          <w:rPr>
            <w:rStyle w:val="Hyperlink"/>
            <w:rFonts w:ascii="Arial" w:hAnsi="Arial" w:cs="Arial"/>
          </w:rPr>
          <w:t>setembro</w:t>
        </w:r>
        <w:r w:rsidR="007E3647" w:rsidRPr="007E3647">
          <w:rPr>
            <w:rStyle w:val="Hyperlink"/>
            <w:rFonts w:ascii="Arial" w:hAnsi="Arial" w:cs="Arial"/>
          </w:rPr>
          <w:t xml:space="preserve"> de </w:t>
        </w:r>
        <w:r w:rsidR="005220C4">
          <w:rPr>
            <w:rStyle w:val="Hyperlink"/>
            <w:rFonts w:ascii="Arial" w:hAnsi="Arial" w:cs="Arial"/>
          </w:rPr>
          <w:t>2022</w:t>
        </w:r>
      </w:hyperlink>
      <w:r w:rsidR="007E3647" w:rsidRPr="007E3647">
        <w:rPr>
          <w:rFonts w:ascii="Arial" w:hAnsi="Arial" w:cs="Arial"/>
        </w:rPr>
        <w:t xml:space="preserve">. </w:t>
      </w:r>
      <w:r w:rsidR="00D02938" w:rsidRPr="00D02938">
        <w:rPr>
          <w:rFonts w:ascii="Arial" w:hAnsi="Arial" w:cs="Arial"/>
        </w:rPr>
        <w:t>Dispõe sobre isenção de estudos de bioequivalência/biodisponibilidade relativa</w:t>
      </w:r>
      <w:r w:rsidR="007E3647" w:rsidRPr="007E3647">
        <w:rPr>
          <w:rFonts w:ascii="Arial" w:hAnsi="Arial" w:cs="Arial"/>
        </w:rPr>
        <w:t xml:space="preserve">, Diário Oficial da União, </w:t>
      </w:r>
      <w:r w:rsidR="00D02938">
        <w:rPr>
          <w:rFonts w:ascii="Arial" w:hAnsi="Arial" w:cs="Arial"/>
        </w:rPr>
        <w:t>08 de setembro de 2022.</w:t>
      </w:r>
      <w:r w:rsidR="007E3647" w:rsidRPr="007E3647">
        <w:rPr>
          <w:rFonts w:ascii="Arial" w:hAnsi="Arial" w:cs="Arial"/>
        </w:rPr>
        <w:t xml:space="preserve"> </w:t>
      </w:r>
    </w:p>
    <w:p w14:paraId="42A8411C" w14:textId="0CFBB355" w:rsidR="007E3647" w:rsidRDefault="007E3647" w:rsidP="00D02938">
      <w:pPr>
        <w:pStyle w:val="PargrafodaLista"/>
        <w:spacing w:after="0"/>
        <w:ind w:left="0"/>
        <w:jc w:val="both"/>
        <w:rPr>
          <w:rFonts w:ascii="Arial" w:hAnsi="Arial" w:cs="Arial"/>
        </w:rPr>
      </w:pPr>
    </w:p>
    <w:p w14:paraId="4CD2A351" w14:textId="6D2B9C6E" w:rsidR="00D02938" w:rsidRDefault="005B0251" w:rsidP="00044094">
      <w:pPr>
        <w:pStyle w:val="PargrafodaLista"/>
        <w:spacing w:after="0"/>
        <w:ind w:left="0"/>
        <w:jc w:val="both"/>
        <w:rPr>
          <w:rFonts w:ascii="Arial" w:hAnsi="Arial" w:cs="Arial"/>
        </w:rPr>
      </w:pPr>
      <w:hyperlink r:id="rId17" w:anchor="/visualizar/27506" w:history="1">
        <w:r w:rsidR="00044094">
          <w:rPr>
            <w:rStyle w:val="Hyperlink"/>
            <w:rFonts w:ascii="Arial" w:hAnsi="Arial" w:cs="Arial"/>
          </w:rPr>
          <w:t>Instrução Normativa</w:t>
        </w:r>
        <w:r w:rsidR="00D02938" w:rsidRPr="007E3647">
          <w:rPr>
            <w:rStyle w:val="Hyperlink"/>
            <w:rFonts w:ascii="Arial" w:hAnsi="Arial" w:cs="Arial"/>
          </w:rPr>
          <w:t xml:space="preserve"> - </w:t>
        </w:r>
        <w:r w:rsidR="00044094">
          <w:rPr>
            <w:rStyle w:val="Hyperlink"/>
            <w:rFonts w:ascii="Arial" w:hAnsi="Arial" w:cs="Arial"/>
          </w:rPr>
          <w:t>IN</w:t>
        </w:r>
        <w:r w:rsidR="00D02938" w:rsidRPr="007E3647">
          <w:rPr>
            <w:rStyle w:val="Hyperlink"/>
            <w:rFonts w:ascii="Arial" w:hAnsi="Arial" w:cs="Arial"/>
          </w:rPr>
          <w:t xml:space="preserve"> n° </w:t>
        </w:r>
        <w:r w:rsidR="00044094">
          <w:rPr>
            <w:rStyle w:val="Hyperlink"/>
            <w:rFonts w:ascii="Arial" w:hAnsi="Arial" w:cs="Arial"/>
          </w:rPr>
          <w:t>182</w:t>
        </w:r>
        <w:r w:rsidR="00D02938" w:rsidRPr="007E3647">
          <w:rPr>
            <w:rStyle w:val="Hyperlink"/>
            <w:rFonts w:ascii="Arial" w:hAnsi="Arial" w:cs="Arial"/>
          </w:rPr>
          <w:t xml:space="preserve">, de </w:t>
        </w:r>
        <w:r w:rsidR="00D02938">
          <w:rPr>
            <w:rStyle w:val="Hyperlink"/>
            <w:rFonts w:ascii="Arial" w:hAnsi="Arial" w:cs="Arial"/>
          </w:rPr>
          <w:t>05</w:t>
        </w:r>
        <w:r w:rsidR="00D02938" w:rsidRPr="007E3647">
          <w:rPr>
            <w:rStyle w:val="Hyperlink"/>
            <w:rFonts w:ascii="Arial" w:hAnsi="Arial" w:cs="Arial"/>
          </w:rPr>
          <w:t xml:space="preserve"> de </w:t>
        </w:r>
        <w:r w:rsidR="00D02938">
          <w:rPr>
            <w:rStyle w:val="Hyperlink"/>
            <w:rFonts w:ascii="Arial" w:hAnsi="Arial" w:cs="Arial"/>
          </w:rPr>
          <w:t>setembro</w:t>
        </w:r>
        <w:r w:rsidR="00D02938" w:rsidRPr="007E3647">
          <w:rPr>
            <w:rStyle w:val="Hyperlink"/>
            <w:rFonts w:ascii="Arial" w:hAnsi="Arial" w:cs="Arial"/>
          </w:rPr>
          <w:t xml:space="preserve"> de </w:t>
        </w:r>
        <w:r w:rsidR="00D02938">
          <w:rPr>
            <w:rStyle w:val="Hyperlink"/>
            <w:rFonts w:ascii="Arial" w:hAnsi="Arial" w:cs="Arial"/>
          </w:rPr>
          <w:t>2022</w:t>
        </w:r>
      </w:hyperlink>
      <w:r w:rsidR="00D02938" w:rsidRPr="007E3647">
        <w:rPr>
          <w:rFonts w:ascii="Arial" w:hAnsi="Arial" w:cs="Arial"/>
        </w:rPr>
        <w:t xml:space="preserve">. </w:t>
      </w:r>
      <w:r w:rsidR="00044094" w:rsidRPr="00044094">
        <w:rPr>
          <w:rFonts w:ascii="Arial" w:hAnsi="Arial" w:cs="Arial"/>
        </w:rPr>
        <w:t>Dispõe sobre a validação e ensaios de permeabilidade com</w:t>
      </w:r>
      <w:r w:rsidR="00044094">
        <w:rPr>
          <w:rFonts w:ascii="Arial" w:hAnsi="Arial" w:cs="Arial"/>
        </w:rPr>
        <w:t xml:space="preserve"> </w:t>
      </w:r>
      <w:r w:rsidR="00044094" w:rsidRPr="00044094">
        <w:rPr>
          <w:rFonts w:ascii="Arial" w:hAnsi="Arial" w:cs="Arial"/>
        </w:rPr>
        <w:t>células Caco-2</w:t>
      </w:r>
      <w:r w:rsidR="00D02938" w:rsidRPr="007E3647">
        <w:rPr>
          <w:rFonts w:ascii="Arial" w:hAnsi="Arial" w:cs="Arial"/>
        </w:rPr>
        <w:t xml:space="preserve">, Diário Oficial da União, </w:t>
      </w:r>
      <w:r w:rsidR="00D02938">
        <w:rPr>
          <w:rFonts w:ascii="Arial" w:hAnsi="Arial" w:cs="Arial"/>
        </w:rPr>
        <w:t>08 de setembro de 2022.</w:t>
      </w:r>
      <w:r w:rsidR="00D02938" w:rsidRPr="007E3647">
        <w:rPr>
          <w:rFonts w:ascii="Arial" w:hAnsi="Arial" w:cs="Arial"/>
        </w:rPr>
        <w:t xml:space="preserve"> </w:t>
      </w:r>
    </w:p>
    <w:p w14:paraId="3D1D247E" w14:textId="220DCB6B" w:rsidR="00044094" w:rsidRDefault="00044094" w:rsidP="00044094">
      <w:pPr>
        <w:pStyle w:val="PargrafodaLista"/>
        <w:spacing w:after="0"/>
        <w:ind w:left="0"/>
        <w:jc w:val="both"/>
        <w:rPr>
          <w:rFonts w:ascii="Arial" w:hAnsi="Arial" w:cs="Arial"/>
        </w:rPr>
      </w:pPr>
    </w:p>
    <w:p w14:paraId="0313DC37" w14:textId="28FEFF9D" w:rsidR="00044094" w:rsidRDefault="005B0251" w:rsidP="008D4BC0">
      <w:pPr>
        <w:pStyle w:val="PargrafodaLista"/>
        <w:spacing w:after="0"/>
        <w:ind w:left="0"/>
        <w:jc w:val="both"/>
        <w:rPr>
          <w:rFonts w:ascii="Arial" w:hAnsi="Arial" w:cs="Arial"/>
        </w:rPr>
      </w:pPr>
      <w:hyperlink r:id="rId18" w:anchor="/visualizar/27506" w:history="1">
        <w:r w:rsidR="00044094">
          <w:rPr>
            <w:rStyle w:val="Hyperlink"/>
            <w:rFonts w:ascii="Arial" w:hAnsi="Arial" w:cs="Arial"/>
          </w:rPr>
          <w:t>Instrução Normativa</w:t>
        </w:r>
        <w:r w:rsidR="00044094" w:rsidRPr="007E3647">
          <w:rPr>
            <w:rStyle w:val="Hyperlink"/>
            <w:rFonts w:ascii="Arial" w:hAnsi="Arial" w:cs="Arial"/>
          </w:rPr>
          <w:t xml:space="preserve"> - </w:t>
        </w:r>
        <w:r w:rsidR="00044094">
          <w:rPr>
            <w:rStyle w:val="Hyperlink"/>
            <w:rFonts w:ascii="Arial" w:hAnsi="Arial" w:cs="Arial"/>
          </w:rPr>
          <w:t>IN</w:t>
        </w:r>
        <w:r w:rsidR="00044094" w:rsidRPr="007E3647">
          <w:rPr>
            <w:rStyle w:val="Hyperlink"/>
            <w:rFonts w:ascii="Arial" w:hAnsi="Arial" w:cs="Arial"/>
          </w:rPr>
          <w:t xml:space="preserve"> n° </w:t>
        </w:r>
        <w:r w:rsidR="00044094">
          <w:rPr>
            <w:rStyle w:val="Hyperlink"/>
            <w:rFonts w:ascii="Arial" w:hAnsi="Arial" w:cs="Arial"/>
          </w:rPr>
          <w:t>183</w:t>
        </w:r>
        <w:r w:rsidR="00044094" w:rsidRPr="007E3647">
          <w:rPr>
            <w:rStyle w:val="Hyperlink"/>
            <w:rFonts w:ascii="Arial" w:hAnsi="Arial" w:cs="Arial"/>
          </w:rPr>
          <w:t xml:space="preserve">, de </w:t>
        </w:r>
        <w:r w:rsidR="00044094">
          <w:rPr>
            <w:rStyle w:val="Hyperlink"/>
            <w:rFonts w:ascii="Arial" w:hAnsi="Arial" w:cs="Arial"/>
          </w:rPr>
          <w:t>05</w:t>
        </w:r>
        <w:r w:rsidR="00044094" w:rsidRPr="007E3647">
          <w:rPr>
            <w:rStyle w:val="Hyperlink"/>
            <w:rFonts w:ascii="Arial" w:hAnsi="Arial" w:cs="Arial"/>
          </w:rPr>
          <w:t xml:space="preserve"> de </w:t>
        </w:r>
        <w:r w:rsidR="00044094">
          <w:rPr>
            <w:rStyle w:val="Hyperlink"/>
            <w:rFonts w:ascii="Arial" w:hAnsi="Arial" w:cs="Arial"/>
          </w:rPr>
          <w:t>setembro</w:t>
        </w:r>
        <w:r w:rsidR="00044094" w:rsidRPr="007E3647">
          <w:rPr>
            <w:rStyle w:val="Hyperlink"/>
            <w:rFonts w:ascii="Arial" w:hAnsi="Arial" w:cs="Arial"/>
          </w:rPr>
          <w:t xml:space="preserve"> de </w:t>
        </w:r>
        <w:r w:rsidR="00044094">
          <w:rPr>
            <w:rStyle w:val="Hyperlink"/>
            <w:rFonts w:ascii="Arial" w:hAnsi="Arial" w:cs="Arial"/>
          </w:rPr>
          <w:t>2022</w:t>
        </w:r>
      </w:hyperlink>
      <w:r w:rsidR="00044094" w:rsidRPr="007E3647">
        <w:rPr>
          <w:rFonts w:ascii="Arial" w:hAnsi="Arial" w:cs="Arial"/>
        </w:rPr>
        <w:t xml:space="preserve">. </w:t>
      </w:r>
      <w:r w:rsidR="008D4BC0" w:rsidRPr="008D4BC0">
        <w:rPr>
          <w:rFonts w:ascii="Arial" w:hAnsi="Arial" w:cs="Arial"/>
        </w:rPr>
        <w:t>Institui a lista de fármacos de uso oral destinados à ação local</w:t>
      </w:r>
      <w:r w:rsidR="008D4BC0">
        <w:rPr>
          <w:rFonts w:ascii="Arial" w:hAnsi="Arial" w:cs="Arial"/>
        </w:rPr>
        <w:t xml:space="preserve"> </w:t>
      </w:r>
      <w:r w:rsidR="008D4BC0" w:rsidRPr="008D4BC0">
        <w:rPr>
          <w:rFonts w:ascii="Arial" w:hAnsi="Arial" w:cs="Arial"/>
        </w:rPr>
        <w:t xml:space="preserve">no trato gastrintestinal candidatos à </w:t>
      </w:r>
      <w:proofErr w:type="spellStart"/>
      <w:r w:rsidR="008D4BC0" w:rsidRPr="008D4BC0">
        <w:rPr>
          <w:rFonts w:ascii="Arial" w:hAnsi="Arial" w:cs="Arial"/>
        </w:rPr>
        <w:t>bioisenção</w:t>
      </w:r>
      <w:proofErr w:type="spellEnd"/>
      <w:r w:rsidR="008D4BC0" w:rsidRPr="008D4BC0">
        <w:rPr>
          <w:rFonts w:ascii="Arial" w:hAnsi="Arial" w:cs="Arial"/>
        </w:rPr>
        <w:t>, conforme</w:t>
      </w:r>
      <w:r w:rsidR="008D4BC0">
        <w:rPr>
          <w:rFonts w:ascii="Arial" w:hAnsi="Arial" w:cs="Arial"/>
        </w:rPr>
        <w:t xml:space="preserve"> </w:t>
      </w:r>
      <w:r w:rsidR="008D4BC0" w:rsidRPr="008D4BC0">
        <w:rPr>
          <w:rFonts w:ascii="Arial" w:hAnsi="Arial" w:cs="Arial"/>
        </w:rPr>
        <w:t>previsto no inciso VI do art. 7º da Resolução de Diretoria</w:t>
      </w:r>
      <w:r w:rsidR="008D4BC0">
        <w:rPr>
          <w:rFonts w:ascii="Arial" w:hAnsi="Arial" w:cs="Arial"/>
        </w:rPr>
        <w:t xml:space="preserve"> </w:t>
      </w:r>
      <w:r w:rsidR="008D4BC0" w:rsidRPr="008D4BC0">
        <w:rPr>
          <w:rFonts w:ascii="Arial" w:hAnsi="Arial" w:cs="Arial"/>
        </w:rPr>
        <w:t>Colegiada - RDC nº 749, 5 de setembro de 2022</w:t>
      </w:r>
      <w:r w:rsidR="00044094" w:rsidRPr="007E3647">
        <w:rPr>
          <w:rFonts w:ascii="Arial" w:hAnsi="Arial" w:cs="Arial"/>
        </w:rPr>
        <w:t xml:space="preserve">, Diário Oficial da União, </w:t>
      </w:r>
      <w:r w:rsidR="00044094">
        <w:rPr>
          <w:rFonts w:ascii="Arial" w:hAnsi="Arial" w:cs="Arial"/>
        </w:rPr>
        <w:t>08 de setembro de 2022.</w:t>
      </w:r>
      <w:r w:rsidR="00044094" w:rsidRPr="007E3647">
        <w:rPr>
          <w:rFonts w:ascii="Arial" w:hAnsi="Arial" w:cs="Arial"/>
        </w:rPr>
        <w:t xml:space="preserve"> </w:t>
      </w:r>
    </w:p>
    <w:p w14:paraId="0D7B23F4" w14:textId="77777777" w:rsidR="008D4BC0" w:rsidRPr="00D02938" w:rsidRDefault="008D4BC0" w:rsidP="00044094">
      <w:pPr>
        <w:pStyle w:val="PargrafodaLista"/>
        <w:spacing w:after="0"/>
        <w:ind w:left="0"/>
        <w:rPr>
          <w:rFonts w:ascii="Arial" w:hAnsi="Arial" w:cs="Arial"/>
          <w:sz w:val="24"/>
          <w:szCs w:val="24"/>
        </w:rPr>
      </w:pPr>
    </w:p>
    <w:p w14:paraId="515BD32E" w14:textId="78D6FAE8" w:rsidR="007A1100" w:rsidRDefault="007A1100" w:rsidP="00490FEA">
      <w:pPr>
        <w:pStyle w:val="PargrafodaLista"/>
        <w:numPr>
          <w:ilvl w:val="0"/>
          <w:numId w:val="10"/>
        </w:numPr>
        <w:spacing w:after="200" w:line="276" w:lineRule="auto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13" w:name="_Toc459977117"/>
      <w:bookmarkStart w:id="14" w:name="_Toc132733816"/>
      <w:r w:rsidRPr="00490FE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HISTÓRICO DE </w:t>
      </w:r>
      <w:bookmarkEnd w:id="13"/>
      <w:r w:rsidR="00651BD4">
        <w:rPr>
          <w:rFonts w:ascii="Arial" w:hAnsi="Arial" w:cs="Arial"/>
          <w:b/>
          <w:color w:val="2E74B5" w:themeColor="accent1" w:themeShade="BF"/>
          <w:sz w:val="24"/>
          <w:szCs w:val="24"/>
        </w:rPr>
        <w:t>ALTERAÇÕES</w:t>
      </w:r>
      <w:bookmarkEnd w:id="14"/>
    </w:p>
    <w:p w14:paraId="4AC15E35" w14:textId="77777777" w:rsidR="00F94898" w:rsidRDefault="00F94898" w:rsidP="00F94898">
      <w:pPr>
        <w:pStyle w:val="PargrafodaLista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92"/>
        <w:gridCol w:w="1318"/>
        <w:gridCol w:w="6084"/>
      </w:tblGrid>
      <w:tr w:rsidR="00F0486A" w14:paraId="1EA45F86" w14:textId="77777777" w:rsidTr="00F0486A">
        <w:tc>
          <w:tcPr>
            <w:tcW w:w="1101" w:type="dxa"/>
            <w:shd w:val="clear" w:color="auto" w:fill="2E74B5" w:themeFill="accent1" w:themeFillShade="BF"/>
          </w:tcPr>
          <w:p w14:paraId="7747F091" w14:textId="77777777" w:rsidR="00F0486A" w:rsidRPr="00F0486A" w:rsidRDefault="00F0486A" w:rsidP="00F94898">
            <w:pPr>
              <w:pStyle w:val="PargrafodaLista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048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Edição</w:t>
            </w:r>
          </w:p>
        </w:tc>
        <w:tc>
          <w:tcPr>
            <w:tcW w:w="992" w:type="dxa"/>
            <w:shd w:val="clear" w:color="auto" w:fill="2E74B5" w:themeFill="accent1" w:themeFillShade="BF"/>
          </w:tcPr>
          <w:p w14:paraId="1DE4D84C" w14:textId="77777777" w:rsidR="00F0486A" w:rsidRPr="00F0486A" w:rsidRDefault="00F0486A" w:rsidP="00F94898">
            <w:pPr>
              <w:pStyle w:val="PargrafodaLista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048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6551" w:type="dxa"/>
            <w:shd w:val="clear" w:color="auto" w:fill="2E74B5" w:themeFill="accent1" w:themeFillShade="BF"/>
          </w:tcPr>
          <w:p w14:paraId="6F4AAB8E" w14:textId="77777777" w:rsidR="00F0486A" w:rsidRPr="00F0486A" w:rsidRDefault="00F0486A" w:rsidP="00F94898">
            <w:pPr>
              <w:pStyle w:val="PargrafodaLista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0486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Alteração</w:t>
            </w:r>
          </w:p>
        </w:tc>
      </w:tr>
      <w:tr w:rsidR="00F0486A" w:rsidRPr="007E3647" w14:paraId="7BCE8539" w14:textId="77777777" w:rsidTr="00F0486A">
        <w:tc>
          <w:tcPr>
            <w:tcW w:w="1101" w:type="dxa"/>
          </w:tcPr>
          <w:p w14:paraId="22F151C0" w14:textId="77777777" w:rsidR="00F0486A" w:rsidRPr="007E3647" w:rsidRDefault="00F0486A" w:rsidP="00F94898">
            <w:pPr>
              <w:pStyle w:val="PargrafodaLista"/>
              <w:ind w:left="0"/>
              <w:rPr>
                <w:rFonts w:ascii="Arial" w:hAnsi="Arial" w:cs="Arial"/>
              </w:rPr>
            </w:pPr>
            <w:r w:rsidRPr="007E3647">
              <w:rPr>
                <w:rFonts w:ascii="Arial" w:hAnsi="Arial" w:cs="Arial"/>
              </w:rPr>
              <w:t>1ª</w:t>
            </w:r>
          </w:p>
        </w:tc>
        <w:tc>
          <w:tcPr>
            <w:tcW w:w="992" w:type="dxa"/>
          </w:tcPr>
          <w:p w14:paraId="1EDA03D3" w14:textId="3B97E4B4" w:rsidR="00F0486A" w:rsidRPr="007E3647" w:rsidRDefault="00B82A16" w:rsidP="00F94898">
            <w:pPr>
              <w:pStyle w:val="Pargrafoda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19/04</w:t>
            </w:r>
            <w:r w:rsidR="00C32D4D" w:rsidRPr="00C32D4D">
              <w:rPr>
                <w:rFonts w:ascii="Arial" w:hAnsi="Arial" w:cs="Arial"/>
              </w:rPr>
              <w:t>/2023</w:t>
            </w:r>
          </w:p>
        </w:tc>
        <w:tc>
          <w:tcPr>
            <w:tcW w:w="6551" w:type="dxa"/>
          </w:tcPr>
          <w:p w14:paraId="2CD17DA9" w14:textId="77777777" w:rsidR="00F0486A" w:rsidRPr="007E3647" w:rsidRDefault="00F0486A" w:rsidP="00F94898">
            <w:pPr>
              <w:pStyle w:val="PargrafodaLista"/>
              <w:ind w:left="0"/>
              <w:rPr>
                <w:rFonts w:ascii="Arial" w:hAnsi="Arial" w:cs="Arial"/>
              </w:rPr>
            </w:pPr>
            <w:r w:rsidRPr="007E3647">
              <w:rPr>
                <w:rFonts w:ascii="Arial" w:hAnsi="Arial" w:cs="Arial"/>
              </w:rPr>
              <w:t>Emissão inicial</w:t>
            </w:r>
          </w:p>
        </w:tc>
      </w:tr>
      <w:tr w:rsidR="00CC62FB" w:rsidRPr="007E3647" w14:paraId="1400F0E4" w14:textId="77777777" w:rsidTr="00F0486A">
        <w:tc>
          <w:tcPr>
            <w:tcW w:w="1101" w:type="dxa"/>
          </w:tcPr>
          <w:p w14:paraId="78ABDD30" w14:textId="589D2431" w:rsidR="00CC62FB" w:rsidRPr="007E3647" w:rsidRDefault="00CC62FB" w:rsidP="00F94898">
            <w:pPr>
              <w:pStyle w:val="Pargrafoda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81B3B">
              <w:rPr>
                <w:rFonts w:ascii="Arial" w:hAnsi="Arial" w:cs="Arial"/>
              </w:rPr>
              <w:t>ª</w:t>
            </w:r>
          </w:p>
        </w:tc>
        <w:tc>
          <w:tcPr>
            <w:tcW w:w="992" w:type="dxa"/>
          </w:tcPr>
          <w:p w14:paraId="7451668E" w14:textId="62D4C55B" w:rsidR="00CC62FB" w:rsidRDefault="005B0251" w:rsidP="00F94898">
            <w:pPr>
              <w:pStyle w:val="Pargrafoda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781B3B">
              <w:rPr>
                <w:rFonts w:ascii="Arial" w:hAnsi="Arial" w:cs="Arial"/>
              </w:rPr>
              <w:t>/04/2024</w:t>
            </w:r>
          </w:p>
        </w:tc>
        <w:tc>
          <w:tcPr>
            <w:tcW w:w="6551" w:type="dxa"/>
          </w:tcPr>
          <w:p w14:paraId="71D859FB" w14:textId="167DE5A2" w:rsidR="00CC62FB" w:rsidRPr="007E3647" w:rsidRDefault="00781B3B" w:rsidP="00F94898">
            <w:pPr>
              <w:pStyle w:val="Pargrafoda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Alteração do item 3.4.5.</w:t>
            </w:r>
          </w:p>
        </w:tc>
      </w:tr>
    </w:tbl>
    <w:p w14:paraId="20EB1A69" w14:textId="77777777" w:rsidR="007B4B82" w:rsidRDefault="007B4B82" w:rsidP="00F94898">
      <w:pPr>
        <w:pStyle w:val="PargrafodaLista"/>
        <w:spacing w:after="0"/>
        <w:ind w:left="0"/>
        <w:rPr>
          <w:rFonts w:ascii="Arial" w:hAnsi="Arial" w:cs="Arial"/>
          <w:sz w:val="24"/>
          <w:szCs w:val="24"/>
        </w:rPr>
      </w:pPr>
    </w:p>
    <w:p w14:paraId="7660FCD1" w14:textId="77777777" w:rsidR="007B4B82" w:rsidRDefault="007B4B82" w:rsidP="00F94898">
      <w:pPr>
        <w:pStyle w:val="PargrafodaLista"/>
        <w:spacing w:after="0"/>
        <w:ind w:left="0"/>
        <w:rPr>
          <w:rFonts w:ascii="Arial" w:hAnsi="Arial" w:cs="Arial"/>
          <w:sz w:val="24"/>
          <w:szCs w:val="24"/>
        </w:rPr>
      </w:pPr>
    </w:p>
    <w:sectPr w:rsidR="007B4B82" w:rsidSect="00B974BB">
      <w:footerReference w:type="default" r:id="rId19"/>
      <w:pgSz w:w="11906" w:h="16838"/>
      <w:pgMar w:top="1417" w:right="1701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AD1E" w14:textId="77777777" w:rsidR="00B974BB" w:rsidRDefault="00B974BB" w:rsidP="0089434E">
      <w:pPr>
        <w:spacing w:after="0" w:line="240" w:lineRule="auto"/>
      </w:pPr>
      <w:r>
        <w:separator/>
      </w:r>
    </w:p>
  </w:endnote>
  <w:endnote w:type="continuationSeparator" w:id="0">
    <w:p w14:paraId="5ED77947" w14:textId="77777777" w:rsidR="00B974BB" w:rsidRDefault="00B974BB" w:rsidP="0089434E">
      <w:pPr>
        <w:spacing w:after="0" w:line="240" w:lineRule="auto"/>
      </w:pPr>
      <w:r>
        <w:continuationSeparator/>
      </w:r>
    </w:p>
  </w:endnote>
  <w:endnote w:type="continuationNotice" w:id="1">
    <w:p w14:paraId="44E63E2F" w14:textId="77777777" w:rsidR="00B974BB" w:rsidRDefault="00B974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Futura Std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C3AD" w14:textId="07736AA1" w:rsidR="007C48B7" w:rsidRDefault="007C48B7">
    <w:pPr>
      <w:pStyle w:val="Rodap"/>
      <w:jc w:val="center"/>
    </w:pPr>
  </w:p>
  <w:p w14:paraId="1E6C3CA4" w14:textId="2421F061" w:rsidR="00427D5C" w:rsidRDefault="00427D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7277" w14:textId="77777777" w:rsidR="00427D5C" w:rsidRDefault="00427D5C">
    <w:pPr>
      <w:pStyle w:val="Rodap"/>
      <w:jc w:val="center"/>
    </w:pPr>
  </w:p>
  <w:p w14:paraId="4E8DF268" w14:textId="77777777" w:rsidR="00427D5C" w:rsidRDefault="00427D5C" w:rsidP="007B4B82">
    <w:pPr>
      <w:pStyle w:val="Rodap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85850"/>
      <w:docPartObj>
        <w:docPartGallery w:val="Page Numbers (Bottom of Page)"/>
        <w:docPartUnique/>
      </w:docPartObj>
    </w:sdtPr>
    <w:sdtEndPr/>
    <w:sdtContent>
      <w:p w14:paraId="7FE57557" w14:textId="6F9D8C37" w:rsidR="00F56DF6" w:rsidRDefault="00F56DF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F5CD8" w14:textId="12FFF1A1" w:rsidR="00427D5C" w:rsidRDefault="00427D5C" w:rsidP="007B4B82">
    <w:pPr>
      <w:pStyle w:val="Rodap"/>
      <w:ind w:firstLine="70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0890037"/>
      <w:docPartObj>
        <w:docPartGallery w:val="Page Numbers (Bottom of Page)"/>
        <w:docPartUnique/>
      </w:docPartObj>
    </w:sdtPr>
    <w:sdtEndPr/>
    <w:sdtContent>
      <w:p w14:paraId="664BB9C0" w14:textId="77777777" w:rsidR="007C48B7" w:rsidRDefault="007C48B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21E54D" w14:textId="77777777" w:rsidR="007C48B7" w:rsidRDefault="007C48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07F6" w14:textId="77777777" w:rsidR="00B974BB" w:rsidRDefault="00B974BB" w:rsidP="0089434E">
      <w:pPr>
        <w:spacing w:after="0" w:line="240" w:lineRule="auto"/>
      </w:pPr>
      <w:r>
        <w:separator/>
      </w:r>
    </w:p>
  </w:footnote>
  <w:footnote w:type="continuationSeparator" w:id="0">
    <w:p w14:paraId="49B17023" w14:textId="77777777" w:rsidR="00B974BB" w:rsidRDefault="00B974BB" w:rsidP="0089434E">
      <w:pPr>
        <w:spacing w:after="0" w:line="240" w:lineRule="auto"/>
      </w:pPr>
      <w:r>
        <w:continuationSeparator/>
      </w:r>
    </w:p>
  </w:footnote>
  <w:footnote w:type="continuationNotice" w:id="1">
    <w:p w14:paraId="0F4DDE58" w14:textId="77777777" w:rsidR="00B974BB" w:rsidRDefault="00B974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038D" w14:textId="67FBA786" w:rsidR="00427D5C" w:rsidRDefault="00427D5C" w:rsidP="00C75A6E">
    <w:pPr>
      <w:pStyle w:val="Cabealho"/>
      <w:tabs>
        <w:tab w:val="clear" w:pos="4252"/>
        <w:tab w:val="clear" w:pos="8504"/>
        <w:tab w:val="center" w:pos="1338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3097432" wp14:editId="429485D8">
              <wp:simplePos x="0" y="0"/>
              <wp:positionH relativeFrom="column">
                <wp:posOffset>-394335</wp:posOffset>
              </wp:positionH>
              <wp:positionV relativeFrom="paragraph">
                <wp:posOffset>-81280</wp:posOffset>
              </wp:positionV>
              <wp:extent cx="3498850" cy="438150"/>
              <wp:effectExtent l="0" t="0" r="0" b="0"/>
              <wp:wrapSquare wrapText="bothSides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85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66BB9" w14:textId="2BB2FF05" w:rsidR="00427D5C" w:rsidRPr="00D25839" w:rsidRDefault="00427D5C" w:rsidP="00470A8C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</w:rPr>
                          </w:pPr>
                          <w:r w:rsidRPr="00843F23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</w:rPr>
                            <w:t xml:space="preserve">GERÊNCIA GERAL DE MEDICAMENTOS </w:t>
                          </w:r>
                          <w:r w:rsidRPr="003F56DD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</w:rPr>
                            <w:br/>
                          </w:r>
                          <w:r w:rsidRPr="00D25839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</w:rPr>
                            <w:t>Coordenação de Equivalência Terapêutica</w:t>
                          </w:r>
                        </w:p>
                        <w:p w14:paraId="5EBB5E7D" w14:textId="4793CF2C" w:rsidR="00427D5C" w:rsidRPr="005504BE" w:rsidRDefault="00427D5C" w:rsidP="00470A8C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</w:rPr>
                          </w:pPr>
                          <w:r w:rsidRPr="00D25839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</w:rPr>
                            <w:t>Gerência de</w:t>
                          </w:r>
                          <w:r w:rsidRPr="00D25839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D25839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</w:rPr>
                            <w:t>Avaliação da Qualidade de Medicamentos Sintéticos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9743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-31.05pt;margin-top:-6.4pt;width:275.5pt;height:34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" filled="f" stroked="f">
              <v:textbox>
                <w:txbxContent>
                  <w:p w14:paraId="54866BB9" w14:textId="2BB2FF05" w:rsidR="00427D5C" w:rsidRPr="00D25839" w:rsidRDefault="00427D5C" w:rsidP="00470A8C">
                    <w:pPr>
                      <w:spacing w:after="0"/>
                      <w:rPr>
                        <w:rFonts w:ascii="Arial" w:hAnsi="Arial" w:cs="Arial"/>
                        <w:color w:val="FFFFFF" w:themeColor="background1"/>
                        <w:sz w:val="14"/>
                      </w:rPr>
                    </w:pPr>
                    <w:r w:rsidRPr="00843F23">
                      <w:rPr>
                        <w:rFonts w:ascii="Arial" w:hAnsi="Arial" w:cs="Arial"/>
                        <w:color w:val="FFFFFF" w:themeColor="background1"/>
                        <w:sz w:val="14"/>
                      </w:rPr>
                      <w:t xml:space="preserve">GERÊNCIA GERAL DE MEDICAMENTOS </w:t>
                    </w:r>
                    <w:r w:rsidRPr="003F56DD">
                      <w:rPr>
                        <w:rFonts w:ascii="Arial" w:hAnsi="Arial" w:cs="Arial"/>
                        <w:color w:val="FFFFFF" w:themeColor="background1"/>
                        <w:sz w:val="14"/>
                      </w:rPr>
                      <w:br/>
                    </w:r>
                    <w:r w:rsidRPr="00D25839">
                      <w:rPr>
                        <w:rFonts w:ascii="Arial" w:hAnsi="Arial" w:cs="Arial"/>
                        <w:color w:val="FFFFFF" w:themeColor="background1"/>
                        <w:sz w:val="14"/>
                      </w:rPr>
                      <w:t>Coordenação de Equivalência Terapêutica</w:t>
                    </w:r>
                  </w:p>
                  <w:p w14:paraId="5EBB5E7D" w14:textId="4793CF2C" w:rsidR="00427D5C" w:rsidRPr="005504BE" w:rsidRDefault="00427D5C" w:rsidP="00470A8C">
                    <w:pPr>
                      <w:spacing w:after="0"/>
                      <w:rPr>
                        <w:rFonts w:ascii="Arial" w:hAnsi="Arial" w:cs="Arial"/>
                        <w:color w:val="FFFFFF" w:themeColor="background1"/>
                        <w:sz w:val="14"/>
                      </w:rPr>
                    </w:pPr>
                    <w:r w:rsidRPr="00D25839">
                      <w:rPr>
                        <w:rFonts w:ascii="Arial" w:hAnsi="Arial" w:cs="Arial"/>
                        <w:color w:val="FFFFFF" w:themeColor="background1"/>
                        <w:sz w:val="14"/>
                      </w:rPr>
                      <w:t>Gerência de</w:t>
                    </w:r>
                    <w:r w:rsidRPr="00D25839">
                      <w:rPr>
                        <w:color w:val="FFFFFF" w:themeColor="background1"/>
                      </w:rPr>
                      <w:t xml:space="preserve"> </w:t>
                    </w:r>
                    <w:r w:rsidRPr="00D25839">
                      <w:rPr>
                        <w:rFonts w:ascii="Arial" w:hAnsi="Arial" w:cs="Arial"/>
                        <w:color w:val="FFFFFF" w:themeColor="background1"/>
                        <w:sz w:val="14"/>
                      </w:rPr>
                      <w:t>Avaliação da Qualidade de Medicamentos Sintéticos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2" behindDoc="1" locked="0" layoutInCell="1" allowOverlap="1" wp14:anchorId="4E9ABF8C" wp14:editId="7053980A">
          <wp:simplePos x="0" y="0"/>
          <wp:positionH relativeFrom="margin">
            <wp:posOffset>3676015</wp:posOffset>
          </wp:positionH>
          <wp:positionV relativeFrom="margin">
            <wp:posOffset>-556895</wp:posOffset>
          </wp:positionV>
          <wp:extent cx="1634490" cy="415290"/>
          <wp:effectExtent l="0" t="0" r="3810" b="381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erguntas e respost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9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07470F" wp14:editId="2EB93E14">
              <wp:simplePos x="0" y="0"/>
              <wp:positionH relativeFrom="page">
                <wp:posOffset>-25400</wp:posOffset>
              </wp:positionH>
              <wp:positionV relativeFrom="page">
                <wp:posOffset>349250</wp:posOffset>
              </wp:positionV>
              <wp:extent cx="4730750" cy="400050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30750" cy="4000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8B351B" id="Rectangle 14" o:spid="_x0000_s1026" style="position:absolute;margin-left:-2pt;margin-top:27.5pt;width:372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" fillcolor="#2e74b5 [240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E70D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010F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B9268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B333BF"/>
    <w:multiLevelType w:val="hybridMultilevel"/>
    <w:tmpl w:val="47561E28"/>
    <w:lvl w:ilvl="0" w:tplc="4E8CCA16">
      <w:numFmt w:val="bullet"/>
      <w:lvlText w:val=""/>
      <w:lvlJc w:val="left"/>
      <w:pPr>
        <w:ind w:left="1211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09C05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460163"/>
    <w:multiLevelType w:val="hybridMultilevel"/>
    <w:tmpl w:val="B0068642"/>
    <w:lvl w:ilvl="0" w:tplc="D952A760">
      <w:start w:val="1"/>
      <w:numFmt w:val="decimal"/>
      <w:lvlText w:val="%1."/>
      <w:lvlJc w:val="left"/>
      <w:pPr>
        <w:ind w:left="360" w:hanging="360"/>
      </w:pPr>
      <w:rPr>
        <w:rFonts w:hint="default"/>
        <w:color w:val="5B9BD5" w:themeColor="accent1"/>
        <w:spacing w:val="2"/>
        <w:kern w:val="0"/>
        <w14:cntxtAlts w14:val="0"/>
      </w:rPr>
    </w:lvl>
    <w:lvl w:ilvl="1" w:tplc="D952A760">
      <w:start w:val="1"/>
      <w:numFmt w:val="decimal"/>
      <w:lvlText w:val="%2."/>
      <w:lvlJc w:val="left"/>
      <w:pPr>
        <w:ind w:left="1080" w:hanging="360"/>
      </w:pPr>
      <w:rPr>
        <w:rFonts w:hint="default"/>
        <w:color w:val="5B9BD5" w:themeColor="accent1"/>
        <w:spacing w:val="2"/>
        <w:kern w:val="0"/>
        <w14:cntxtAlts w14:val="0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012FB3"/>
    <w:multiLevelType w:val="hybridMultilevel"/>
    <w:tmpl w:val="ED56B912"/>
    <w:lvl w:ilvl="0" w:tplc="60868660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F74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BD2E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C43EB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90104A"/>
    <w:multiLevelType w:val="hybridMultilevel"/>
    <w:tmpl w:val="C0B215C2"/>
    <w:lvl w:ilvl="0" w:tplc="D952A760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  <w:spacing w:val="2"/>
        <w:kern w:val="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D7CF4"/>
    <w:multiLevelType w:val="hybridMultilevel"/>
    <w:tmpl w:val="D04A390E"/>
    <w:lvl w:ilvl="0" w:tplc="0416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 w16cid:durableId="1350644725">
    <w:abstractNumId w:val="7"/>
  </w:num>
  <w:num w:numId="2" w16cid:durableId="1015573448">
    <w:abstractNumId w:val="6"/>
  </w:num>
  <w:num w:numId="3" w16cid:durableId="753477077">
    <w:abstractNumId w:val="11"/>
  </w:num>
  <w:num w:numId="4" w16cid:durableId="1993673994">
    <w:abstractNumId w:val="1"/>
  </w:num>
  <w:num w:numId="5" w16cid:durableId="139616043">
    <w:abstractNumId w:val="9"/>
  </w:num>
  <w:num w:numId="6" w16cid:durableId="1219131375">
    <w:abstractNumId w:val="3"/>
  </w:num>
  <w:num w:numId="7" w16cid:durableId="151915693">
    <w:abstractNumId w:val="10"/>
  </w:num>
  <w:num w:numId="8" w16cid:durableId="102850662">
    <w:abstractNumId w:val="6"/>
    <w:lvlOverride w:ilvl="0">
      <w:lvl w:ilvl="0" w:tplc="D952A76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5B9BD5" w:themeColor="accent1"/>
          <w:spacing w:val="2"/>
          <w:kern w:val="0"/>
          <w14:cntxtAlts w14:val="0"/>
        </w:rPr>
      </w:lvl>
    </w:lvlOverride>
    <w:lvlOverride w:ilvl="1">
      <w:lvl w:ilvl="1" w:tplc="D952A760">
        <w:start w:val="1"/>
        <w:numFmt w:val="none"/>
        <w:lvlText w:val="5.1"/>
        <w:lvlJc w:val="left"/>
        <w:pPr>
          <w:ind w:left="1080" w:hanging="360"/>
        </w:pPr>
        <w:rPr>
          <w:rFonts w:hint="default"/>
          <w:color w:val="5B9BD5" w:themeColor="accent1"/>
          <w:spacing w:val="2"/>
          <w:kern w:val="0"/>
          <w14:cntxtAlts w14:val="0"/>
        </w:rPr>
      </w:lvl>
    </w:lvlOverride>
    <w:lvlOverride w:ilvl="2">
      <w:lvl w:ilvl="2" w:tplc="0416001B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 w:tplc="0416000F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 w:tplc="04160019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 w:tplc="0416001B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 w:tplc="0416000F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 w:tplc="04160019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 w:tplc="0416001B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9" w16cid:durableId="624386933">
    <w:abstractNumId w:val="5"/>
  </w:num>
  <w:num w:numId="10" w16cid:durableId="1398747320">
    <w:abstractNumId w:val="0"/>
  </w:num>
  <w:num w:numId="11" w16cid:durableId="2140492280">
    <w:abstractNumId w:val="2"/>
  </w:num>
  <w:num w:numId="12" w16cid:durableId="80183190">
    <w:abstractNumId w:val="8"/>
  </w:num>
  <w:num w:numId="13" w16cid:durableId="1944027118">
    <w:abstractNumId w:val="4"/>
  </w:num>
  <w:num w:numId="14" w16cid:durableId="21059594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2F"/>
    <w:rsid w:val="00000E65"/>
    <w:rsid w:val="00000FCC"/>
    <w:rsid w:val="00001392"/>
    <w:rsid w:val="000049EC"/>
    <w:rsid w:val="000171BB"/>
    <w:rsid w:val="000217E8"/>
    <w:rsid w:val="000236A5"/>
    <w:rsid w:val="000260B7"/>
    <w:rsid w:val="000339AA"/>
    <w:rsid w:val="00034BD8"/>
    <w:rsid w:val="00036C9C"/>
    <w:rsid w:val="00040AEB"/>
    <w:rsid w:val="00041A73"/>
    <w:rsid w:val="00043BCF"/>
    <w:rsid w:val="00044094"/>
    <w:rsid w:val="000460BC"/>
    <w:rsid w:val="0004714C"/>
    <w:rsid w:val="00051E04"/>
    <w:rsid w:val="00052185"/>
    <w:rsid w:val="00056056"/>
    <w:rsid w:val="0006702F"/>
    <w:rsid w:val="00073290"/>
    <w:rsid w:val="00073CAC"/>
    <w:rsid w:val="00073E41"/>
    <w:rsid w:val="00075A4B"/>
    <w:rsid w:val="00076FAF"/>
    <w:rsid w:val="000776B5"/>
    <w:rsid w:val="000779E1"/>
    <w:rsid w:val="000830D6"/>
    <w:rsid w:val="000856E7"/>
    <w:rsid w:val="000873E9"/>
    <w:rsid w:val="000904EF"/>
    <w:rsid w:val="00093BC9"/>
    <w:rsid w:val="000941FB"/>
    <w:rsid w:val="00094F12"/>
    <w:rsid w:val="000A1C4D"/>
    <w:rsid w:val="000A4A73"/>
    <w:rsid w:val="000A54E7"/>
    <w:rsid w:val="000A576E"/>
    <w:rsid w:val="000A7678"/>
    <w:rsid w:val="000A7A4B"/>
    <w:rsid w:val="000B50E3"/>
    <w:rsid w:val="000C155D"/>
    <w:rsid w:val="000C2D76"/>
    <w:rsid w:val="000D1EF3"/>
    <w:rsid w:val="000D484F"/>
    <w:rsid w:val="000E1216"/>
    <w:rsid w:val="000E3557"/>
    <w:rsid w:val="000E4AF0"/>
    <w:rsid w:val="000E6756"/>
    <w:rsid w:val="000F1234"/>
    <w:rsid w:val="000F13DC"/>
    <w:rsid w:val="000F1B16"/>
    <w:rsid w:val="00110B08"/>
    <w:rsid w:val="00110B3E"/>
    <w:rsid w:val="001110C8"/>
    <w:rsid w:val="00122CA3"/>
    <w:rsid w:val="00123537"/>
    <w:rsid w:val="001250A8"/>
    <w:rsid w:val="0012778E"/>
    <w:rsid w:val="001279E9"/>
    <w:rsid w:val="0013311B"/>
    <w:rsid w:val="00141583"/>
    <w:rsid w:val="00146076"/>
    <w:rsid w:val="001506F7"/>
    <w:rsid w:val="00151890"/>
    <w:rsid w:val="0015748E"/>
    <w:rsid w:val="00160C3C"/>
    <w:rsid w:val="00163851"/>
    <w:rsid w:val="00164125"/>
    <w:rsid w:val="00164EAD"/>
    <w:rsid w:val="00165DE7"/>
    <w:rsid w:val="00180058"/>
    <w:rsid w:val="00180289"/>
    <w:rsid w:val="00180F07"/>
    <w:rsid w:val="00182688"/>
    <w:rsid w:val="00190A57"/>
    <w:rsid w:val="001930D0"/>
    <w:rsid w:val="00193A5D"/>
    <w:rsid w:val="0019579A"/>
    <w:rsid w:val="001A0C6D"/>
    <w:rsid w:val="001B100F"/>
    <w:rsid w:val="001C2F89"/>
    <w:rsid w:val="001C69D9"/>
    <w:rsid w:val="001D1A14"/>
    <w:rsid w:val="001D3DC7"/>
    <w:rsid w:val="001D64B2"/>
    <w:rsid w:val="001E5689"/>
    <w:rsid w:val="00201798"/>
    <w:rsid w:val="00204EF4"/>
    <w:rsid w:val="00226960"/>
    <w:rsid w:val="00231651"/>
    <w:rsid w:val="0023369E"/>
    <w:rsid w:val="00233DBD"/>
    <w:rsid w:val="00233F11"/>
    <w:rsid w:val="00243642"/>
    <w:rsid w:val="002444F2"/>
    <w:rsid w:val="00245C9C"/>
    <w:rsid w:val="002507F7"/>
    <w:rsid w:val="002524C0"/>
    <w:rsid w:val="002571B8"/>
    <w:rsid w:val="00260C47"/>
    <w:rsid w:val="00266141"/>
    <w:rsid w:val="002702A5"/>
    <w:rsid w:val="002712FA"/>
    <w:rsid w:val="002733DC"/>
    <w:rsid w:val="00281452"/>
    <w:rsid w:val="002829E3"/>
    <w:rsid w:val="00285614"/>
    <w:rsid w:val="00285A9C"/>
    <w:rsid w:val="002934C1"/>
    <w:rsid w:val="00293C46"/>
    <w:rsid w:val="00297721"/>
    <w:rsid w:val="00297B9C"/>
    <w:rsid w:val="002A27E1"/>
    <w:rsid w:val="002A5190"/>
    <w:rsid w:val="002B19C0"/>
    <w:rsid w:val="002B3F30"/>
    <w:rsid w:val="002C0931"/>
    <w:rsid w:val="002C3A99"/>
    <w:rsid w:val="002C69C5"/>
    <w:rsid w:val="002D432E"/>
    <w:rsid w:val="002D6B42"/>
    <w:rsid w:val="002E0366"/>
    <w:rsid w:val="002E1515"/>
    <w:rsid w:val="002E387D"/>
    <w:rsid w:val="002E3D6C"/>
    <w:rsid w:val="002E67D8"/>
    <w:rsid w:val="002F5226"/>
    <w:rsid w:val="00304E89"/>
    <w:rsid w:val="003055D9"/>
    <w:rsid w:val="003065D8"/>
    <w:rsid w:val="00310D63"/>
    <w:rsid w:val="0031145D"/>
    <w:rsid w:val="0032232A"/>
    <w:rsid w:val="00323B8D"/>
    <w:rsid w:val="00330FCA"/>
    <w:rsid w:val="00334773"/>
    <w:rsid w:val="00337CF3"/>
    <w:rsid w:val="00344A3B"/>
    <w:rsid w:val="00345C90"/>
    <w:rsid w:val="00347EE3"/>
    <w:rsid w:val="00355A4D"/>
    <w:rsid w:val="00362D06"/>
    <w:rsid w:val="00364610"/>
    <w:rsid w:val="00364F4D"/>
    <w:rsid w:val="00366467"/>
    <w:rsid w:val="003671EA"/>
    <w:rsid w:val="00376169"/>
    <w:rsid w:val="0037781E"/>
    <w:rsid w:val="003806BF"/>
    <w:rsid w:val="00382D38"/>
    <w:rsid w:val="0038737D"/>
    <w:rsid w:val="00394878"/>
    <w:rsid w:val="00394A60"/>
    <w:rsid w:val="003A32E3"/>
    <w:rsid w:val="003A4DA2"/>
    <w:rsid w:val="003A6758"/>
    <w:rsid w:val="003A7AC0"/>
    <w:rsid w:val="003B163B"/>
    <w:rsid w:val="003B51D1"/>
    <w:rsid w:val="003B6BFF"/>
    <w:rsid w:val="003C0E07"/>
    <w:rsid w:val="003C146B"/>
    <w:rsid w:val="003C1523"/>
    <w:rsid w:val="003C263F"/>
    <w:rsid w:val="003C644E"/>
    <w:rsid w:val="003D41D0"/>
    <w:rsid w:val="003D647B"/>
    <w:rsid w:val="003E118F"/>
    <w:rsid w:val="003E13DF"/>
    <w:rsid w:val="003E5918"/>
    <w:rsid w:val="003E67E6"/>
    <w:rsid w:val="003E79DC"/>
    <w:rsid w:val="003F0C14"/>
    <w:rsid w:val="003F56DD"/>
    <w:rsid w:val="003F6635"/>
    <w:rsid w:val="004031F4"/>
    <w:rsid w:val="00404657"/>
    <w:rsid w:val="00405B7A"/>
    <w:rsid w:val="00406209"/>
    <w:rsid w:val="00407ED0"/>
    <w:rsid w:val="00412E4F"/>
    <w:rsid w:val="00427D5C"/>
    <w:rsid w:val="004344E0"/>
    <w:rsid w:val="00434534"/>
    <w:rsid w:val="00457E65"/>
    <w:rsid w:val="0046363E"/>
    <w:rsid w:val="00463CCD"/>
    <w:rsid w:val="00463E0F"/>
    <w:rsid w:val="00465090"/>
    <w:rsid w:val="00466FC0"/>
    <w:rsid w:val="00470A8C"/>
    <w:rsid w:val="00470C63"/>
    <w:rsid w:val="00471BE3"/>
    <w:rsid w:val="004728AF"/>
    <w:rsid w:val="00482A77"/>
    <w:rsid w:val="0048333F"/>
    <w:rsid w:val="004833E1"/>
    <w:rsid w:val="00485E3A"/>
    <w:rsid w:val="0049061F"/>
    <w:rsid w:val="00490FEA"/>
    <w:rsid w:val="0049127E"/>
    <w:rsid w:val="004A17A6"/>
    <w:rsid w:val="004A38EC"/>
    <w:rsid w:val="004A6F79"/>
    <w:rsid w:val="004B199F"/>
    <w:rsid w:val="004B465C"/>
    <w:rsid w:val="004B5222"/>
    <w:rsid w:val="004B6222"/>
    <w:rsid w:val="004C1174"/>
    <w:rsid w:val="004C5CDF"/>
    <w:rsid w:val="004C6422"/>
    <w:rsid w:val="004D2E78"/>
    <w:rsid w:val="004E1D3B"/>
    <w:rsid w:val="004E3F84"/>
    <w:rsid w:val="00501FC8"/>
    <w:rsid w:val="005100F2"/>
    <w:rsid w:val="00520EED"/>
    <w:rsid w:val="0052160F"/>
    <w:rsid w:val="00521A6E"/>
    <w:rsid w:val="005220C4"/>
    <w:rsid w:val="00524CF2"/>
    <w:rsid w:val="005255DD"/>
    <w:rsid w:val="005320BD"/>
    <w:rsid w:val="00543397"/>
    <w:rsid w:val="0054575F"/>
    <w:rsid w:val="005504BE"/>
    <w:rsid w:val="00550DA8"/>
    <w:rsid w:val="00551CF3"/>
    <w:rsid w:val="00555BCE"/>
    <w:rsid w:val="00560DEA"/>
    <w:rsid w:val="00575F1C"/>
    <w:rsid w:val="005776B5"/>
    <w:rsid w:val="005779B5"/>
    <w:rsid w:val="005802AF"/>
    <w:rsid w:val="00584797"/>
    <w:rsid w:val="0058491E"/>
    <w:rsid w:val="00590A7C"/>
    <w:rsid w:val="005974CD"/>
    <w:rsid w:val="005A4028"/>
    <w:rsid w:val="005A4723"/>
    <w:rsid w:val="005A50DB"/>
    <w:rsid w:val="005A6A20"/>
    <w:rsid w:val="005B0251"/>
    <w:rsid w:val="005C1384"/>
    <w:rsid w:val="005C1E3F"/>
    <w:rsid w:val="005D1A47"/>
    <w:rsid w:val="005D5CAC"/>
    <w:rsid w:val="005E0CEB"/>
    <w:rsid w:val="005F1514"/>
    <w:rsid w:val="005F232E"/>
    <w:rsid w:val="00600CE7"/>
    <w:rsid w:val="00601A84"/>
    <w:rsid w:val="006043A5"/>
    <w:rsid w:val="00612FD0"/>
    <w:rsid w:val="00614BFF"/>
    <w:rsid w:val="0061544A"/>
    <w:rsid w:val="0063092D"/>
    <w:rsid w:val="00631288"/>
    <w:rsid w:val="006329C7"/>
    <w:rsid w:val="006456A3"/>
    <w:rsid w:val="00651218"/>
    <w:rsid w:val="0065146B"/>
    <w:rsid w:val="00651BD4"/>
    <w:rsid w:val="00652D51"/>
    <w:rsid w:val="0067110B"/>
    <w:rsid w:val="00671E30"/>
    <w:rsid w:val="006725A0"/>
    <w:rsid w:val="00672DFD"/>
    <w:rsid w:val="0068211D"/>
    <w:rsid w:val="00686303"/>
    <w:rsid w:val="00694938"/>
    <w:rsid w:val="00695ABC"/>
    <w:rsid w:val="006A121A"/>
    <w:rsid w:val="006A7FBF"/>
    <w:rsid w:val="006B0A97"/>
    <w:rsid w:val="006B29A5"/>
    <w:rsid w:val="006B2ADD"/>
    <w:rsid w:val="006C59FB"/>
    <w:rsid w:val="006E626B"/>
    <w:rsid w:val="006F49D1"/>
    <w:rsid w:val="006F52BB"/>
    <w:rsid w:val="00700557"/>
    <w:rsid w:val="00700BE3"/>
    <w:rsid w:val="00703032"/>
    <w:rsid w:val="00705DEB"/>
    <w:rsid w:val="00707A25"/>
    <w:rsid w:val="00707BD4"/>
    <w:rsid w:val="00713E86"/>
    <w:rsid w:val="00714302"/>
    <w:rsid w:val="00720710"/>
    <w:rsid w:val="0072081B"/>
    <w:rsid w:val="0072203C"/>
    <w:rsid w:val="007241CE"/>
    <w:rsid w:val="007275F7"/>
    <w:rsid w:val="00731803"/>
    <w:rsid w:val="00733065"/>
    <w:rsid w:val="007330C9"/>
    <w:rsid w:val="00735953"/>
    <w:rsid w:val="0073660F"/>
    <w:rsid w:val="007438C0"/>
    <w:rsid w:val="00744A28"/>
    <w:rsid w:val="00745516"/>
    <w:rsid w:val="007512E2"/>
    <w:rsid w:val="007545AF"/>
    <w:rsid w:val="0075740F"/>
    <w:rsid w:val="007674A5"/>
    <w:rsid w:val="0077467B"/>
    <w:rsid w:val="00776A2F"/>
    <w:rsid w:val="00780917"/>
    <w:rsid w:val="00781B3B"/>
    <w:rsid w:val="00790F0A"/>
    <w:rsid w:val="00794A49"/>
    <w:rsid w:val="0079578E"/>
    <w:rsid w:val="007A1100"/>
    <w:rsid w:val="007A4BDC"/>
    <w:rsid w:val="007B4B82"/>
    <w:rsid w:val="007B5724"/>
    <w:rsid w:val="007C1076"/>
    <w:rsid w:val="007C48B7"/>
    <w:rsid w:val="007C6BFB"/>
    <w:rsid w:val="007C7047"/>
    <w:rsid w:val="007D648E"/>
    <w:rsid w:val="007E135B"/>
    <w:rsid w:val="007E209C"/>
    <w:rsid w:val="007E3647"/>
    <w:rsid w:val="007E7E18"/>
    <w:rsid w:val="007F0725"/>
    <w:rsid w:val="007F15D7"/>
    <w:rsid w:val="007F31A9"/>
    <w:rsid w:val="007F46EF"/>
    <w:rsid w:val="007F76BD"/>
    <w:rsid w:val="0080290A"/>
    <w:rsid w:val="00805E43"/>
    <w:rsid w:val="00810B26"/>
    <w:rsid w:val="00817B2F"/>
    <w:rsid w:val="00821414"/>
    <w:rsid w:val="008269B8"/>
    <w:rsid w:val="0083059D"/>
    <w:rsid w:val="008319A5"/>
    <w:rsid w:val="0083322F"/>
    <w:rsid w:val="00836D64"/>
    <w:rsid w:val="0083747A"/>
    <w:rsid w:val="0084090E"/>
    <w:rsid w:val="00843F23"/>
    <w:rsid w:val="00851E52"/>
    <w:rsid w:val="00854C6F"/>
    <w:rsid w:val="00856C69"/>
    <w:rsid w:val="00856CB6"/>
    <w:rsid w:val="008624CC"/>
    <w:rsid w:val="00871602"/>
    <w:rsid w:val="00871AB9"/>
    <w:rsid w:val="00874459"/>
    <w:rsid w:val="00887C5F"/>
    <w:rsid w:val="00891795"/>
    <w:rsid w:val="0089434E"/>
    <w:rsid w:val="0089442C"/>
    <w:rsid w:val="008962B4"/>
    <w:rsid w:val="00897502"/>
    <w:rsid w:val="0089769B"/>
    <w:rsid w:val="008A13FC"/>
    <w:rsid w:val="008A2440"/>
    <w:rsid w:val="008A5577"/>
    <w:rsid w:val="008A59EE"/>
    <w:rsid w:val="008A5C5B"/>
    <w:rsid w:val="008A6E8C"/>
    <w:rsid w:val="008B0D3E"/>
    <w:rsid w:val="008B5A4A"/>
    <w:rsid w:val="008C1CBD"/>
    <w:rsid w:val="008C53FD"/>
    <w:rsid w:val="008C5CB9"/>
    <w:rsid w:val="008D4BC0"/>
    <w:rsid w:val="008D5B2E"/>
    <w:rsid w:val="008E2802"/>
    <w:rsid w:val="008E2F94"/>
    <w:rsid w:val="008E60AA"/>
    <w:rsid w:val="008F4713"/>
    <w:rsid w:val="009072FE"/>
    <w:rsid w:val="00911A1F"/>
    <w:rsid w:val="00911B1A"/>
    <w:rsid w:val="00911D70"/>
    <w:rsid w:val="009165D7"/>
    <w:rsid w:val="00921200"/>
    <w:rsid w:val="0093085C"/>
    <w:rsid w:val="009416CE"/>
    <w:rsid w:val="009448DC"/>
    <w:rsid w:val="00954B6D"/>
    <w:rsid w:val="00955799"/>
    <w:rsid w:val="00957DE2"/>
    <w:rsid w:val="00961851"/>
    <w:rsid w:val="00975522"/>
    <w:rsid w:val="009757CA"/>
    <w:rsid w:val="00990059"/>
    <w:rsid w:val="00990248"/>
    <w:rsid w:val="0099366A"/>
    <w:rsid w:val="00997A58"/>
    <w:rsid w:val="009A0FD2"/>
    <w:rsid w:val="009A3131"/>
    <w:rsid w:val="009A3E5E"/>
    <w:rsid w:val="009A4667"/>
    <w:rsid w:val="009B6017"/>
    <w:rsid w:val="009D2A24"/>
    <w:rsid w:val="009D5FC7"/>
    <w:rsid w:val="009E473F"/>
    <w:rsid w:val="009E4903"/>
    <w:rsid w:val="009F0120"/>
    <w:rsid w:val="009F49E1"/>
    <w:rsid w:val="009F667F"/>
    <w:rsid w:val="00A0418F"/>
    <w:rsid w:val="00A118FC"/>
    <w:rsid w:val="00A122CF"/>
    <w:rsid w:val="00A1257F"/>
    <w:rsid w:val="00A16D2F"/>
    <w:rsid w:val="00A203A0"/>
    <w:rsid w:val="00A210CC"/>
    <w:rsid w:val="00A266CB"/>
    <w:rsid w:val="00A3071C"/>
    <w:rsid w:val="00A420A5"/>
    <w:rsid w:val="00A45D7D"/>
    <w:rsid w:val="00A4727B"/>
    <w:rsid w:val="00A524CA"/>
    <w:rsid w:val="00A52DE1"/>
    <w:rsid w:val="00A55C7A"/>
    <w:rsid w:val="00A57B31"/>
    <w:rsid w:val="00A744EA"/>
    <w:rsid w:val="00A74D6C"/>
    <w:rsid w:val="00A757C5"/>
    <w:rsid w:val="00A82B90"/>
    <w:rsid w:val="00A8344D"/>
    <w:rsid w:val="00A837DD"/>
    <w:rsid w:val="00A853DC"/>
    <w:rsid w:val="00A93791"/>
    <w:rsid w:val="00A95CD3"/>
    <w:rsid w:val="00AA03D0"/>
    <w:rsid w:val="00AA1A70"/>
    <w:rsid w:val="00AA2DAB"/>
    <w:rsid w:val="00AA32E3"/>
    <w:rsid w:val="00AB2395"/>
    <w:rsid w:val="00AC21DB"/>
    <w:rsid w:val="00AC327C"/>
    <w:rsid w:val="00AC3B59"/>
    <w:rsid w:val="00AC3C16"/>
    <w:rsid w:val="00AC5A11"/>
    <w:rsid w:val="00AD20C2"/>
    <w:rsid w:val="00AD69A2"/>
    <w:rsid w:val="00AF0376"/>
    <w:rsid w:val="00AF0542"/>
    <w:rsid w:val="00AF0CFA"/>
    <w:rsid w:val="00AF390D"/>
    <w:rsid w:val="00AF535E"/>
    <w:rsid w:val="00AF6648"/>
    <w:rsid w:val="00B0063C"/>
    <w:rsid w:val="00B01B59"/>
    <w:rsid w:val="00B07692"/>
    <w:rsid w:val="00B14AF2"/>
    <w:rsid w:val="00B15581"/>
    <w:rsid w:val="00B21B25"/>
    <w:rsid w:val="00B2314C"/>
    <w:rsid w:val="00B24698"/>
    <w:rsid w:val="00B25595"/>
    <w:rsid w:val="00B259A3"/>
    <w:rsid w:val="00B32383"/>
    <w:rsid w:val="00B346AB"/>
    <w:rsid w:val="00B34783"/>
    <w:rsid w:val="00B37750"/>
    <w:rsid w:val="00B4026F"/>
    <w:rsid w:val="00B42C0B"/>
    <w:rsid w:val="00B42CF2"/>
    <w:rsid w:val="00B462B7"/>
    <w:rsid w:val="00B5299B"/>
    <w:rsid w:val="00B5528C"/>
    <w:rsid w:val="00B6019D"/>
    <w:rsid w:val="00B64087"/>
    <w:rsid w:val="00B656CE"/>
    <w:rsid w:val="00B67164"/>
    <w:rsid w:val="00B72CB6"/>
    <w:rsid w:val="00B7416D"/>
    <w:rsid w:val="00B76543"/>
    <w:rsid w:val="00B77AEA"/>
    <w:rsid w:val="00B80726"/>
    <w:rsid w:val="00B8284D"/>
    <w:rsid w:val="00B82A16"/>
    <w:rsid w:val="00B87C7F"/>
    <w:rsid w:val="00B974BB"/>
    <w:rsid w:val="00BA2162"/>
    <w:rsid w:val="00BA669C"/>
    <w:rsid w:val="00BB1796"/>
    <w:rsid w:val="00BB260B"/>
    <w:rsid w:val="00BB2B15"/>
    <w:rsid w:val="00BB6B7B"/>
    <w:rsid w:val="00BC00E5"/>
    <w:rsid w:val="00BC0C88"/>
    <w:rsid w:val="00BD1498"/>
    <w:rsid w:val="00BD7751"/>
    <w:rsid w:val="00BE0C8D"/>
    <w:rsid w:val="00BE1EFD"/>
    <w:rsid w:val="00BF32AD"/>
    <w:rsid w:val="00BF361E"/>
    <w:rsid w:val="00BF6BE7"/>
    <w:rsid w:val="00BF785F"/>
    <w:rsid w:val="00C015E6"/>
    <w:rsid w:val="00C03FC5"/>
    <w:rsid w:val="00C10764"/>
    <w:rsid w:val="00C11813"/>
    <w:rsid w:val="00C14C0A"/>
    <w:rsid w:val="00C32D4D"/>
    <w:rsid w:val="00C360C1"/>
    <w:rsid w:val="00C413FE"/>
    <w:rsid w:val="00C423FA"/>
    <w:rsid w:val="00C44236"/>
    <w:rsid w:val="00C44D79"/>
    <w:rsid w:val="00C52B82"/>
    <w:rsid w:val="00C563F8"/>
    <w:rsid w:val="00C623C1"/>
    <w:rsid w:val="00C65CC1"/>
    <w:rsid w:val="00C67802"/>
    <w:rsid w:val="00C71552"/>
    <w:rsid w:val="00C73E0D"/>
    <w:rsid w:val="00C75A6E"/>
    <w:rsid w:val="00C75F3A"/>
    <w:rsid w:val="00C76B62"/>
    <w:rsid w:val="00C8786D"/>
    <w:rsid w:val="00C92BFF"/>
    <w:rsid w:val="00C949DB"/>
    <w:rsid w:val="00C95E57"/>
    <w:rsid w:val="00CA09EA"/>
    <w:rsid w:val="00CA30D2"/>
    <w:rsid w:val="00CA6C4E"/>
    <w:rsid w:val="00CB1265"/>
    <w:rsid w:val="00CB1EE0"/>
    <w:rsid w:val="00CB6418"/>
    <w:rsid w:val="00CC4BF8"/>
    <w:rsid w:val="00CC62FB"/>
    <w:rsid w:val="00CC7B8A"/>
    <w:rsid w:val="00CD3013"/>
    <w:rsid w:val="00CD557E"/>
    <w:rsid w:val="00CE2079"/>
    <w:rsid w:val="00CE6D6E"/>
    <w:rsid w:val="00CF314A"/>
    <w:rsid w:val="00CF41B4"/>
    <w:rsid w:val="00D00F92"/>
    <w:rsid w:val="00D01A8B"/>
    <w:rsid w:val="00D02878"/>
    <w:rsid w:val="00D02938"/>
    <w:rsid w:val="00D06B4B"/>
    <w:rsid w:val="00D07B75"/>
    <w:rsid w:val="00D1124A"/>
    <w:rsid w:val="00D14B5C"/>
    <w:rsid w:val="00D21199"/>
    <w:rsid w:val="00D21B7E"/>
    <w:rsid w:val="00D21DD7"/>
    <w:rsid w:val="00D227F8"/>
    <w:rsid w:val="00D22C18"/>
    <w:rsid w:val="00D25839"/>
    <w:rsid w:val="00D2697A"/>
    <w:rsid w:val="00D3393E"/>
    <w:rsid w:val="00D341E1"/>
    <w:rsid w:val="00D40F52"/>
    <w:rsid w:val="00D475C0"/>
    <w:rsid w:val="00D53DCE"/>
    <w:rsid w:val="00D63D35"/>
    <w:rsid w:val="00D75D98"/>
    <w:rsid w:val="00D7762F"/>
    <w:rsid w:val="00D84A26"/>
    <w:rsid w:val="00D84DBE"/>
    <w:rsid w:val="00D850C9"/>
    <w:rsid w:val="00D87DA8"/>
    <w:rsid w:val="00D939A7"/>
    <w:rsid w:val="00DA1B2D"/>
    <w:rsid w:val="00DA65FD"/>
    <w:rsid w:val="00DB070A"/>
    <w:rsid w:val="00DB6043"/>
    <w:rsid w:val="00DB726F"/>
    <w:rsid w:val="00DC47A0"/>
    <w:rsid w:val="00DC7F5F"/>
    <w:rsid w:val="00DD599A"/>
    <w:rsid w:val="00DD7C0B"/>
    <w:rsid w:val="00DE1085"/>
    <w:rsid w:val="00DE2A7A"/>
    <w:rsid w:val="00DE31C0"/>
    <w:rsid w:val="00DF4439"/>
    <w:rsid w:val="00DF6451"/>
    <w:rsid w:val="00E119A3"/>
    <w:rsid w:val="00E1721D"/>
    <w:rsid w:val="00E26B88"/>
    <w:rsid w:val="00E279CE"/>
    <w:rsid w:val="00E31C47"/>
    <w:rsid w:val="00E35559"/>
    <w:rsid w:val="00E4290A"/>
    <w:rsid w:val="00E50028"/>
    <w:rsid w:val="00E506A5"/>
    <w:rsid w:val="00E539F8"/>
    <w:rsid w:val="00E5588B"/>
    <w:rsid w:val="00E62A20"/>
    <w:rsid w:val="00E64E0E"/>
    <w:rsid w:val="00E672A9"/>
    <w:rsid w:val="00E67678"/>
    <w:rsid w:val="00E6768B"/>
    <w:rsid w:val="00E70BA0"/>
    <w:rsid w:val="00E70D26"/>
    <w:rsid w:val="00E730D9"/>
    <w:rsid w:val="00E82E5A"/>
    <w:rsid w:val="00E83DD4"/>
    <w:rsid w:val="00E97192"/>
    <w:rsid w:val="00E97B57"/>
    <w:rsid w:val="00EA0CB3"/>
    <w:rsid w:val="00EA5774"/>
    <w:rsid w:val="00EA59B4"/>
    <w:rsid w:val="00EB16DE"/>
    <w:rsid w:val="00EB2A13"/>
    <w:rsid w:val="00EB675D"/>
    <w:rsid w:val="00EB7B55"/>
    <w:rsid w:val="00EC0B2B"/>
    <w:rsid w:val="00EC14AB"/>
    <w:rsid w:val="00ED5328"/>
    <w:rsid w:val="00ED5B35"/>
    <w:rsid w:val="00ED762B"/>
    <w:rsid w:val="00EE01D2"/>
    <w:rsid w:val="00EE31B5"/>
    <w:rsid w:val="00EE45CE"/>
    <w:rsid w:val="00EE5F0F"/>
    <w:rsid w:val="00EE7A30"/>
    <w:rsid w:val="00EF3A57"/>
    <w:rsid w:val="00F029F7"/>
    <w:rsid w:val="00F0486A"/>
    <w:rsid w:val="00F06546"/>
    <w:rsid w:val="00F105FA"/>
    <w:rsid w:val="00F128D2"/>
    <w:rsid w:val="00F13A28"/>
    <w:rsid w:val="00F1658C"/>
    <w:rsid w:val="00F166BE"/>
    <w:rsid w:val="00F17A93"/>
    <w:rsid w:val="00F20ECF"/>
    <w:rsid w:val="00F214ED"/>
    <w:rsid w:val="00F26146"/>
    <w:rsid w:val="00F2733E"/>
    <w:rsid w:val="00F3291B"/>
    <w:rsid w:val="00F341AF"/>
    <w:rsid w:val="00F35653"/>
    <w:rsid w:val="00F40130"/>
    <w:rsid w:val="00F406C9"/>
    <w:rsid w:val="00F45B25"/>
    <w:rsid w:val="00F46B91"/>
    <w:rsid w:val="00F56DF6"/>
    <w:rsid w:val="00F61D37"/>
    <w:rsid w:val="00F65BDC"/>
    <w:rsid w:val="00F72643"/>
    <w:rsid w:val="00F7275C"/>
    <w:rsid w:val="00F73823"/>
    <w:rsid w:val="00F76832"/>
    <w:rsid w:val="00F77786"/>
    <w:rsid w:val="00F77B9A"/>
    <w:rsid w:val="00F811A1"/>
    <w:rsid w:val="00F83D1C"/>
    <w:rsid w:val="00F8490F"/>
    <w:rsid w:val="00F862FB"/>
    <w:rsid w:val="00F87112"/>
    <w:rsid w:val="00F87544"/>
    <w:rsid w:val="00F8777B"/>
    <w:rsid w:val="00F928CB"/>
    <w:rsid w:val="00F931C3"/>
    <w:rsid w:val="00F94898"/>
    <w:rsid w:val="00F94E6E"/>
    <w:rsid w:val="00FA56A6"/>
    <w:rsid w:val="00FB4BCE"/>
    <w:rsid w:val="00FB64BD"/>
    <w:rsid w:val="00FB731A"/>
    <w:rsid w:val="00FC14ED"/>
    <w:rsid w:val="00FC1A62"/>
    <w:rsid w:val="00FC36A4"/>
    <w:rsid w:val="00FC55C4"/>
    <w:rsid w:val="00FE1B72"/>
    <w:rsid w:val="00FF6757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68D4A"/>
  <w15:docId w15:val="{F18A25C7-1AE8-4595-969C-D995C8A4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6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55B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55B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55B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5B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5BC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BC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943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4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434E"/>
  </w:style>
  <w:style w:type="paragraph" w:styleId="Rodap">
    <w:name w:val="footer"/>
    <w:basedOn w:val="Normal"/>
    <w:link w:val="RodapChar"/>
    <w:uiPriority w:val="99"/>
    <w:unhideWhenUsed/>
    <w:rsid w:val="00894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434E"/>
  </w:style>
  <w:style w:type="character" w:customStyle="1" w:styleId="Ttulo1Char">
    <w:name w:val="Título 1 Char"/>
    <w:basedOn w:val="Fontepargpadro"/>
    <w:link w:val="Ttulo1"/>
    <w:uiPriority w:val="9"/>
    <w:rsid w:val="00F862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862FB"/>
    <w:pPr>
      <w:spacing w:line="276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F862FB"/>
    <w:pPr>
      <w:spacing w:after="100"/>
    </w:pPr>
  </w:style>
  <w:style w:type="character" w:styleId="Hyperlink">
    <w:name w:val="Hyperlink"/>
    <w:basedOn w:val="Fontepargpadro"/>
    <w:uiPriority w:val="99"/>
    <w:unhideWhenUsed/>
    <w:rsid w:val="00F862F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04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8A5C5B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A5C5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1D3DC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portal.anvisa.gov.br/legislacao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portal.anvisa.gov.br/legislaca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ortal.anvisa.gov.br/legislaca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80A96B0C412449B77BAF487D44E1F7" ma:contentTypeVersion="14" ma:contentTypeDescription="Crie um novo documento." ma:contentTypeScope="" ma:versionID="ecfd56183a514eb2ac62eed643235cf7">
  <xsd:schema xmlns:xsd="http://www.w3.org/2001/XMLSchema" xmlns:xs="http://www.w3.org/2001/XMLSchema" xmlns:p="http://schemas.microsoft.com/office/2006/metadata/properties" xmlns:ns2="35788071-6c2b-4d2e-b006-b13c4fdf8d59" xmlns:ns3="b148a5d3-8625-4d4e-9bd1-7672fc3a646d" targetNamespace="http://schemas.microsoft.com/office/2006/metadata/properties" ma:root="true" ma:fieldsID="8c99883486ee030c924407d02071f176" ns2:_="" ns3:_="">
    <xsd:import namespace="35788071-6c2b-4d2e-b006-b13c4fdf8d59"/>
    <xsd:import namespace="b148a5d3-8625-4d4e-9bd1-7672fc3a6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88071-6c2b-4d2e-b006-b13c4fdf8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8a5d3-8625-4d4e-9bd1-7672fc3a64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754439-679b-4d6f-ae41-6d0224bcbb90}" ma:internalName="TaxCatchAll" ma:showField="CatchAllData" ma:web="b148a5d3-8625-4d4e-9bd1-7672fc3a6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48a5d3-8625-4d4e-9bd1-7672fc3a646d" xsi:nil="true"/>
    <lcf76f155ced4ddcb4097134ff3c332f xmlns="35788071-6c2b-4d2e-b006-b13c4fdf8d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9972F8-1DC5-4031-8CDF-295E5EE17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AF223-9FC2-4169-B5BA-DE1FB742CB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1B30B-8C95-4407-B34A-3BBE8CCB9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88071-6c2b-4d2e-b006-b13c4fdf8d59"/>
    <ds:schemaRef ds:uri="b148a5d3-8625-4d4e-9bd1-7672fc3a6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293A7-1011-416D-82CC-CFE91EC89C96}">
  <ds:schemaRefs>
    <ds:schemaRef ds:uri="http://schemas.microsoft.com/office/2006/metadata/properties"/>
    <ds:schemaRef ds:uri="http://schemas.microsoft.com/office/infopath/2007/PartnerControls"/>
    <ds:schemaRef ds:uri="b148a5d3-8625-4d4e-9bd1-7672fc3a646d"/>
    <ds:schemaRef ds:uri="35788071-6c2b-4d2e-b006-b13c4fdf8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6044</Words>
  <Characters>32641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38608</CharactersWithSpaces>
  <SharedDoc>false</SharedDoc>
  <HLinks>
    <vt:vector size="90" baseType="variant">
      <vt:variant>
        <vt:i4>7602223</vt:i4>
      </vt:variant>
      <vt:variant>
        <vt:i4>81</vt:i4>
      </vt:variant>
      <vt:variant>
        <vt:i4>0</vt:i4>
      </vt:variant>
      <vt:variant>
        <vt:i4>5</vt:i4>
      </vt:variant>
      <vt:variant>
        <vt:lpwstr>http://portal.anvisa.gov.br/legislacao</vt:lpwstr>
      </vt:variant>
      <vt:variant>
        <vt:lpwstr>/visualizar/27506</vt:lpwstr>
      </vt:variant>
      <vt:variant>
        <vt:i4>7602223</vt:i4>
      </vt:variant>
      <vt:variant>
        <vt:i4>78</vt:i4>
      </vt:variant>
      <vt:variant>
        <vt:i4>0</vt:i4>
      </vt:variant>
      <vt:variant>
        <vt:i4>5</vt:i4>
      </vt:variant>
      <vt:variant>
        <vt:lpwstr>http://portal.anvisa.gov.br/legislacao</vt:lpwstr>
      </vt:variant>
      <vt:variant>
        <vt:lpwstr>/visualizar/27506</vt:lpwstr>
      </vt:variant>
      <vt:variant>
        <vt:i4>7602223</vt:i4>
      </vt:variant>
      <vt:variant>
        <vt:i4>75</vt:i4>
      </vt:variant>
      <vt:variant>
        <vt:i4>0</vt:i4>
      </vt:variant>
      <vt:variant>
        <vt:i4>5</vt:i4>
      </vt:variant>
      <vt:variant>
        <vt:lpwstr>http://portal.anvisa.gov.br/legislacao</vt:lpwstr>
      </vt:variant>
      <vt:variant>
        <vt:lpwstr>/visualizar/27506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_Toc121844620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_Toc121844619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_Toc121844618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_Toc121844617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_Toc121844616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_Toc121844615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_Toc121844614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_Toc121844613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_Toc121844612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_Toc121844611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_Toc121844610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_Toc121844609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Emídio Dias</dc:creator>
  <cp:lastModifiedBy>Ana Carolina Emídio Dias</cp:lastModifiedBy>
  <cp:revision>7</cp:revision>
  <cp:lastPrinted>2016-08-30T18:08:00Z</cp:lastPrinted>
  <dcterms:created xsi:type="dcterms:W3CDTF">2024-04-04T18:24:00Z</dcterms:created>
  <dcterms:modified xsi:type="dcterms:W3CDTF">2024-04-04T20:28:00Z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0x0101000280A96B0C412449B77BAF487D44E1F7</vt:lpwstr>
  </property>
  <property fmtid="{D5CDD505-2E9C-101B-9397-08002B2CF9AE}" pid="3" name="MediaServiceImageTags">
    <vt:lpwstr/>
  </property>
</Properties>
</file>