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D6AC" w14:textId="77777777" w:rsidR="00721E54" w:rsidRPr="00721E54" w:rsidRDefault="00AF3C47" w:rsidP="00721E54">
      <w:pPr>
        <w:autoSpaceDE w:val="0"/>
        <w:autoSpaceDN w:val="0"/>
        <w:adjustRightInd w:val="0"/>
        <w:spacing w:before="240"/>
        <w:jc w:val="center"/>
        <w:rPr>
          <w:rStyle w:val="Nmerodelinha"/>
          <w:b/>
          <w:bCs/>
        </w:rPr>
      </w:pPr>
      <w:r w:rsidRPr="00721E54">
        <w:rPr>
          <w:rStyle w:val="Nmerodelinha"/>
          <w:b/>
          <w:bCs/>
        </w:rPr>
        <w:t xml:space="preserve">ANEXO </w:t>
      </w:r>
      <w:r w:rsidR="007B7652">
        <w:rPr>
          <w:rStyle w:val="Nmerodelinha"/>
          <w:b/>
          <w:bCs/>
        </w:rPr>
        <w:t>2</w:t>
      </w:r>
    </w:p>
    <w:p w14:paraId="7CFF637E" w14:textId="77777777" w:rsidR="00AF3C47" w:rsidRDefault="00AF3C47">
      <w:pPr>
        <w:autoSpaceDE w:val="0"/>
        <w:autoSpaceDN w:val="0"/>
        <w:adjustRightInd w:val="0"/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Informações mínimas do estabelecimento de STCO a serem reunidas previamente à inspeção</w:t>
      </w:r>
    </w:p>
    <w:p w14:paraId="6C98D5E7" w14:textId="77777777" w:rsidR="00AF3C47" w:rsidRDefault="00AF3C47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Situação da avaliação do Projeto Básico de Arquitetura (PBA)</w:t>
      </w:r>
      <w:r w:rsidR="00BF600A">
        <w:rPr>
          <w:sz w:val="24"/>
          <w:szCs w:val="24"/>
        </w:rPr>
        <w:t>.</w:t>
      </w:r>
    </w:p>
    <w:p w14:paraId="3E52E5F2" w14:textId="77777777" w:rsidR="00AF3C47" w:rsidRDefault="00AF3C47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Informações sobre quais atividades são realizadas pelo estabelecimento de STCO</w:t>
      </w:r>
      <w:r w:rsidR="00BF600A">
        <w:rPr>
          <w:sz w:val="24"/>
          <w:szCs w:val="24"/>
        </w:rPr>
        <w:t>.</w:t>
      </w:r>
    </w:p>
    <w:p w14:paraId="0D4C4577" w14:textId="77777777" w:rsidR="00AF3C47" w:rsidRDefault="00AF3C47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Comprovação de responsabilidade técnica junto ao Conselho profissional</w:t>
      </w:r>
      <w:r w:rsidR="00BF600A">
        <w:rPr>
          <w:sz w:val="24"/>
          <w:szCs w:val="24"/>
        </w:rPr>
        <w:t>.</w:t>
      </w:r>
    </w:p>
    <w:p w14:paraId="4211A3D2" w14:textId="77777777" w:rsidR="00AF3C47" w:rsidRDefault="00AF3C47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Contrato social e outros documentos pertinentes</w:t>
      </w:r>
      <w:r w:rsidR="00BF60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9C694F8" w14:textId="77777777" w:rsidR="00AF3C47" w:rsidRDefault="00AF3C47">
      <w:pPr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Dados do CNES e CNAE</w:t>
      </w:r>
      <w:r w:rsidR="00BF600A">
        <w:rPr>
          <w:sz w:val="24"/>
          <w:szCs w:val="24"/>
        </w:rPr>
        <w:t>.</w:t>
      </w:r>
    </w:p>
    <w:p w14:paraId="124DB43B" w14:textId="77777777" w:rsidR="003A5D5E" w:rsidRDefault="00AF3C47" w:rsidP="003A5D5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Documentos anteriormente emitidos pela Visa: </w:t>
      </w:r>
    </w:p>
    <w:p w14:paraId="4A07EF82" w14:textId="77777777" w:rsidR="003A5D5E" w:rsidRDefault="00AF3C47" w:rsidP="003A5D5E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3A5D5E">
        <w:rPr>
          <w:sz w:val="24"/>
          <w:szCs w:val="24"/>
        </w:rPr>
        <w:t>licença sanitária</w:t>
      </w:r>
      <w:r w:rsidR="00BF600A" w:rsidRPr="003A5D5E">
        <w:rPr>
          <w:sz w:val="24"/>
          <w:szCs w:val="24"/>
        </w:rPr>
        <w:t>;</w:t>
      </w:r>
    </w:p>
    <w:p w14:paraId="2D7C3149" w14:textId="77777777" w:rsidR="003A5D5E" w:rsidRDefault="00AF3C47" w:rsidP="003A5D5E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3A5D5E">
        <w:rPr>
          <w:sz w:val="24"/>
          <w:szCs w:val="24"/>
        </w:rPr>
        <w:t>relatórios e roteiros de inspeção</w:t>
      </w:r>
      <w:r w:rsidR="00BF600A" w:rsidRPr="003A5D5E">
        <w:rPr>
          <w:sz w:val="24"/>
          <w:szCs w:val="24"/>
        </w:rPr>
        <w:t>;</w:t>
      </w:r>
    </w:p>
    <w:p w14:paraId="107B75F2" w14:textId="77777777" w:rsidR="000A29A2" w:rsidRPr="000A29A2" w:rsidRDefault="000A29A2" w:rsidP="003A5D5E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color w:val="227ACB"/>
          <w:sz w:val="24"/>
          <w:szCs w:val="24"/>
        </w:rPr>
      </w:pPr>
      <w:r w:rsidRPr="000A29A2">
        <w:rPr>
          <w:color w:val="227ACB"/>
          <w:sz w:val="24"/>
          <w:szCs w:val="24"/>
        </w:rPr>
        <w:t>instrumentos de avaliação de risco potencial, quando aplicável;</w:t>
      </w:r>
    </w:p>
    <w:p w14:paraId="6B686FC5" w14:textId="77777777" w:rsidR="003A5D5E" w:rsidRDefault="00AF3C47" w:rsidP="003A5D5E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3A5D5E">
        <w:rPr>
          <w:sz w:val="24"/>
          <w:szCs w:val="24"/>
        </w:rPr>
        <w:t>autos de infração e demais termos legais</w:t>
      </w:r>
      <w:r w:rsidR="00BF600A" w:rsidRPr="003A5D5E">
        <w:rPr>
          <w:sz w:val="24"/>
          <w:szCs w:val="24"/>
        </w:rPr>
        <w:t>; e</w:t>
      </w:r>
    </w:p>
    <w:p w14:paraId="2094D4E0" w14:textId="77777777" w:rsidR="00AF3C47" w:rsidRPr="003A5D5E" w:rsidRDefault="000A29A2" w:rsidP="003A5D5E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0A29A2">
        <w:rPr>
          <w:color w:val="227ACB"/>
          <w:sz w:val="24"/>
          <w:szCs w:val="24"/>
        </w:rPr>
        <w:t>encaminhamentos e</w:t>
      </w:r>
      <w:r>
        <w:rPr>
          <w:sz w:val="24"/>
          <w:szCs w:val="24"/>
        </w:rPr>
        <w:t xml:space="preserve"> </w:t>
      </w:r>
      <w:r w:rsidR="00AF3C47" w:rsidRPr="003A5D5E">
        <w:rPr>
          <w:sz w:val="24"/>
          <w:szCs w:val="24"/>
        </w:rPr>
        <w:t xml:space="preserve">conclusões de </w:t>
      </w:r>
      <w:r w:rsidR="007B7652">
        <w:rPr>
          <w:sz w:val="24"/>
          <w:szCs w:val="24"/>
        </w:rPr>
        <w:t>P</w:t>
      </w:r>
      <w:r w:rsidR="00AF3C47" w:rsidRPr="003A5D5E">
        <w:rPr>
          <w:sz w:val="24"/>
          <w:szCs w:val="24"/>
        </w:rPr>
        <w:t xml:space="preserve">rocessos </w:t>
      </w:r>
      <w:r w:rsidR="007B7652">
        <w:rPr>
          <w:sz w:val="24"/>
          <w:szCs w:val="24"/>
        </w:rPr>
        <w:t>A</w:t>
      </w:r>
      <w:r w:rsidR="00AF3C47" w:rsidRPr="003A5D5E">
        <w:rPr>
          <w:sz w:val="24"/>
          <w:szCs w:val="24"/>
        </w:rPr>
        <w:t xml:space="preserve">dministrativos </w:t>
      </w:r>
      <w:r w:rsidR="007B7652">
        <w:rPr>
          <w:sz w:val="24"/>
          <w:szCs w:val="24"/>
        </w:rPr>
        <w:t xml:space="preserve">Sanitários </w:t>
      </w:r>
      <w:r w:rsidR="00AF3C47" w:rsidRPr="003A5D5E">
        <w:rPr>
          <w:sz w:val="24"/>
          <w:szCs w:val="24"/>
        </w:rPr>
        <w:t>instaurados</w:t>
      </w:r>
      <w:r w:rsidR="00BF600A" w:rsidRPr="003A5D5E">
        <w:rPr>
          <w:sz w:val="24"/>
          <w:szCs w:val="24"/>
        </w:rPr>
        <w:t>.</w:t>
      </w:r>
    </w:p>
    <w:p w14:paraId="08B7560B" w14:textId="77777777" w:rsidR="00AF3C47" w:rsidRDefault="00AF3C4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Dados de produção</w:t>
      </w:r>
      <w:r w:rsidR="00BF600A">
        <w:rPr>
          <w:sz w:val="24"/>
          <w:szCs w:val="24"/>
        </w:rPr>
        <w:t>.</w:t>
      </w:r>
    </w:p>
    <w:p w14:paraId="7C6C8E1A" w14:textId="77777777" w:rsidR="00AF3C47" w:rsidRPr="00DA1A13" w:rsidRDefault="00AF3C4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</w:rPr>
      </w:pPr>
      <w:r w:rsidRPr="00DA1A13">
        <w:rPr>
          <w:sz w:val="24"/>
          <w:szCs w:val="24"/>
        </w:rPr>
        <w:t>Histórico de eventos adversos e queixas técnicas</w:t>
      </w:r>
      <w:r w:rsidR="00BF600A">
        <w:rPr>
          <w:sz w:val="24"/>
          <w:szCs w:val="24"/>
        </w:rPr>
        <w:t>.</w:t>
      </w:r>
    </w:p>
    <w:p w14:paraId="6B947ECB" w14:textId="77777777" w:rsidR="00AF3C47" w:rsidRDefault="00AF3C47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sz w:val="24"/>
          <w:szCs w:val="24"/>
          <w:lang w:bidi="hi-IN"/>
        </w:rPr>
      </w:pPr>
      <w:r w:rsidRPr="00DA1A13">
        <w:rPr>
          <w:sz w:val="24"/>
          <w:szCs w:val="24"/>
        </w:rPr>
        <w:t xml:space="preserve">Indicadores de qualidade, </w:t>
      </w:r>
      <w:r w:rsidR="00DA1A13">
        <w:rPr>
          <w:sz w:val="24"/>
          <w:szCs w:val="24"/>
        </w:rPr>
        <w:t>quando disponíveis</w:t>
      </w:r>
      <w:r w:rsidR="00BF600A">
        <w:rPr>
          <w:sz w:val="24"/>
          <w:szCs w:val="24"/>
        </w:rPr>
        <w:t>.</w:t>
      </w:r>
    </w:p>
    <w:p w14:paraId="3AD11B9F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031D6F91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1B4DC81F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12031AD1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1C288E55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5AE91484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3AC4EA4A" w14:textId="77777777" w:rsidR="000A29A2" w:rsidRPr="000A29A2" w:rsidRDefault="000A29A2" w:rsidP="000A29A2">
      <w:pPr>
        <w:rPr>
          <w:sz w:val="24"/>
          <w:szCs w:val="24"/>
          <w:lang w:bidi="hi-IN"/>
        </w:rPr>
      </w:pPr>
    </w:p>
    <w:p w14:paraId="2F5CE6A9" w14:textId="77777777" w:rsidR="000A29A2" w:rsidRPr="000A29A2" w:rsidRDefault="000A29A2" w:rsidP="000A29A2">
      <w:pPr>
        <w:tabs>
          <w:tab w:val="left" w:pos="7505"/>
        </w:tabs>
        <w:rPr>
          <w:sz w:val="24"/>
          <w:szCs w:val="24"/>
          <w:lang w:bidi="hi-IN"/>
        </w:rPr>
      </w:pPr>
    </w:p>
    <w:sectPr w:rsidR="000A29A2" w:rsidRPr="000A29A2" w:rsidSect="00FF238A">
      <w:footerReference w:type="default" r:id="rId7"/>
      <w:pgSz w:w="11906" w:h="16838"/>
      <w:pgMar w:top="1418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C548" w14:textId="77777777" w:rsidR="00AB699A" w:rsidRDefault="00AB699A">
      <w:pPr>
        <w:spacing w:after="0" w:line="240" w:lineRule="auto"/>
      </w:pPr>
      <w:r>
        <w:separator/>
      </w:r>
    </w:p>
  </w:endnote>
  <w:endnote w:type="continuationSeparator" w:id="0">
    <w:p w14:paraId="5FBE64BC" w14:textId="77777777" w:rsidR="00AB699A" w:rsidRDefault="00AB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39E2" w14:textId="77777777" w:rsidR="00D9010E" w:rsidRDefault="00AF3C47">
    <w:pPr>
      <w:pStyle w:val="Rodap"/>
      <w:jc w:val="right"/>
      <w:rPr>
        <w:sz w:val="20"/>
        <w:szCs w:val="20"/>
      </w:rPr>
    </w:pPr>
    <w:r w:rsidRPr="00D9010E">
      <w:rPr>
        <w:sz w:val="20"/>
        <w:szCs w:val="20"/>
      </w:rPr>
      <w:t xml:space="preserve">Anexo 1 – INFORMAÇÕES MÍNIMAS DO ESTABELECIMENTO DE STCO A SEREM REUNIDAS PREVIAMENTE À INSPEÇÃO – PROCEDIMENTO OPERACIONAL PADRÃO: </w:t>
    </w:r>
    <w:r w:rsidR="00D9010E" w:rsidRPr="00D9010E">
      <w:rPr>
        <w:sz w:val="20"/>
        <w:szCs w:val="20"/>
      </w:rPr>
      <w:t>Inspeção sanitária em estabelecimentos de Sangue, Tecidos, Células e Órgãos – STCO</w:t>
    </w:r>
    <w:r w:rsidR="00255D99">
      <w:rPr>
        <w:sz w:val="20"/>
        <w:szCs w:val="20"/>
      </w:rPr>
      <w:t>,</w:t>
    </w:r>
    <w:r w:rsidR="00D9010E" w:rsidRPr="00D9010E">
      <w:rPr>
        <w:sz w:val="20"/>
        <w:szCs w:val="20"/>
      </w:rPr>
      <w:t xml:space="preserve"> no âmbito do SNVS.</w:t>
    </w:r>
    <w:r w:rsidRPr="00D9010E">
      <w:rPr>
        <w:sz w:val="20"/>
        <w:szCs w:val="20"/>
      </w:rPr>
      <w:t xml:space="preserve"> </w:t>
    </w:r>
  </w:p>
  <w:p w14:paraId="4D1B5BEE" w14:textId="77777777" w:rsidR="00AF3C47" w:rsidRPr="00D9010E" w:rsidRDefault="00AF3C47">
    <w:pPr>
      <w:pStyle w:val="Rodap"/>
      <w:jc w:val="right"/>
      <w:rPr>
        <w:sz w:val="20"/>
        <w:szCs w:val="20"/>
      </w:rPr>
    </w:pPr>
    <w:r w:rsidRPr="00D9010E">
      <w:rPr>
        <w:sz w:val="20"/>
        <w:szCs w:val="20"/>
      </w:rPr>
      <w:t>POP-SNVS/S-00</w:t>
    </w:r>
    <w:r w:rsidR="00D9010E" w:rsidRPr="00D9010E">
      <w:rPr>
        <w:sz w:val="20"/>
        <w:szCs w:val="20"/>
      </w:rPr>
      <w:t>5</w:t>
    </w:r>
    <w:r w:rsidRPr="00D9010E">
      <w:rPr>
        <w:sz w:val="20"/>
        <w:szCs w:val="20"/>
      </w:rPr>
      <w:t xml:space="preserve"> –</w:t>
    </w:r>
    <w:r w:rsidR="00D9010E">
      <w:rPr>
        <w:sz w:val="20"/>
        <w:szCs w:val="20"/>
      </w:rPr>
      <w:t xml:space="preserve"> </w:t>
    </w:r>
    <w:r w:rsidRPr="00D9010E">
      <w:rPr>
        <w:sz w:val="20"/>
        <w:szCs w:val="20"/>
      </w:rPr>
      <w:t>AN-01-0</w:t>
    </w:r>
    <w:r w:rsidR="000A29A2">
      <w:rPr>
        <w:sz w:val="20"/>
        <w:szCs w:val="20"/>
      </w:rPr>
      <w:t>1</w:t>
    </w:r>
    <w:r w:rsidRPr="00D9010E">
      <w:rPr>
        <w:sz w:val="20"/>
        <w:szCs w:val="20"/>
      </w:rPr>
      <w:t>.</w:t>
    </w:r>
  </w:p>
  <w:p w14:paraId="2DA2A895" w14:textId="77777777" w:rsidR="00AF3C47" w:rsidRDefault="00AF3C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AE9D" w14:textId="77777777" w:rsidR="00AB699A" w:rsidRDefault="00AB699A">
      <w:pPr>
        <w:spacing w:after="0" w:line="240" w:lineRule="auto"/>
      </w:pPr>
      <w:r>
        <w:separator/>
      </w:r>
    </w:p>
  </w:footnote>
  <w:footnote w:type="continuationSeparator" w:id="0">
    <w:p w14:paraId="2718C428" w14:textId="77777777" w:rsidR="00AB699A" w:rsidRDefault="00AB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4659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186F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487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BA6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A8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C3E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487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301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8AB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85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B0787E"/>
    <w:multiLevelType w:val="multilevel"/>
    <w:tmpl w:val="22B078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79E"/>
    <w:multiLevelType w:val="multilevel"/>
    <w:tmpl w:val="42DD5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32DC7"/>
    <w:multiLevelType w:val="multilevel"/>
    <w:tmpl w:val="6A132DC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1474"/>
        </w:tabs>
        <w:ind w:left="1474" w:hanging="1134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928" w:hanging="1588"/>
      </w:p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985"/>
      </w:p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2552"/>
      </w:pPr>
    </w:lvl>
    <w:lvl w:ilvl="5">
      <w:start w:val="1"/>
      <w:numFmt w:val="decimal"/>
      <w:lvlText w:val="%1.%2.%3.%4.%5.%6"/>
      <w:lvlJc w:val="left"/>
      <w:pPr>
        <w:tabs>
          <w:tab w:val="num" w:pos="3459"/>
        </w:tabs>
        <w:ind w:left="3459" w:hanging="3119"/>
      </w:pPr>
    </w:lvl>
    <w:lvl w:ilvl="6">
      <w:start w:val="1"/>
      <w:numFmt w:val="decimal"/>
      <w:lvlText w:val="%1.%2.%3.%4.%5.%6.%7"/>
      <w:lvlJc w:val="left"/>
      <w:pPr>
        <w:tabs>
          <w:tab w:val="num" w:pos="4082"/>
        </w:tabs>
        <w:ind w:left="4082" w:hanging="3742"/>
      </w:pPr>
    </w:lvl>
    <w:lvl w:ilvl="7">
      <w:start w:val="1"/>
      <w:numFmt w:val="decimal"/>
      <w:lvlText w:val="%1.%2.%3.%4.%5.%6.%7.%8"/>
      <w:lvlJc w:val="left"/>
      <w:pPr>
        <w:tabs>
          <w:tab w:val="num" w:pos="4649"/>
        </w:tabs>
        <w:ind w:left="4649" w:hanging="4309"/>
      </w:pPr>
    </w:lvl>
    <w:lvl w:ilvl="8">
      <w:start w:val="1"/>
      <w:numFmt w:val="decimal"/>
      <w:lvlText w:val="%1.%2.%3.%4.%5.%6.%7.%8.%9"/>
      <w:lvlJc w:val="left"/>
      <w:pPr>
        <w:tabs>
          <w:tab w:val="num" w:pos="5046"/>
        </w:tabs>
        <w:ind w:left="5046" w:hanging="4706"/>
      </w:pPr>
    </w:lvl>
  </w:abstractNum>
  <w:num w:numId="1" w16cid:durableId="524254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933320">
    <w:abstractNumId w:val="10"/>
  </w:num>
  <w:num w:numId="3" w16cid:durableId="938483425">
    <w:abstractNumId w:val="11"/>
  </w:num>
  <w:num w:numId="4" w16cid:durableId="1696886866">
    <w:abstractNumId w:val="9"/>
  </w:num>
  <w:num w:numId="5" w16cid:durableId="1359308960">
    <w:abstractNumId w:val="7"/>
  </w:num>
  <w:num w:numId="6" w16cid:durableId="30618658">
    <w:abstractNumId w:val="6"/>
  </w:num>
  <w:num w:numId="7" w16cid:durableId="795293133">
    <w:abstractNumId w:val="5"/>
  </w:num>
  <w:num w:numId="8" w16cid:durableId="645355866">
    <w:abstractNumId w:val="4"/>
  </w:num>
  <w:num w:numId="9" w16cid:durableId="416051944">
    <w:abstractNumId w:val="8"/>
  </w:num>
  <w:num w:numId="10" w16cid:durableId="1838501465">
    <w:abstractNumId w:val="3"/>
  </w:num>
  <w:num w:numId="11" w16cid:durableId="1821575687">
    <w:abstractNumId w:val="2"/>
  </w:num>
  <w:num w:numId="12" w16cid:durableId="1364016805">
    <w:abstractNumId w:val="1"/>
  </w:num>
  <w:num w:numId="13" w16cid:durableId="198766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E15"/>
    <w:rsid w:val="000140A2"/>
    <w:rsid w:val="000318EC"/>
    <w:rsid w:val="000462EA"/>
    <w:rsid w:val="00082EA0"/>
    <w:rsid w:val="000A29A2"/>
    <w:rsid w:val="000D083C"/>
    <w:rsid w:val="001134EF"/>
    <w:rsid w:val="0011771C"/>
    <w:rsid w:val="001C46B2"/>
    <w:rsid w:val="00241BEE"/>
    <w:rsid w:val="00250332"/>
    <w:rsid w:val="00255D99"/>
    <w:rsid w:val="002A0B67"/>
    <w:rsid w:val="002D5A08"/>
    <w:rsid w:val="002E3846"/>
    <w:rsid w:val="00324DA8"/>
    <w:rsid w:val="00333603"/>
    <w:rsid w:val="003A404D"/>
    <w:rsid w:val="003A5D5E"/>
    <w:rsid w:val="0043669D"/>
    <w:rsid w:val="00460B63"/>
    <w:rsid w:val="004C6BC3"/>
    <w:rsid w:val="004D105E"/>
    <w:rsid w:val="00524647"/>
    <w:rsid w:val="005414F2"/>
    <w:rsid w:val="00546992"/>
    <w:rsid w:val="005A75A8"/>
    <w:rsid w:val="005B0E36"/>
    <w:rsid w:val="005C3840"/>
    <w:rsid w:val="00635B19"/>
    <w:rsid w:val="00636D68"/>
    <w:rsid w:val="006A6449"/>
    <w:rsid w:val="00721E54"/>
    <w:rsid w:val="00796C81"/>
    <w:rsid w:val="007B15A6"/>
    <w:rsid w:val="007B7652"/>
    <w:rsid w:val="00871543"/>
    <w:rsid w:val="008A1E9A"/>
    <w:rsid w:val="00910F3A"/>
    <w:rsid w:val="00962C46"/>
    <w:rsid w:val="0097536A"/>
    <w:rsid w:val="00A07459"/>
    <w:rsid w:val="00A215B1"/>
    <w:rsid w:val="00A31E15"/>
    <w:rsid w:val="00A84776"/>
    <w:rsid w:val="00AA3724"/>
    <w:rsid w:val="00AA5F54"/>
    <w:rsid w:val="00AB699A"/>
    <w:rsid w:val="00AD454E"/>
    <w:rsid w:val="00AF3C47"/>
    <w:rsid w:val="00B46A8A"/>
    <w:rsid w:val="00B4734C"/>
    <w:rsid w:val="00B705F7"/>
    <w:rsid w:val="00BF600A"/>
    <w:rsid w:val="00C140F2"/>
    <w:rsid w:val="00C37E1C"/>
    <w:rsid w:val="00CF3DA1"/>
    <w:rsid w:val="00D45E80"/>
    <w:rsid w:val="00D9010E"/>
    <w:rsid w:val="00D95E24"/>
    <w:rsid w:val="00DA1A13"/>
    <w:rsid w:val="00DB37D2"/>
    <w:rsid w:val="00E038BE"/>
    <w:rsid w:val="00E636F3"/>
    <w:rsid w:val="00EB1F5C"/>
    <w:rsid w:val="00EE679A"/>
    <w:rsid w:val="00EF52FC"/>
    <w:rsid w:val="00FF0EFE"/>
    <w:rsid w:val="00FF238A"/>
    <w:rsid w:val="021D5C44"/>
    <w:rsid w:val="7744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DE1785A"/>
  <w15:chartTrackingRefBased/>
  <w15:docId w15:val="{9BA24842-E442-4944-9577-C850923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numPr>
        <w:numId w:val="1"/>
      </w:numPr>
      <w:tabs>
        <w:tab w:val="clear" w:pos="432"/>
        <w:tab w:val="left" w:pos="0"/>
        <w:tab w:val="left" w:pos="357"/>
      </w:tabs>
      <w:spacing w:before="360" w:after="240" w:line="240" w:lineRule="auto"/>
      <w:jc w:val="both"/>
      <w:outlineLvl w:val="0"/>
    </w:pPr>
    <w:rPr>
      <w:rFonts w:ascii="Arial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numPr>
        <w:ilvl w:val="1"/>
        <w:numId w:val="1"/>
      </w:numPr>
      <w:tabs>
        <w:tab w:val="left" w:pos="0"/>
        <w:tab w:val="left" w:pos="1474"/>
      </w:tabs>
      <w:spacing w:before="120" w:after="120" w:line="240" w:lineRule="auto"/>
      <w:jc w:val="both"/>
      <w:outlineLvl w:val="1"/>
    </w:pPr>
    <w:rPr>
      <w:rFonts w:ascii="Arial" w:hAnsi="Arial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tabs>
        <w:tab w:val="left" w:pos="0"/>
        <w:tab w:val="left" w:pos="1928"/>
      </w:tabs>
      <w:spacing w:before="120" w:after="120" w:line="240" w:lineRule="auto"/>
      <w:jc w:val="both"/>
      <w:outlineLvl w:val="2"/>
    </w:pPr>
    <w:rPr>
      <w:rFonts w:ascii="Arial" w:hAnsi="Arial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tabs>
        <w:tab w:val="left" w:pos="0"/>
        <w:tab w:val="left" w:pos="1077"/>
        <w:tab w:val="left" w:pos="2325"/>
      </w:tabs>
      <w:spacing w:before="120" w:after="120" w:line="240" w:lineRule="auto"/>
      <w:jc w:val="both"/>
      <w:outlineLvl w:val="3"/>
    </w:pPr>
    <w:rPr>
      <w:rFonts w:ascii="Arial" w:hAnsi="Arial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numPr>
        <w:ilvl w:val="4"/>
        <w:numId w:val="1"/>
      </w:numPr>
      <w:tabs>
        <w:tab w:val="left" w:pos="0"/>
        <w:tab w:val="left" w:pos="1077"/>
        <w:tab w:val="left" w:pos="2892"/>
      </w:tabs>
      <w:spacing w:before="120" w:after="120" w:line="240" w:lineRule="auto"/>
      <w:jc w:val="both"/>
      <w:outlineLvl w:val="4"/>
    </w:pPr>
    <w:rPr>
      <w:rFonts w:ascii="Arial" w:hAnsi="Arial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numPr>
        <w:ilvl w:val="5"/>
        <w:numId w:val="1"/>
      </w:numPr>
      <w:tabs>
        <w:tab w:val="left" w:pos="0"/>
        <w:tab w:val="left" w:pos="3459"/>
      </w:tabs>
      <w:spacing w:before="240" w:after="60" w:line="240" w:lineRule="auto"/>
      <w:jc w:val="both"/>
      <w:outlineLvl w:val="5"/>
    </w:pPr>
    <w:rPr>
      <w:rFonts w:ascii="Arial" w:hAnsi="Arial"/>
      <w:i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numPr>
        <w:ilvl w:val="6"/>
        <w:numId w:val="1"/>
      </w:numPr>
      <w:tabs>
        <w:tab w:val="left" w:pos="0"/>
        <w:tab w:val="left" w:pos="4082"/>
      </w:tabs>
      <w:spacing w:before="240" w:after="60" w:line="240" w:lineRule="auto"/>
      <w:jc w:val="both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numPr>
        <w:ilvl w:val="7"/>
        <w:numId w:val="1"/>
      </w:numPr>
      <w:tabs>
        <w:tab w:val="left" w:pos="0"/>
        <w:tab w:val="left" w:pos="4649"/>
      </w:tabs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numPr>
        <w:ilvl w:val="8"/>
        <w:numId w:val="1"/>
      </w:numPr>
      <w:tabs>
        <w:tab w:val="left" w:pos="0"/>
        <w:tab w:val="left" w:pos="5046"/>
      </w:tabs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unhideWhenUsed/>
    <w:rPr>
      <w:rFonts w:ascii="Times New Roman" w:hAnsi="Times New Roman"/>
      <w:sz w:val="22"/>
    </w:rPr>
  </w:style>
  <w:style w:type="character" w:styleId="Nmerodepgina">
    <w:name w:val="page number"/>
    <w:basedOn w:val="Fontepargpadro"/>
    <w:qFormat/>
  </w:style>
  <w:style w:type="character" w:customStyle="1" w:styleId="CorpodetextoChar">
    <w:name w:val="Corpo de texto Char"/>
    <w:link w:val="Corpodetexto"/>
    <w:semiHidden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9Char">
    <w:name w:val="Título 9 Char"/>
    <w:link w:val="Ttulo9"/>
    <w:semiHidden/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customStyle="1" w:styleId="Ttulo1Char">
    <w:name w:val="Título 1 Char"/>
    <w:link w:val="Ttulo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8Char">
    <w:name w:val="Título 8 Char"/>
    <w:link w:val="Ttulo8"/>
    <w:semiHidden/>
    <w:rPr>
      <w:rFonts w:ascii="Arial" w:eastAsia="Times New Roman" w:hAnsi="Arial" w:cs="Times New Roman"/>
      <w:i/>
      <w:sz w:val="24"/>
      <w:szCs w:val="20"/>
      <w:lang w:eastAsia="pt-BR"/>
    </w:rPr>
  </w:style>
  <w:style w:type="character" w:customStyle="1" w:styleId="Ttulo2Char">
    <w:name w:val="Título 2 Char"/>
    <w:link w:val="Ttulo2"/>
    <w:semiHidden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link w:val="Ttulo4"/>
    <w:semiHidden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semiHidden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tulo5Char">
    <w:name w:val="Título 5 Char"/>
    <w:link w:val="Ttulo5"/>
    <w:semiHidden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link w:val="Ttulo6"/>
    <w:semiHidden/>
    <w:rPr>
      <w:rFonts w:ascii="Arial" w:eastAsia="Times New Roman" w:hAnsi="Arial" w:cs="Times New Roman"/>
      <w:i/>
      <w:szCs w:val="20"/>
      <w:lang w:eastAsia="pt-BR"/>
    </w:rPr>
  </w:style>
  <w:style w:type="character" w:customStyle="1" w:styleId="Ttulo7Char">
    <w:name w:val="Título 7 Char"/>
    <w:link w:val="Ttulo7"/>
    <w:semiHidden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pPr>
      <w:tabs>
        <w:tab w:val="left" w:pos="0"/>
      </w:tabs>
      <w:spacing w:after="120" w:line="240" w:lineRule="auto"/>
      <w:jc w:val="both"/>
    </w:pPr>
    <w:rPr>
      <w:rFonts w:ascii="Arial" w:hAnsi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Refdecomentrio">
    <w:name w:val="annotation reference"/>
    <w:uiPriority w:val="99"/>
    <w:semiHidden/>
    <w:unhideWhenUsed/>
    <w:rsid w:val="00962C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C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62C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C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62C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Herika Nunes E Sousa</cp:lastModifiedBy>
  <cp:revision>2</cp:revision>
  <cp:lastPrinted>2022-01-27T14:37:00Z</cp:lastPrinted>
  <dcterms:created xsi:type="dcterms:W3CDTF">2026-07-01T20:57:00Z</dcterms:created>
  <dcterms:modified xsi:type="dcterms:W3CDTF">2026-07-01T20:57:00Z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2057-11.2.0.9739</vt:lpwstr>
  </property>
  <property fmtid="{D5CDD505-2E9C-101B-9397-08002B2CF9AE}" pid="3" name="MSIP_Label_12859fa3-9453-4a19-967a-efaacd70c39f_Enabled">
    <vt:lpwstr>true</vt:lpwstr>
  </property>
  <property fmtid="{D5CDD505-2E9C-101B-9397-08002B2CF9AE}" pid="4" name="MSIP_Label_12859fa3-9453-4a19-967a-efaacd70c39f_SetDate">
    <vt:lpwstr>2022-01-27T14:36:55Z</vt:lpwstr>
  </property>
  <property fmtid="{D5CDD505-2E9C-101B-9397-08002B2CF9AE}" pid="5" name="MSIP_Label_12859fa3-9453-4a19-967a-efaacd70c39f_Method">
    <vt:lpwstr>Privileged</vt:lpwstr>
  </property>
  <property fmtid="{D5CDD505-2E9C-101B-9397-08002B2CF9AE}" pid="6" name="MSIP_Label_12859fa3-9453-4a19-967a-efaacd70c39f_Name">
    <vt:lpwstr>12859fa3-9453-4a19-967a-efaacd70c39f</vt:lpwstr>
  </property>
  <property fmtid="{D5CDD505-2E9C-101B-9397-08002B2CF9AE}" pid="7" name="MSIP_Label_12859fa3-9453-4a19-967a-efaacd70c39f_SiteId">
    <vt:lpwstr>b67af23f-c3f3-4d35-80c7-b7085f5edd81</vt:lpwstr>
  </property>
  <property fmtid="{D5CDD505-2E9C-101B-9397-08002B2CF9AE}" pid="8" name="MSIP_Label_12859fa3-9453-4a19-967a-efaacd70c39f_ActionId">
    <vt:lpwstr>a02a55da-49ba-4552-976c-cfd766e0753a</vt:lpwstr>
  </property>
  <property fmtid="{D5CDD505-2E9C-101B-9397-08002B2CF9AE}" pid="9" name="MSIP_Label_12859fa3-9453-4a19-967a-efaacd70c39f_ContentBits">
    <vt:lpwstr>0</vt:lpwstr>
  </property>
</Properties>
</file>