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7CA6" w:rsidRPr="000A4D7E" w:rsidRDefault="00D87CA6" w:rsidP="000A4D7E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  <w:r w:rsidRPr="000A4D7E">
        <w:rPr>
          <w:rFonts w:ascii="Times New Roman" w:hAnsi="Times New Roman"/>
          <w:b/>
          <w:szCs w:val="24"/>
          <w:lang w:val="pt-BR"/>
        </w:rPr>
        <w:t>IDENTIFICAÇÃO DO MEDICAMENTO:</w:t>
      </w:r>
      <w:r w:rsidRPr="000A4D7E">
        <w:rPr>
          <w:rFonts w:ascii="Times New Roman" w:hAnsi="Times New Roman"/>
          <w:b/>
          <w:szCs w:val="24"/>
          <w:lang w:val="pt-BR"/>
        </w:rPr>
        <w:cr/>
        <w:t xml:space="preserve"> </w:t>
      </w:r>
    </w:p>
    <w:p w:rsidR="00F20D97" w:rsidRPr="000A4D7E" w:rsidRDefault="00F20D97" w:rsidP="000A4D7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0A4D7E">
        <w:rPr>
          <w:rFonts w:ascii="Times New Roman" w:hAnsi="Times New Roman"/>
          <w:szCs w:val="24"/>
          <w:u w:val="single"/>
          <w:lang w:val="pt-BR"/>
        </w:rPr>
        <w:t>Citar o nome comercial do medicamento.</w:t>
      </w:r>
    </w:p>
    <w:p w:rsidR="001C777D" w:rsidRPr="000A4D7E" w:rsidRDefault="001C777D" w:rsidP="000A4D7E">
      <w:pPr>
        <w:jc w:val="both"/>
        <w:rPr>
          <w:rFonts w:ascii="Times New Roman" w:hAnsi="Times New Roman"/>
          <w:szCs w:val="24"/>
          <w:lang w:val="pt-BR"/>
        </w:rPr>
      </w:pPr>
    </w:p>
    <w:p w:rsidR="00D87CA6" w:rsidRPr="000A4D7E" w:rsidRDefault="00D87CA6" w:rsidP="000A4D7E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  <w:r w:rsidRPr="000A4D7E">
        <w:rPr>
          <w:rFonts w:ascii="Times New Roman" w:hAnsi="Times New Roman"/>
          <w:b/>
          <w:szCs w:val="24"/>
          <w:lang w:val="pt-BR"/>
        </w:rPr>
        <w:t>MEDICAMENTO FITOTERÁPICO</w:t>
      </w:r>
    </w:p>
    <w:p w:rsidR="00D87CA6" w:rsidRPr="000A4D7E" w:rsidRDefault="00D87CA6" w:rsidP="000A4D7E">
      <w:pPr>
        <w:ind w:right="39"/>
        <w:jc w:val="both"/>
        <w:rPr>
          <w:rFonts w:ascii="Times New Roman" w:hAnsi="Times New Roman"/>
          <w:b/>
          <w:szCs w:val="24"/>
          <w:lang w:val="pt-BR"/>
        </w:rPr>
      </w:pPr>
    </w:p>
    <w:p w:rsidR="00D87CA6" w:rsidRPr="000A4D7E" w:rsidRDefault="00D87CA6" w:rsidP="000A4D7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b/>
          <w:szCs w:val="24"/>
          <w:lang w:val="pt-BR"/>
        </w:rPr>
        <w:t>Nomenclatura botânica oficial:</w:t>
      </w:r>
      <w:r w:rsidRPr="000A4D7E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i/>
          <w:iCs/>
          <w:szCs w:val="24"/>
          <w:lang w:val="pt-BR"/>
        </w:rPr>
        <w:t>Allium sativum</w:t>
      </w:r>
    </w:p>
    <w:p w:rsidR="00D87CA6" w:rsidRPr="000A4D7E" w:rsidRDefault="00D87CA6" w:rsidP="000A4D7E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b/>
          <w:szCs w:val="24"/>
          <w:lang w:val="pt-BR"/>
        </w:rPr>
        <w:t>Nomenclatura popular:</w:t>
      </w:r>
      <w:r w:rsidRPr="000A4D7E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color w:val="000000"/>
          <w:szCs w:val="24"/>
          <w:lang w:val="pt-BR"/>
        </w:rPr>
        <w:t>Alho</w:t>
      </w:r>
    </w:p>
    <w:p w:rsidR="00D87CA6" w:rsidRPr="000A4D7E" w:rsidRDefault="00D87CA6" w:rsidP="000A4D7E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b/>
          <w:szCs w:val="24"/>
          <w:lang w:val="pt-BR"/>
        </w:rPr>
        <w:t>Família:</w:t>
      </w:r>
      <w:r w:rsidRPr="000A4D7E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color w:val="000000"/>
          <w:szCs w:val="24"/>
          <w:lang w:val="pt-BR"/>
        </w:rPr>
        <w:t>Alliaceae</w:t>
      </w:r>
    </w:p>
    <w:p w:rsidR="00D87CA6" w:rsidRPr="000A4D7E" w:rsidRDefault="00D87CA6" w:rsidP="000A4D7E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b/>
          <w:szCs w:val="24"/>
          <w:lang w:val="pt-BR"/>
        </w:rPr>
        <w:t>Parte da planta utilizada:</w:t>
      </w:r>
      <w:r w:rsidRPr="000A4D7E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color w:val="000000"/>
          <w:szCs w:val="24"/>
          <w:lang w:val="pt-BR"/>
        </w:rPr>
        <w:t>Bulbo</w:t>
      </w:r>
    </w:p>
    <w:p w:rsidR="00D87CA6" w:rsidRPr="000A4D7E" w:rsidRDefault="00D87CA6" w:rsidP="000A4D7E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D87CA6" w:rsidRPr="000A4D7E" w:rsidRDefault="00D87CA6" w:rsidP="000A4D7E">
      <w:pPr>
        <w:jc w:val="both"/>
        <w:rPr>
          <w:rFonts w:ascii="Times New Roman" w:hAnsi="Times New Roman"/>
          <w:b/>
          <w:szCs w:val="24"/>
          <w:lang w:val="pt-BR"/>
        </w:rPr>
      </w:pPr>
      <w:r w:rsidRPr="000A4D7E">
        <w:rPr>
          <w:rFonts w:ascii="Times New Roman" w:hAnsi="Times New Roman"/>
          <w:b/>
          <w:szCs w:val="24"/>
          <w:lang w:val="pt-BR"/>
        </w:rPr>
        <w:t>APRESENTAÇÕES</w:t>
      </w:r>
    </w:p>
    <w:p w:rsidR="00D87CA6" w:rsidRPr="000A4D7E" w:rsidRDefault="00C37341" w:rsidP="000A4D7E">
      <w:pPr>
        <w:jc w:val="both"/>
        <w:rPr>
          <w:rFonts w:ascii="Times New Roman" w:hAnsi="Times New Roman"/>
          <w:b/>
          <w:szCs w:val="24"/>
          <w:u w:val="single"/>
          <w:lang w:val="pt-BR"/>
        </w:rPr>
      </w:pPr>
      <w:r w:rsidRPr="000A4D7E">
        <w:rPr>
          <w:rFonts w:ascii="Times New Roman" w:hAnsi="Times New Roman"/>
          <w:szCs w:val="24"/>
          <w:u w:val="single"/>
          <w:lang w:val="pt-BR"/>
        </w:rPr>
        <w:t>Citar apresentações comercializadas, informando:</w:t>
      </w:r>
      <w:r w:rsidRPr="000A4D7E">
        <w:rPr>
          <w:rFonts w:ascii="Times New Roman" w:hAnsi="Times New Roman"/>
          <w:b/>
          <w:szCs w:val="24"/>
          <w:u w:val="single"/>
          <w:lang w:val="pt-BR"/>
        </w:rPr>
        <w:cr/>
      </w:r>
      <w:r w:rsidRPr="000A4D7E">
        <w:rPr>
          <w:rFonts w:ascii="Times New Roman" w:hAnsi="Times New Roman"/>
          <w:szCs w:val="24"/>
          <w:u w:val="single"/>
          <w:lang w:val="pt-BR"/>
        </w:rPr>
        <w:t>- a forma farmacêutica;</w:t>
      </w:r>
      <w:r w:rsidRPr="000A4D7E">
        <w:rPr>
          <w:rFonts w:ascii="Times New Roman" w:hAnsi="Times New Roman"/>
          <w:szCs w:val="24"/>
          <w:u w:val="single"/>
          <w:lang w:val="pt-BR"/>
        </w:rPr>
        <w:cr/>
        <w:t xml:space="preserve">- a concentração do(s) princípio(s) ativo(s), por unidade de medida ou unidade farmacotécnica, conforme o caso; </w:t>
      </w:r>
      <w:r w:rsidRPr="000A4D7E">
        <w:rPr>
          <w:rFonts w:ascii="Times New Roman" w:hAnsi="Times New Roman"/>
          <w:szCs w:val="24"/>
          <w:u w:val="single"/>
          <w:lang w:val="pt-BR"/>
        </w:rPr>
        <w:cr/>
        <w:t>- a quantidade total de peso, volume líquido ou unidades farmacotécnicas, conforme o caso;</w:t>
      </w:r>
      <w:r w:rsidRPr="000A4D7E">
        <w:rPr>
          <w:rFonts w:ascii="Times New Roman" w:hAnsi="Times New Roman"/>
          <w:szCs w:val="24"/>
          <w:u w:val="single"/>
          <w:lang w:val="pt-BR"/>
        </w:rPr>
        <w:cr/>
        <w:t xml:space="preserve">- a quantidade total de acessórios dosadores que acompanha as apresentações, quando aplicável.  </w:t>
      </w:r>
    </w:p>
    <w:p w:rsidR="00D87CA6" w:rsidRPr="000A4D7E" w:rsidRDefault="00D87CA6" w:rsidP="000A4D7E">
      <w:pPr>
        <w:jc w:val="both"/>
        <w:rPr>
          <w:rFonts w:ascii="Times New Roman" w:hAnsi="Times New Roman"/>
          <w:szCs w:val="24"/>
          <w:lang w:val="pt-BR"/>
        </w:rPr>
      </w:pPr>
    </w:p>
    <w:p w:rsidR="001C777D" w:rsidRPr="000A4D7E" w:rsidRDefault="00E9325A" w:rsidP="000A4D7E">
      <w:pPr>
        <w:jc w:val="both"/>
        <w:rPr>
          <w:rFonts w:ascii="Times New Roman" w:hAnsi="Times New Roman"/>
          <w:b/>
          <w:szCs w:val="24"/>
          <w:lang w:val="pt-BR"/>
        </w:rPr>
      </w:pPr>
      <w:r>
        <w:rPr>
          <w:rFonts w:ascii="Times New Roman" w:hAnsi="Times New Roman"/>
          <w:b/>
          <w:szCs w:val="24"/>
          <w:lang w:val="pt-BR"/>
        </w:rPr>
        <w:t>USO</w:t>
      </w:r>
      <w:r w:rsidR="00C37341" w:rsidRPr="000A4D7E">
        <w:rPr>
          <w:rFonts w:ascii="Times New Roman" w:hAnsi="Times New Roman"/>
          <w:b/>
          <w:szCs w:val="24"/>
          <w:lang w:val="pt-BR"/>
        </w:rPr>
        <w:t xml:space="preserve"> ORAL</w:t>
      </w:r>
    </w:p>
    <w:p w:rsidR="00D87CA6" w:rsidRPr="000A4D7E" w:rsidRDefault="003E4487" w:rsidP="000A4D7E">
      <w:pPr>
        <w:jc w:val="both"/>
        <w:rPr>
          <w:rFonts w:ascii="Times New Roman" w:hAnsi="Times New Roman"/>
          <w:szCs w:val="24"/>
          <w:lang w:val="pt-BR"/>
        </w:rPr>
      </w:pPr>
      <w:r w:rsidRPr="00C02CEE">
        <w:rPr>
          <w:rFonts w:ascii="Times New Roman" w:hAnsi="Times New Roman"/>
          <w:szCs w:val="24"/>
          <w:u w:val="single"/>
          <w:lang w:val="pt-BR"/>
        </w:rPr>
        <w:t>Incluir a frase, em caixa alta e em negrito,</w:t>
      </w:r>
      <w:r w:rsidRPr="00C02CEE">
        <w:rPr>
          <w:rFonts w:ascii="Times New Roman" w:hAnsi="Times New Roman"/>
          <w:szCs w:val="24"/>
          <w:lang w:val="pt-BR"/>
        </w:rPr>
        <w:t xml:space="preserve"> </w:t>
      </w:r>
      <w:r w:rsidR="0023161C">
        <w:rPr>
          <w:rFonts w:ascii="Times New Roman" w:hAnsi="Times New Roman"/>
          <w:szCs w:val="24"/>
          <w:lang w:val="pt-BR"/>
        </w:rPr>
        <w:t>“</w:t>
      </w:r>
      <w:r w:rsidRPr="00C02CEE">
        <w:rPr>
          <w:rFonts w:ascii="Times New Roman" w:hAnsi="Times New Roman"/>
          <w:b/>
          <w:szCs w:val="24"/>
          <w:lang w:val="pt-BR"/>
        </w:rPr>
        <w:t>USO</w:t>
      </w:r>
      <w:r w:rsidRPr="00C02CEE">
        <w:rPr>
          <w:rFonts w:ascii="Times New Roman" w:hAnsi="Times New Roman"/>
          <w:szCs w:val="24"/>
          <w:lang w:val="pt-BR"/>
        </w:rPr>
        <w:t xml:space="preserve"> </w:t>
      </w:r>
      <w:r w:rsidRPr="00C02CEE">
        <w:rPr>
          <w:rFonts w:ascii="Times New Roman" w:hAnsi="Times New Roman"/>
          <w:b/>
          <w:szCs w:val="24"/>
          <w:lang w:val="pt-BR"/>
        </w:rPr>
        <w:t>ADULTO</w:t>
      </w:r>
      <w:r w:rsidRPr="00C02CEE">
        <w:rPr>
          <w:rFonts w:ascii="Times New Roman" w:hAnsi="Times New Roman"/>
          <w:szCs w:val="24"/>
          <w:lang w:val="pt-BR"/>
        </w:rPr>
        <w:t xml:space="preserve">, </w:t>
      </w:r>
      <w:r w:rsidRPr="00C02CEE">
        <w:rPr>
          <w:rFonts w:ascii="Times New Roman" w:hAnsi="Times New Roman"/>
          <w:b/>
          <w:szCs w:val="24"/>
          <w:lang w:val="pt-BR"/>
        </w:rPr>
        <w:t>USO</w:t>
      </w:r>
      <w:r w:rsidRPr="00C02CEE">
        <w:rPr>
          <w:rFonts w:ascii="Times New Roman" w:hAnsi="Times New Roman"/>
          <w:szCs w:val="24"/>
          <w:lang w:val="pt-BR"/>
        </w:rPr>
        <w:t xml:space="preserve"> </w:t>
      </w:r>
      <w:r w:rsidRPr="00C02CEE">
        <w:rPr>
          <w:rFonts w:ascii="Times New Roman" w:hAnsi="Times New Roman"/>
          <w:b/>
          <w:szCs w:val="24"/>
          <w:lang w:val="pt-BR"/>
        </w:rPr>
        <w:t>ADULTO E</w:t>
      </w:r>
      <w:r w:rsidRPr="00C02CEE">
        <w:rPr>
          <w:rFonts w:ascii="Times New Roman" w:hAnsi="Times New Roman"/>
          <w:szCs w:val="24"/>
          <w:lang w:val="pt-BR"/>
        </w:rPr>
        <w:t xml:space="preserve"> </w:t>
      </w:r>
      <w:r w:rsidRPr="00C02CEE">
        <w:rPr>
          <w:rFonts w:ascii="Times New Roman" w:hAnsi="Times New Roman"/>
          <w:b/>
          <w:szCs w:val="24"/>
          <w:lang w:val="pt-BR"/>
        </w:rPr>
        <w:t>PEDIÁTRICO ACIMA DE___</w:t>
      </w:r>
      <w:r w:rsidR="0023161C">
        <w:rPr>
          <w:rFonts w:ascii="Times New Roman" w:hAnsi="Times New Roman"/>
          <w:b/>
          <w:szCs w:val="24"/>
          <w:lang w:val="pt-BR"/>
        </w:rPr>
        <w:t>”</w:t>
      </w:r>
      <w:r w:rsidRPr="00C02CEE">
        <w:rPr>
          <w:rFonts w:ascii="Times New Roman" w:hAnsi="Times New Roman"/>
          <w:b/>
          <w:szCs w:val="24"/>
          <w:lang w:val="pt-BR"/>
        </w:rPr>
        <w:t xml:space="preserve"> </w:t>
      </w:r>
      <w:r w:rsidRPr="0023161C">
        <w:rPr>
          <w:rFonts w:ascii="Times New Roman" w:hAnsi="Times New Roman"/>
          <w:szCs w:val="24"/>
          <w:u w:val="single"/>
          <w:lang w:val="pt-BR"/>
        </w:rPr>
        <w:t>ou</w:t>
      </w:r>
      <w:r w:rsidRPr="00C02CEE">
        <w:rPr>
          <w:rFonts w:ascii="Times New Roman" w:hAnsi="Times New Roman"/>
          <w:b/>
          <w:szCs w:val="24"/>
          <w:lang w:val="pt-BR"/>
        </w:rPr>
        <w:t xml:space="preserve"> </w:t>
      </w:r>
      <w:r w:rsidR="0023161C">
        <w:rPr>
          <w:rFonts w:ascii="Times New Roman" w:hAnsi="Times New Roman"/>
          <w:b/>
          <w:szCs w:val="24"/>
          <w:lang w:val="pt-BR"/>
        </w:rPr>
        <w:t>“</w:t>
      </w:r>
      <w:r w:rsidRPr="00C02CEE">
        <w:rPr>
          <w:rFonts w:ascii="Times New Roman" w:hAnsi="Times New Roman"/>
          <w:b/>
          <w:szCs w:val="24"/>
          <w:lang w:val="pt-BR"/>
        </w:rPr>
        <w:t>USO</w:t>
      </w:r>
      <w:r w:rsidRPr="00C02CEE">
        <w:rPr>
          <w:rFonts w:ascii="Times New Roman" w:hAnsi="Times New Roman"/>
          <w:szCs w:val="24"/>
          <w:lang w:val="pt-BR"/>
        </w:rPr>
        <w:t xml:space="preserve"> </w:t>
      </w:r>
      <w:r w:rsidRPr="00C02CEE">
        <w:rPr>
          <w:rFonts w:ascii="Times New Roman" w:hAnsi="Times New Roman"/>
          <w:b/>
          <w:szCs w:val="24"/>
          <w:lang w:val="pt-BR"/>
        </w:rPr>
        <w:t>PEDIÁTRICO ACIMA DE ____</w:t>
      </w:r>
      <w:r w:rsidR="0023161C">
        <w:rPr>
          <w:rFonts w:ascii="Times New Roman" w:hAnsi="Times New Roman"/>
          <w:b/>
          <w:szCs w:val="24"/>
          <w:lang w:val="pt-BR"/>
        </w:rPr>
        <w:t>”</w:t>
      </w:r>
      <w:r w:rsidRPr="00C02CEE">
        <w:rPr>
          <w:rFonts w:ascii="Times New Roman" w:hAnsi="Times New Roman"/>
          <w:szCs w:val="24"/>
          <w:lang w:val="pt-BR"/>
        </w:rPr>
        <w:t xml:space="preserve">, </w:t>
      </w:r>
      <w:r w:rsidRPr="00C02CEE">
        <w:rPr>
          <w:rFonts w:ascii="Times New Roman" w:hAnsi="Times New Roman"/>
          <w:szCs w:val="24"/>
          <w:u w:val="single"/>
          <w:lang w:val="pt-BR"/>
        </w:rPr>
        <w:t>indicando a idade mínima, em meses ou anos, para qual foi aprovada no registro o uso do medicamento. No caso de medicamentos sem restrição de uso por idade, conforme aprovado no registro, incluir a frase</w:t>
      </w:r>
      <w:r w:rsidRPr="00C02CEE">
        <w:rPr>
          <w:rFonts w:ascii="Times New Roman" w:hAnsi="Times New Roman"/>
          <w:szCs w:val="24"/>
          <w:lang w:val="pt-BR"/>
        </w:rPr>
        <w:t xml:space="preserve"> </w:t>
      </w:r>
      <w:r w:rsidR="0023161C">
        <w:rPr>
          <w:rFonts w:ascii="Times New Roman" w:hAnsi="Times New Roman"/>
          <w:szCs w:val="24"/>
          <w:lang w:val="pt-BR"/>
        </w:rPr>
        <w:t>“</w:t>
      </w:r>
      <w:r w:rsidRPr="00C02CEE">
        <w:rPr>
          <w:rFonts w:ascii="Times New Roman" w:hAnsi="Times New Roman"/>
          <w:b/>
          <w:szCs w:val="24"/>
          <w:lang w:val="pt-BR"/>
        </w:rPr>
        <w:t>USO ADULTO e PEDIÁTRICO</w:t>
      </w:r>
      <w:r w:rsidR="0023161C">
        <w:rPr>
          <w:rFonts w:ascii="Times New Roman" w:hAnsi="Times New Roman"/>
          <w:b/>
          <w:szCs w:val="24"/>
          <w:lang w:val="pt-BR"/>
        </w:rPr>
        <w:t>”</w:t>
      </w:r>
      <w:r w:rsidRPr="00C02CEE">
        <w:rPr>
          <w:rFonts w:ascii="Times New Roman" w:hAnsi="Times New Roman"/>
          <w:szCs w:val="24"/>
          <w:lang w:val="pt-BR"/>
        </w:rPr>
        <w:t>.</w:t>
      </w:r>
      <w:r w:rsidR="00D87CA6" w:rsidRPr="000A4D7E">
        <w:rPr>
          <w:rFonts w:ascii="Times New Roman" w:hAnsi="Times New Roman"/>
          <w:szCs w:val="24"/>
          <w:lang w:val="pt-BR"/>
        </w:rPr>
        <w:t xml:space="preserve"> </w:t>
      </w:r>
    </w:p>
    <w:p w:rsidR="00F20D97" w:rsidRPr="000A4D7E" w:rsidRDefault="00F20D97" w:rsidP="000A4D7E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D87CA6" w:rsidRPr="000A4D7E" w:rsidRDefault="00D87CA6" w:rsidP="000A4D7E">
      <w:pPr>
        <w:jc w:val="both"/>
        <w:rPr>
          <w:rFonts w:ascii="Times New Roman" w:hAnsi="Times New Roman"/>
          <w:b/>
          <w:szCs w:val="24"/>
          <w:lang w:val="pt-BR"/>
        </w:rPr>
      </w:pPr>
      <w:r w:rsidRPr="000A4D7E">
        <w:rPr>
          <w:rFonts w:ascii="Times New Roman" w:hAnsi="Times New Roman"/>
          <w:b/>
          <w:szCs w:val="24"/>
          <w:lang w:val="pt-BR"/>
        </w:rPr>
        <w:t>COMPOSIÇÃO</w:t>
      </w:r>
    </w:p>
    <w:p w:rsidR="00F20D97" w:rsidRPr="000A4D7E" w:rsidRDefault="00F20D97" w:rsidP="000A4D7E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szCs w:val="24"/>
          <w:lang w:val="pt-BR"/>
        </w:rPr>
        <w:t xml:space="preserve">Cada </w:t>
      </w:r>
      <w:r w:rsidRPr="000A4D7E">
        <w:rPr>
          <w:rFonts w:ascii="Times New Roman" w:hAnsi="Times New Roman"/>
          <w:szCs w:val="24"/>
          <w:u w:val="single"/>
          <w:lang w:val="pt-BR"/>
        </w:rPr>
        <w:t>(forma farmacêutica)</w:t>
      </w:r>
      <w:r w:rsidRPr="000A4D7E">
        <w:rPr>
          <w:rFonts w:ascii="Times New Roman" w:hAnsi="Times New Roman"/>
          <w:szCs w:val="24"/>
          <w:lang w:val="pt-BR"/>
        </w:rPr>
        <w:t xml:space="preserve"> contém:</w:t>
      </w:r>
    </w:p>
    <w:p w:rsidR="00F20D97" w:rsidRPr="008053B4" w:rsidRDefault="00F20D97" w:rsidP="000A4D7E">
      <w:pPr>
        <w:ind w:right="39"/>
        <w:rPr>
          <w:rFonts w:ascii="Times New Roman" w:eastAsia="Calibri" w:hAnsi="Times New Roman"/>
          <w:szCs w:val="24"/>
          <w:lang w:val="pt-BR"/>
        </w:rPr>
      </w:pPr>
      <w:r w:rsidRPr="008053B4">
        <w:rPr>
          <w:rFonts w:ascii="Times New Roman" w:hAnsi="Times New Roman"/>
          <w:szCs w:val="24"/>
          <w:u w:val="single"/>
          <w:lang w:val="pt-BR"/>
        </w:rPr>
        <w:t xml:space="preserve">Derivado vegetal (a empresa deve indicar o derivado vegetal aprovado no dossiê de registro do </w:t>
      </w:r>
      <w:r w:rsidRPr="008053B4">
        <w:rPr>
          <w:rFonts w:ascii="Times New Roman" w:hAnsi="Times New Roman"/>
          <w:szCs w:val="24"/>
          <w:lang w:val="pt-BR"/>
        </w:rPr>
        <w:t xml:space="preserve">fitoterápico) de </w:t>
      </w:r>
      <w:r w:rsidRPr="008053B4">
        <w:rPr>
          <w:rFonts w:ascii="Times New Roman" w:hAnsi="Times New Roman"/>
          <w:i/>
          <w:szCs w:val="24"/>
          <w:lang w:val="pt-BR"/>
        </w:rPr>
        <w:t>Allium sativum</w:t>
      </w:r>
      <w:r w:rsidRPr="008053B4">
        <w:rPr>
          <w:rFonts w:ascii="Times New Roman" w:hAnsi="Times New Roman"/>
          <w:szCs w:val="24"/>
          <w:lang w:val="pt-BR"/>
        </w:rPr>
        <w:t xml:space="preserve"> ........... XXX mg (padronizado em XXX mg/unidade de medida ou XXX% de alicina)</w:t>
      </w:r>
      <w:r w:rsidRPr="008053B4">
        <w:rPr>
          <w:rFonts w:ascii="Times New Roman" w:eastAsia="Calibri" w:hAnsi="Times New Roman"/>
          <w:szCs w:val="24"/>
          <w:lang w:val="pt-BR"/>
        </w:rPr>
        <w:t xml:space="preserve"> </w:t>
      </w:r>
    </w:p>
    <w:p w:rsidR="00F20D97" w:rsidRPr="000A4D7E" w:rsidRDefault="00F20D97" w:rsidP="000A4D7E">
      <w:pPr>
        <w:ind w:right="39"/>
        <w:rPr>
          <w:rFonts w:ascii="Times New Roman" w:hAnsi="Times New Roman"/>
          <w:i/>
          <w:iCs/>
          <w:szCs w:val="24"/>
          <w:lang w:val="pt-BR"/>
        </w:rPr>
      </w:pPr>
      <w:r w:rsidRPr="008053B4">
        <w:rPr>
          <w:rFonts w:ascii="Times New Roman" w:hAnsi="Times New Roman"/>
          <w:szCs w:val="24"/>
          <w:lang w:val="pt-BR"/>
        </w:rPr>
        <w:t>Equivalente a XXX mg</w:t>
      </w:r>
      <w:r w:rsidRPr="008053B4">
        <w:rPr>
          <w:rFonts w:ascii="Times New Roman" w:hAnsi="Times New Roman"/>
          <w:iCs/>
          <w:szCs w:val="24"/>
          <w:lang w:val="pt-BR"/>
        </w:rPr>
        <w:t xml:space="preserve"> de </w:t>
      </w:r>
      <w:r w:rsidRPr="008053B4">
        <w:rPr>
          <w:rFonts w:ascii="Times New Roman" w:hAnsi="Times New Roman"/>
          <w:szCs w:val="24"/>
          <w:lang w:val="pt-BR"/>
        </w:rPr>
        <w:t>alicina /</w:t>
      </w:r>
      <w:r w:rsidRPr="008053B4">
        <w:rPr>
          <w:rFonts w:ascii="Times New Roman" w:hAnsi="Times New Roman"/>
          <w:szCs w:val="24"/>
          <w:u w:val="single"/>
          <w:lang w:val="pt-BR"/>
        </w:rPr>
        <w:t>unidade de medida ou unidade farmacotécnica do produto terminado</w:t>
      </w:r>
    </w:p>
    <w:p w:rsidR="00F20D97" w:rsidRPr="000A4D7E" w:rsidRDefault="00F20D97" w:rsidP="000A4D7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0A4D7E">
        <w:rPr>
          <w:rFonts w:ascii="Times New Roman" w:hAnsi="Times New Roman"/>
          <w:szCs w:val="24"/>
          <w:u w:val="single"/>
          <w:lang w:val="pt-BR"/>
        </w:rPr>
        <w:t>Para os excipientes, descrever a composição qualitativa, conforme DCB.</w:t>
      </w:r>
    </w:p>
    <w:p w:rsidR="00F20D97" w:rsidRPr="000A4D7E" w:rsidRDefault="00F20D97" w:rsidP="000A4D7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0A4D7E">
        <w:rPr>
          <w:rFonts w:ascii="Times New Roman" w:hAnsi="Times New Roman"/>
          <w:szCs w:val="24"/>
          <w:u w:val="single"/>
          <w:lang w:val="pt-BR"/>
        </w:rPr>
        <w:t>Para formas farmacêuticas líquidas, quando o solvente for alcoólico, mencionar a graduação alcoólica do produto final.</w:t>
      </w:r>
    </w:p>
    <w:p w:rsidR="00F20D97" w:rsidRPr="000A4D7E" w:rsidRDefault="00F20D97" w:rsidP="000A4D7E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0A4D7E">
        <w:rPr>
          <w:rFonts w:ascii="Times New Roman" w:hAnsi="Times New Roman"/>
          <w:szCs w:val="24"/>
          <w:u w:val="single"/>
          <w:lang w:val="pt-BR"/>
        </w:rPr>
        <w:t>Para medicamentos com forma farmacêutica líquida e em gotas, informar a equivalência de gotas para cada mililitro (gotas/mL) e massa por gota (mg/gotas).</w:t>
      </w:r>
    </w:p>
    <w:p w:rsidR="00F20D97" w:rsidRPr="000A4D7E" w:rsidRDefault="00F20D97" w:rsidP="000A4D7E">
      <w:pPr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D87CA6" w:rsidRPr="000A4D7E" w:rsidRDefault="00D87CA6" w:rsidP="000A4D7E">
      <w:pPr>
        <w:jc w:val="both"/>
        <w:rPr>
          <w:rFonts w:ascii="Times New Roman" w:hAnsi="Times New Roman"/>
          <w:b/>
          <w:szCs w:val="24"/>
          <w:lang w:val="pt-BR"/>
        </w:rPr>
      </w:pPr>
      <w:r w:rsidRPr="000A4D7E">
        <w:rPr>
          <w:rFonts w:ascii="Times New Roman" w:hAnsi="Times New Roman"/>
          <w:b/>
          <w:szCs w:val="24"/>
          <w:lang w:val="pt-BR"/>
        </w:rPr>
        <w:t>INFORMAÇÕES TÉCNICAS AOS PROFISSIONAIS DE SAÚDE</w:t>
      </w:r>
    </w:p>
    <w:p w:rsidR="00F20D97" w:rsidRPr="000A4D7E" w:rsidRDefault="00F20D97" w:rsidP="000A4D7E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D87CA6" w:rsidRPr="000A4D7E" w:rsidRDefault="00D87CA6" w:rsidP="000A4D7E">
      <w:pPr>
        <w:jc w:val="both"/>
        <w:rPr>
          <w:rFonts w:ascii="Times New Roman" w:hAnsi="Times New Roman"/>
          <w:b/>
          <w:szCs w:val="24"/>
          <w:lang w:val="pt-BR"/>
        </w:rPr>
      </w:pPr>
      <w:r w:rsidRPr="000A4D7E">
        <w:rPr>
          <w:rFonts w:ascii="Times New Roman" w:hAnsi="Times New Roman"/>
          <w:b/>
          <w:szCs w:val="24"/>
          <w:lang w:val="pt-BR"/>
        </w:rPr>
        <w:t>1. INDICAÇÕES</w:t>
      </w:r>
    </w:p>
    <w:p w:rsidR="00176998" w:rsidRPr="00661F2A" w:rsidRDefault="00D87CA6" w:rsidP="00176998">
      <w:pPr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szCs w:val="24"/>
          <w:lang w:val="pt-BR"/>
        </w:rPr>
        <w:t>Coadjuvante no tratamento da hiperlipidemia e hipertensão arterial leve</w:t>
      </w:r>
      <w:r w:rsidR="002919F1" w:rsidRPr="000A4D7E">
        <w:rPr>
          <w:rFonts w:ascii="Times New Roman" w:hAnsi="Times New Roman"/>
          <w:szCs w:val="24"/>
          <w:lang w:val="pt-BR"/>
        </w:rPr>
        <w:t xml:space="preserve"> a moderada</w:t>
      </w:r>
      <w:r w:rsidRPr="000A4D7E">
        <w:rPr>
          <w:rFonts w:ascii="Times New Roman" w:hAnsi="Times New Roman"/>
          <w:szCs w:val="24"/>
          <w:lang w:val="pt-BR"/>
        </w:rPr>
        <w:t>, além de auxiliar na</w:t>
      </w:r>
      <w:r w:rsidR="000A4D7E" w:rsidRPr="000A4D7E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prevenção da aterosclerose </w:t>
      </w:r>
      <w:r w:rsidR="00176998" w:rsidRPr="003C1507">
        <w:rPr>
          <w:rFonts w:ascii="Times New Roman" w:hAnsi="Times New Roman"/>
          <w:szCs w:val="24"/>
          <w:u w:val="single"/>
          <w:lang w:val="pt-BR"/>
        </w:rPr>
        <w:t>(RIED, FRANK, STOCKS, 2010; LAKHAN, SAPKO, 2009; LAW, MORRIS, WALD, 2009; SIMONS, WOLLERSHEIM, THIEN, 2009; SOBENIN</w:t>
      </w:r>
      <w:r w:rsidR="00176998" w:rsidRPr="003C1507">
        <w:rPr>
          <w:rFonts w:ascii="Times New Roman" w:hAnsi="Times New Roman"/>
          <w:i/>
          <w:iCs/>
          <w:szCs w:val="24"/>
          <w:u w:val="single"/>
          <w:lang w:val="pt-BR"/>
        </w:rPr>
        <w:t xml:space="preserve"> et al., </w:t>
      </w:r>
      <w:r w:rsidR="00176998" w:rsidRPr="003C1507">
        <w:rPr>
          <w:rFonts w:ascii="Times New Roman" w:hAnsi="Times New Roman"/>
          <w:szCs w:val="24"/>
          <w:u w:val="single"/>
          <w:lang w:val="pt-BR"/>
        </w:rPr>
        <w:t xml:space="preserve">2009; REINHART </w:t>
      </w:r>
      <w:r w:rsidR="00176998" w:rsidRPr="003C1507">
        <w:rPr>
          <w:rFonts w:ascii="Times New Roman" w:hAnsi="Times New Roman"/>
          <w:i/>
          <w:iCs/>
          <w:szCs w:val="24"/>
          <w:u w:val="single"/>
          <w:lang w:val="pt-BR"/>
        </w:rPr>
        <w:t xml:space="preserve">et al., </w:t>
      </w:r>
      <w:r w:rsidR="00176998" w:rsidRPr="003C1507">
        <w:rPr>
          <w:rFonts w:ascii="Times New Roman" w:hAnsi="Times New Roman"/>
          <w:szCs w:val="24"/>
          <w:u w:val="single"/>
          <w:lang w:val="pt-BR"/>
        </w:rPr>
        <w:t>2008; RIED</w:t>
      </w:r>
      <w:r w:rsidR="00176998" w:rsidRPr="003C1507">
        <w:rPr>
          <w:rFonts w:ascii="Times New Roman" w:hAnsi="Times New Roman"/>
          <w:i/>
          <w:iCs/>
          <w:szCs w:val="24"/>
          <w:u w:val="single"/>
          <w:lang w:val="pt-BR"/>
        </w:rPr>
        <w:t xml:space="preserve"> et al., </w:t>
      </w:r>
      <w:r w:rsidR="00176998" w:rsidRPr="003C1507">
        <w:rPr>
          <w:rFonts w:ascii="Times New Roman" w:hAnsi="Times New Roman"/>
          <w:szCs w:val="24"/>
          <w:u w:val="single"/>
          <w:lang w:val="pt-BR"/>
        </w:rPr>
        <w:t>2008; OMS, 1998)</w:t>
      </w:r>
      <w:r w:rsidR="00176998" w:rsidRPr="00153D26">
        <w:rPr>
          <w:rFonts w:ascii="Times New Roman" w:hAnsi="Times New Roman"/>
          <w:szCs w:val="24"/>
          <w:lang w:val="pt-BR"/>
        </w:rPr>
        <w:t>.</w:t>
      </w:r>
    </w:p>
    <w:p w:rsidR="00D87CA6" w:rsidRPr="000A4D7E" w:rsidRDefault="00D87CA6" w:rsidP="000A4D7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b/>
          <w:szCs w:val="24"/>
          <w:lang w:val="pt-BR"/>
        </w:rPr>
        <w:lastRenderedPageBreak/>
        <w:t>2. RESULTADOS DE EFICÁCIA</w:t>
      </w:r>
      <w:r w:rsidRPr="000A4D7E">
        <w:rPr>
          <w:rFonts w:ascii="Times New Roman" w:hAnsi="Times New Roman"/>
          <w:szCs w:val="24"/>
          <w:lang w:val="pt-BR"/>
        </w:rPr>
        <w:cr/>
        <w:t xml:space="preserve">Uma metanálise sobre o efeito de </w:t>
      </w:r>
      <w:r w:rsidRPr="000A4D7E">
        <w:rPr>
          <w:rFonts w:ascii="Times New Roman" w:hAnsi="Times New Roman"/>
          <w:i/>
          <w:iCs/>
          <w:szCs w:val="24"/>
          <w:lang w:val="pt-BR"/>
        </w:rPr>
        <w:t>A</w:t>
      </w:r>
      <w:r w:rsidR="00124C3F">
        <w:rPr>
          <w:rFonts w:ascii="Times New Roman" w:hAnsi="Times New Roman"/>
          <w:i/>
          <w:iCs/>
          <w:szCs w:val="24"/>
          <w:lang w:val="pt-BR"/>
        </w:rPr>
        <w:t>llium</w:t>
      </w:r>
      <w:r w:rsidRPr="000A4D7E">
        <w:rPr>
          <w:rFonts w:ascii="Times New Roman" w:hAnsi="Times New Roman"/>
          <w:i/>
          <w:iCs/>
          <w:szCs w:val="24"/>
          <w:lang w:val="pt-BR"/>
        </w:rPr>
        <w:t xml:space="preserve"> sativum </w:t>
      </w:r>
      <w:r w:rsidRPr="000A4D7E">
        <w:rPr>
          <w:rFonts w:ascii="Times New Roman" w:hAnsi="Times New Roman"/>
          <w:szCs w:val="24"/>
          <w:lang w:val="pt-BR"/>
        </w:rPr>
        <w:t>na pressão sanguínea revisou um total de 11 estudos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randomizados e controlados, utilizando entre 600-900mg/dia de tabletes de pó seco</w:t>
      </w:r>
      <w:r w:rsidR="005D0DC1">
        <w:rPr>
          <w:rFonts w:ascii="Times New Roman" w:hAnsi="Times New Roman"/>
          <w:szCs w:val="24"/>
          <w:lang w:val="pt-BR"/>
        </w:rPr>
        <w:t>,</w:t>
      </w:r>
      <w:r w:rsidRPr="000A4D7E">
        <w:rPr>
          <w:rFonts w:ascii="Times New Roman" w:hAnsi="Times New Roman"/>
          <w:szCs w:val="24"/>
          <w:lang w:val="pt-BR"/>
        </w:rPr>
        <w:t xml:space="preserve"> com duração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média de 12 semanas. Oito deles utilizaram 415 sujeitos de pesquisa e três estudos utilizaram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sujeitos de pesquisa portadores de hipertensão. De sete estudos que compararam </w:t>
      </w:r>
      <w:r w:rsidRPr="000A4D7E">
        <w:rPr>
          <w:rFonts w:ascii="Times New Roman" w:hAnsi="Times New Roman"/>
          <w:i/>
          <w:iCs/>
          <w:szCs w:val="24"/>
          <w:lang w:val="pt-BR"/>
        </w:rPr>
        <w:t xml:space="preserve">A. sativum </w:t>
      </w:r>
      <w:r w:rsidRPr="000A4D7E">
        <w:rPr>
          <w:rFonts w:ascii="Times New Roman" w:hAnsi="Times New Roman"/>
          <w:szCs w:val="24"/>
          <w:lang w:val="pt-BR"/>
        </w:rPr>
        <w:t>com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placebo, três demonstraram um decréscimo na pressão sistólica, e quatro estudos, uma redução na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pressão diastólica. Os resultados dessa metanálise mostraram que o </w:t>
      </w:r>
      <w:r w:rsidRPr="000A4D7E">
        <w:rPr>
          <w:rFonts w:ascii="Times New Roman" w:hAnsi="Times New Roman"/>
          <w:i/>
          <w:iCs/>
          <w:szCs w:val="24"/>
          <w:lang w:val="pt-BR"/>
        </w:rPr>
        <w:t xml:space="preserve">A. sativum </w:t>
      </w:r>
      <w:r w:rsidRPr="000A4D7E">
        <w:rPr>
          <w:rFonts w:ascii="Times New Roman" w:hAnsi="Times New Roman"/>
          <w:szCs w:val="24"/>
          <w:lang w:val="pt-BR"/>
        </w:rPr>
        <w:t>pode ser útil na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hipertensão, entretanto ainda não há dados suficientes que recomendem o </w:t>
      </w:r>
      <w:r w:rsidRPr="000A4D7E">
        <w:rPr>
          <w:rFonts w:ascii="Times New Roman" w:hAnsi="Times New Roman"/>
          <w:i/>
          <w:iCs/>
          <w:szCs w:val="24"/>
          <w:lang w:val="pt-BR"/>
        </w:rPr>
        <w:t xml:space="preserve">A. sativum </w:t>
      </w:r>
      <w:r w:rsidRPr="000A4D7E">
        <w:rPr>
          <w:rFonts w:ascii="Times New Roman" w:hAnsi="Times New Roman"/>
          <w:szCs w:val="24"/>
          <w:lang w:val="pt-BR"/>
        </w:rPr>
        <w:t>como uma</w:t>
      </w:r>
    </w:p>
    <w:p w:rsidR="00D87CA6" w:rsidRPr="000A4D7E" w:rsidRDefault="00D87CA6" w:rsidP="000A4D7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szCs w:val="24"/>
          <w:lang w:val="pt-BR"/>
        </w:rPr>
        <w:t>terapia isolada de rotina (NEIL &amp; SILAGY, 1994a).</w:t>
      </w:r>
    </w:p>
    <w:p w:rsidR="00D87CA6" w:rsidRPr="000A4D7E" w:rsidRDefault="00D87CA6" w:rsidP="000A4D7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szCs w:val="24"/>
          <w:lang w:val="pt-BR"/>
        </w:rPr>
        <w:t xml:space="preserve">Sobre os efeitos de </w:t>
      </w:r>
      <w:r w:rsidRPr="000A4D7E">
        <w:rPr>
          <w:rFonts w:ascii="Times New Roman" w:hAnsi="Times New Roman"/>
          <w:i/>
          <w:iCs/>
          <w:szCs w:val="24"/>
          <w:lang w:val="pt-BR"/>
        </w:rPr>
        <w:t xml:space="preserve">A. sativum </w:t>
      </w:r>
      <w:r w:rsidRPr="000A4D7E">
        <w:rPr>
          <w:rFonts w:ascii="Times New Roman" w:hAnsi="Times New Roman"/>
          <w:szCs w:val="24"/>
          <w:lang w:val="pt-BR"/>
        </w:rPr>
        <w:t>nos lipídios séricos e lipoproteínas, uma metanálise foi feita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revisando 25 estudos randomizados e controlados. Essa metanálise selecionou 16 estudos com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dados de 956 sujeitos. Dentre esses, 14 ensaios utilizaram desenho paralelo e os dois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remanescentes foram cruzados. A dose diária variou entre 600-900 mg em tabletes de pó seco. A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duração média dos estudos foi de 12 semanas. No geral, os sujeitos de pesquisa que receberam </w:t>
      </w:r>
      <w:r w:rsidRPr="000A4D7E">
        <w:rPr>
          <w:rFonts w:ascii="Times New Roman" w:hAnsi="Times New Roman"/>
          <w:i/>
          <w:iCs/>
          <w:szCs w:val="24"/>
          <w:lang w:val="pt-BR"/>
        </w:rPr>
        <w:t xml:space="preserve">A.sativum </w:t>
      </w:r>
      <w:r w:rsidR="005D0DC1" w:rsidRPr="008053B4">
        <w:rPr>
          <w:rFonts w:ascii="Times New Roman" w:hAnsi="Times New Roman"/>
          <w:iCs/>
          <w:szCs w:val="24"/>
          <w:lang w:val="pt-BR"/>
        </w:rPr>
        <w:t>tiveram</w:t>
      </w:r>
      <w:r w:rsidRPr="008053B4">
        <w:rPr>
          <w:rFonts w:ascii="Times New Roman" w:hAnsi="Times New Roman"/>
          <w:szCs w:val="24"/>
          <w:lang w:val="pt-BR"/>
        </w:rPr>
        <w:t>,</w:t>
      </w:r>
      <w:r w:rsidRPr="000A4D7E">
        <w:rPr>
          <w:rFonts w:ascii="Times New Roman" w:hAnsi="Times New Roman"/>
          <w:szCs w:val="24"/>
          <w:lang w:val="pt-BR"/>
        </w:rPr>
        <w:t xml:space="preserve"> em média, uma redução de 12% no colesterol total e uma diminuição de 13%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nos triglicerídeos séricos, confirmando a ação hipolipemiante de </w:t>
      </w:r>
      <w:r w:rsidRPr="000A4D7E">
        <w:rPr>
          <w:rFonts w:ascii="Times New Roman" w:hAnsi="Times New Roman"/>
          <w:i/>
          <w:iCs/>
          <w:szCs w:val="24"/>
          <w:lang w:val="pt-BR"/>
        </w:rPr>
        <w:t xml:space="preserve">A. sativum </w:t>
      </w:r>
      <w:r w:rsidRPr="000A4D7E">
        <w:rPr>
          <w:rFonts w:ascii="Times New Roman" w:hAnsi="Times New Roman"/>
          <w:szCs w:val="24"/>
          <w:lang w:val="pt-BR"/>
        </w:rPr>
        <w:t>(NEIL &amp; SILAGY,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1994b).</w:t>
      </w:r>
    </w:p>
    <w:p w:rsidR="00D87CA6" w:rsidRPr="000A4D7E" w:rsidRDefault="00D87CA6" w:rsidP="000A4D7E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Cs w:val="24"/>
          <w:lang w:val="pt-BR"/>
        </w:rPr>
      </w:pPr>
      <w:r w:rsidRPr="000A4D7E">
        <w:rPr>
          <w:rFonts w:ascii="Times New Roman" w:hAnsi="Times New Roman"/>
          <w:szCs w:val="24"/>
          <w:lang w:val="pt-BR"/>
        </w:rPr>
        <w:t xml:space="preserve">Outra metanálise de estudos controlados chegou a conclusões similares quanto aos efeitos de </w:t>
      </w:r>
      <w:r w:rsidRPr="000A4D7E">
        <w:rPr>
          <w:rFonts w:ascii="Times New Roman" w:hAnsi="Times New Roman"/>
          <w:i/>
          <w:iCs/>
          <w:szCs w:val="24"/>
          <w:lang w:val="pt-BR"/>
        </w:rPr>
        <w:t xml:space="preserve">A.sativum </w:t>
      </w:r>
      <w:r w:rsidRPr="000A4D7E">
        <w:rPr>
          <w:rFonts w:ascii="Times New Roman" w:hAnsi="Times New Roman"/>
          <w:szCs w:val="24"/>
          <w:lang w:val="pt-BR"/>
        </w:rPr>
        <w:t>no colesterol (NEIL &amp; SILAGY, 1994c), assim como uma revisão sistemática de oito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estudos com 500 sujeitos de pesquisa. Dentre esses estudos, sete tiveram como dose diária entre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600-900 mg, reduzindo o colesterol sérico e os níveis de triglicerídeos em 5-20%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(WARSHAFSKY </w:t>
      </w:r>
      <w:r w:rsidRPr="000A4D7E">
        <w:rPr>
          <w:rFonts w:ascii="Times New Roman" w:hAnsi="Times New Roman"/>
          <w:i/>
          <w:iCs/>
          <w:szCs w:val="24"/>
          <w:lang w:val="pt-BR"/>
        </w:rPr>
        <w:t xml:space="preserve">et al., </w:t>
      </w:r>
      <w:r w:rsidRPr="000A4D7E">
        <w:rPr>
          <w:rFonts w:ascii="Times New Roman" w:hAnsi="Times New Roman"/>
          <w:szCs w:val="24"/>
          <w:lang w:val="pt-BR"/>
        </w:rPr>
        <w:t>1993</w:t>
      </w:r>
      <w:r w:rsidRPr="000A4D7E">
        <w:rPr>
          <w:rFonts w:ascii="Times New Roman" w:hAnsi="Times New Roman"/>
          <w:i/>
          <w:iCs/>
          <w:szCs w:val="24"/>
          <w:lang w:val="pt-BR"/>
        </w:rPr>
        <w:t>).</w:t>
      </w:r>
    </w:p>
    <w:p w:rsidR="00D87CA6" w:rsidRPr="00F20098" w:rsidRDefault="00D87CA6" w:rsidP="000A4D7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szCs w:val="24"/>
          <w:lang w:val="pt-BR"/>
        </w:rPr>
        <w:t xml:space="preserve">Tratamentos com o pó de </w:t>
      </w:r>
      <w:r w:rsidRPr="000A4D7E">
        <w:rPr>
          <w:rFonts w:ascii="Times New Roman" w:hAnsi="Times New Roman"/>
          <w:i/>
          <w:iCs/>
          <w:szCs w:val="24"/>
          <w:lang w:val="pt-BR"/>
        </w:rPr>
        <w:t>A. sativum</w:t>
      </w:r>
      <w:r w:rsidRPr="000A4D7E">
        <w:rPr>
          <w:rFonts w:ascii="Times New Roman" w:hAnsi="Times New Roman"/>
          <w:szCs w:val="24"/>
          <w:lang w:val="pt-BR"/>
        </w:rPr>
        <w:t>, 300 mg, 3 vezes ao dia, e benzofibrato 200 mg, 3 vezes ao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dia, por 12 semanas, foram igualmente efetivos no tratamento de 98 pacientes com hiperlipidemia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primária num estudo multicêntrico e randomizado. Ambas as medicações causaram uma redução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estatisticamente significativa no colesterol total, na lipoproteína de baixa densidade (LDL) e nos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triglicerídeos, além de um aumento na lipoproteína de alta densidade (HDL). O colesterol total foi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reduzido de 282 para 210 mg/dL no grupo de </w:t>
      </w:r>
      <w:r w:rsidRPr="000A4D7E">
        <w:rPr>
          <w:rFonts w:ascii="Times New Roman" w:hAnsi="Times New Roman"/>
          <w:i/>
          <w:iCs/>
          <w:szCs w:val="24"/>
          <w:lang w:val="pt-BR"/>
        </w:rPr>
        <w:t xml:space="preserve">A. sativum </w:t>
      </w:r>
      <w:r w:rsidRPr="000A4D7E">
        <w:rPr>
          <w:rFonts w:ascii="Times New Roman" w:hAnsi="Times New Roman"/>
          <w:szCs w:val="24"/>
          <w:lang w:val="pt-BR"/>
        </w:rPr>
        <w:t>comparado com uma diminuição de 287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para 208 mg/dL no grupo do benzofibrato. Os níveis de LDL diminuíram de 195 para 130 mg/dL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na terapia com </w:t>
      </w:r>
      <w:r w:rsidRPr="000A4D7E">
        <w:rPr>
          <w:rFonts w:ascii="Times New Roman" w:hAnsi="Times New Roman"/>
          <w:i/>
          <w:iCs/>
          <w:szCs w:val="24"/>
          <w:lang w:val="pt-BR"/>
        </w:rPr>
        <w:t>A. sativum</w:t>
      </w:r>
      <w:r w:rsidRPr="000A4D7E">
        <w:rPr>
          <w:rFonts w:ascii="Times New Roman" w:hAnsi="Times New Roman"/>
          <w:szCs w:val="24"/>
          <w:lang w:val="pt-BR"/>
        </w:rPr>
        <w:t>, e de 200 para 130 mg/dL na terapia com benzofibrato. Os triglicerídeos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foram reduzidos de 306 para 207 mg/dL no grupo de </w:t>
      </w:r>
      <w:r w:rsidRPr="000A4D7E">
        <w:rPr>
          <w:rFonts w:ascii="Times New Roman" w:hAnsi="Times New Roman"/>
          <w:i/>
          <w:iCs/>
          <w:szCs w:val="24"/>
          <w:lang w:val="pt-BR"/>
        </w:rPr>
        <w:t>A. sativum</w:t>
      </w:r>
      <w:r w:rsidRPr="000A4D7E">
        <w:rPr>
          <w:rFonts w:ascii="Times New Roman" w:hAnsi="Times New Roman"/>
          <w:szCs w:val="24"/>
          <w:lang w:val="pt-BR"/>
        </w:rPr>
        <w:t>, comparados com uma redução de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307 para 168 mg/dL na terapia com benzofibrato. Os níveis de HDL aumentaram de 34 para 48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mg/dL no grupo tratado com </w:t>
      </w:r>
      <w:r w:rsidRPr="000A4D7E">
        <w:rPr>
          <w:rFonts w:ascii="Times New Roman" w:hAnsi="Times New Roman"/>
          <w:i/>
          <w:iCs/>
          <w:szCs w:val="24"/>
          <w:lang w:val="pt-BR"/>
        </w:rPr>
        <w:t>A.sativum</w:t>
      </w:r>
      <w:r w:rsidRPr="000A4D7E">
        <w:rPr>
          <w:rFonts w:ascii="Times New Roman" w:hAnsi="Times New Roman"/>
          <w:szCs w:val="24"/>
          <w:lang w:val="pt-BR"/>
        </w:rPr>
        <w:t>, e na terapia com benzofibrato, houve um aumento de 35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F20098">
        <w:rPr>
          <w:rFonts w:ascii="Times New Roman" w:hAnsi="Times New Roman"/>
          <w:szCs w:val="24"/>
          <w:lang w:val="pt-BR"/>
        </w:rPr>
        <w:t xml:space="preserve">para 51 mg/dL (HOLZGARTNER </w:t>
      </w:r>
      <w:r w:rsidRPr="00F20098">
        <w:rPr>
          <w:rFonts w:ascii="Times New Roman" w:hAnsi="Times New Roman"/>
          <w:i/>
          <w:iCs/>
          <w:szCs w:val="24"/>
          <w:lang w:val="pt-BR"/>
        </w:rPr>
        <w:t xml:space="preserve">et al., </w:t>
      </w:r>
      <w:r w:rsidRPr="00F20098">
        <w:rPr>
          <w:rFonts w:ascii="Times New Roman" w:hAnsi="Times New Roman"/>
          <w:szCs w:val="24"/>
          <w:lang w:val="pt-BR"/>
        </w:rPr>
        <w:t>1992).</w:t>
      </w:r>
    </w:p>
    <w:p w:rsidR="00D87CA6" w:rsidRPr="000A4D7E" w:rsidRDefault="00D87CA6" w:rsidP="000A4D7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szCs w:val="24"/>
          <w:lang w:val="pt-BR"/>
        </w:rPr>
        <w:t>Foi observado aumento da atividade fibrinolítica em pacientes portadores de aterosclerose depois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da administração de extrato aquoso, pó e óleos essenciais de </w:t>
      </w:r>
      <w:r w:rsidRPr="000A4D7E">
        <w:rPr>
          <w:rFonts w:ascii="Times New Roman" w:hAnsi="Times New Roman"/>
          <w:i/>
          <w:iCs/>
          <w:szCs w:val="24"/>
          <w:lang w:val="pt-BR"/>
        </w:rPr>
        <w:t xml:space="preserve">A. sativum </w:t>
      </w:r>
      <w:r w:rsidRPr="000A4D7E">
        <w:rPr>
          <w:rFonts w:ascii="Times New Roman" w:hAnsi="Times New Roman"/>
          <w:szCs w:val="24"/>
          <w:lang w:val="pt-BR"/>
        </w:rPr>
        <w:t xml:space="preserve">(HARENBERG </w:t>
      </w:r>
      <w:r w:rsidRPr="000A4D7E">
        <w:rPr>
          <w:rFonts w:ascii="Times New Roman" w:hAnsi="Times New Roman"/>
          <w:i/>
          <w:iCs/>
          <w:szCs w:val="24"/>
          <w:lang w:val="pt-BR"/>
        </w:rPr>
        <w:t>et al,</w:t>
      </w:r>
      <w:r w:rsidRPr="000A4D7E">
        <w:rPr>
          <w:rFonts w:ascii="Times New Roman" w:hAnsi="Times New Roman"/>
          <w:szCs w:val="24"/>
          <w:lang w:val="pt-BR"/>
        </w:rPr>
        <w:t xml:space="preserve">1998). Estudos clínicos demonstraram que o </w:t>
      </w:r>
      <w:r w:rsidRPr="000A4D7E">
        <w:rPr>
          <w:rFonts w:ascii="Times New Roman" w:hAnsi="Times New Roman"/>
          <w:i/>
          <w:iCs/>
          <w:szCs w:val="24"/>
          <w:lang w:val="pt-BR"/>
        </w:rPr>
        <w:t xml:space="preserve">A.sativum </w:t>
      </w:r>
      <w:r w:rsidRPr="000A4D7E">
        <w:rPr>
          <w:rFonts w:ascii="Times New Roman" w:hAnsi="Times New Roman"/>
          <w:szCs w:val="24"/>
          <w:lang w:val="pt-BR"/>
        </w:rPr>
        <w:t>ativa a fibrinólise endógena e que esse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efeito é detectável nas primeiras administrações e se intensifica quando administrado regularmente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F20098">
        <w:rPr>
          <w:rFonts w:ascii="Times New Roman" w:hAnsi="Times New Roman"/>
          <w:szCs w:val="24"/>
          <w:lang w:val="pt-BR"/>
        </w:rPr>
        <w:t xml:space="preserve">(KOCH H P, LAWSON L D.). </w:t>
      </w:r>
      <w:r w:rsidRPr="000A4D7E">
        <w:rPr>
          <w:rFonts w:ascii="Times New Roman" w:hAnsi="Times New Roman"/>
          <w:szCs w:val="24"/>
          <w:lang w:val="pt-BR"/>
        </w:rPr>
        <w:t xml:space="preserve">Doses de 600-1200 mg de pó de </w:t>
      </w:r>
      <w:r w:rsidRPr="000A4D7E">
        <w:rPr>
          <w:rFonts w:ascii="Times New Roman" w:hAnsi="Times New Roman"/>
          <w:i/>
          <w:iCs/>
          <w:szCs w:val="24"/>
          <w:lang w:val="pt-BR"/>
        </w:rPr>
        <w:t xml:space="preserve">A. sativum </w:t>
      </w:r>
      <w:r w:rsidRPr="000A4D7E">
        <w:rPr>
          <w:rFonts w:ascii="Times New Roman" w:hAnsi="Times New Roman"/>
          <w:szCs w:val="24"/>
          <w:lang w:val="pt-BR"/>
        </w:rPr>
        <w:t>diminuíram a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viscosidade plasmática e os níveis de hematócrito (WARSHAFSKY </w:t>
      </w:r>
      <w:r w:rsidRPr="000A4D7E">
        <w:rPr>
          <w:rFonts w:ascii="Times New Roman" w:hAnsi="Times New Roman"/>
          <w:i/>
          <w:iCs/>
          <w:szCs w:val="24"/>
          <w:lang w:val="pt-BR"/>
        </w:rPr>
        <w:t xml:space="preserve">et al., </w:t>
      </w:r>
      <w:r w:rsidRPr="000A4D7E">
        <w:rPr>
          <w:rFonts w:ascii="Times New Roman" w:hAnsi="Times New Roman"/>
          <w:szCs w:val="24"/>
          <w:lang w:val="pt-BR"/>
        </w:rPr>
        <w:t>1993).</w:t>
      </w:r>
    </w:p>
    <w:p w:rsidR="00D87CA6" w:rsidRPr="000A4D7E" w:rsidRDefault="00D87CA6" w:rsidP="000A4D7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b/>
          <w:szCs w:val="24"/>
          <w:lang w:val="pt-BR"/>
        </w:rPr>
        <w:t xml:space="preserve">3. </w:t>
      </w:r>
      <w:r w:rsidR="00F20098" w:rsidRPr="008053B4">
        <w:rPr>
          <w:rFonts w:ascii="Times New Roman" w:hAnsi="Times New Roman"/>
          <w:b/>
          <w:szCs w:val="24"/>
          <w:lang w:val="pt-BR"/>
        </w:rPr>
        <w:t>CARACTERÍSTICAS FARMACOLÓGICAS</w:t>
      </w:r>
      <w:r w:rsidR="00F20098" w:rsidRPr="00DA3B63">
        <w:rPr>
          <w:rFonts w:ascii="Times New Roman" w:hAnsi="Times New Roman"/>
          <w:b/>
          <w:szCs w:val="24"/>
          <w:lang w:val="pt-BR"/>
        </w:rPr>
        <w:cr/>
      </w:r>
      <w:r w:rsidRPr="000A4D7E">
        <w:rPr>
          <w:rFonts w:ascii="Times New Roman" w:hAnsi="Times New Roman"/>
          <w:szCs w:val="24"/>
          <w:lang w:val="pt-BR"/>
        </w:rPr>
        <w:t xml:space="preserve"> O extrato de </w:t>
      </w:r>
      <w:r w:rsidRPr="000A4D7E">
        <w:rPr>
          <w:rFonts w:ascii="Times New Roman" w:hAnsi="Times New Roman"/>
          <w:i/>
          <w:iCs/>
          <w:szCs w:val="24"/>
          <w:lang w:val="pt-BR"/>
        </w:rPr>
        <w:t xml:space="preserve">A. sativum </w:t>
      </w:r>
      <w:r w:rsidRPr="000A4D7E">
        <w:rPr>
          <w:rFonts w:ascii="Times New Roman" w:hAnsi="Times New Roman"/>
          <w:szCs w:val="24"/>
          <w:lang w:val="pt-BR"/>
        </w:rPr>
        <w:t>é formado por compostos sulfurados hidrossolúveis, como derivados da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cisteína (S-alil-cisteína; S-alil-mercaptocisteína; S-metil-cisteína e gama-glutamil-cisteína), bem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como lipossolúveis, sulfeto de dialila, dissulfeto de dialila, aliina, alicina, ditiinas, viniloditiinas e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alhoeno; além de ser formado por compostos não sulfurados: alixina (fenólico), saponinas,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polissacarídeos (fructosanas), mucilagem, sais </w:t>
      </w:r>
      <w:r w:rsidRPr="000A4D7E">
        <w:rPr>
          <w:rFonts w:ascii="Times New Roman" w:hAnsi="Times New Roman"/>
          <w:szCs w:val="24"/>
          <w:lang w:val="pt-BR"/>
        </w:rPr>
        <w:lastRenderedPageBreak/>
        <w:t>de potássio, óxido de ferro, cálcio, ácido salicílico,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níquel, selênio, traços de vitamina E, niacina, vitamina C, tiamina e germânio </w:t>
      </w:r>
      <w:r w:rsidRPr="00106D55">
        <w:rPr>
          <w:rFonts w:ascii="Times New Roman" w:hAnsi="Times New Roman"/>
          <w:szCs w:val="24"/>
          <w:u w:val="single"/>
          <w:lang w:val="pt-BR"/>
        </w:rPr>
        <w:t>(ALONSO, 1998)</w:t>
      </w:r>
      <w:r w:rsidRPr="000A4D7E">
        <w:rPr>
          <w:rFonts w:ascii="Times New Roman" w:hAnsi="Times New Roman"/>
          <w:szCs w:val="24"/>
          <w:lang w:val="pt-BR"/>
        </w:rPr>
        <w:t>.</w:t>
      </w:r>
    </w:p>
    <w:p w:rsidR="00D87CA6" w:rsidRPr="000A4D7E" w:rsidRDefault="00D87CA6" w:rsidP="000A4D7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szCs w:val="24"/>
          <w:lang w:val="pt-BR"/>
        </w:rPr>
        <w:t>A absorção e excreção, após administração oral da 35S</w:t>
      </w:r>
      <w:r w:rsidR="008053B4">
        <w:rPr>
          <w:rFonts w:ascii="Times New Roman" w:hAnsi="Times New Roman"/>
          <w:szCs w:val="24"/>
          <w:lang w:val="pt-BR"/>
        </w:rPr>
        <w:t>-aliina</w:t>
      </w:r>
      <w:r w:rsidRPr="000A4D7E">
        <w:rPr>
          <w:rFonts w:ascii="Times New Roman" w:hAnsi="Times New Roman"/>
          <w:szCs w:val="24"/>
          <w:lang w:val="pt-BR"/>
        </w:rPr>
        <w:t xml:space="preserve"> marcada radioativamente, foi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estudada em ratos. Depois da administração de 8mg de 35S-</w:t>
      </w:r>
      <w:r w:rsidR="008053B4">
        <w:rPr>
          <w:rFonts w:ascii="Times New Roman" w:hAnsi="Times New Roman"/>
          <w:szCs w:val="24"/>
          <w:lang w:val="pt-BR"/>
        </w:rPr>
        <w:t>aliina</w:t>
      </w:r>
      <w:r w:rsidRPr="000A4D7E">
        <w:rPr>
          <w:rFonts w:ascii="Times New Roman" w:hAnsi="Times New Roman"/>
          <w:szCs w:val="24"/>
          <w:lang w:val="pt-BR"/>
        </w:rPr>
        <w:t>/Kg de peso corpóreo, a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concentração máxima sanguínea foi alcançada em 10 minutos. A sua excreção foi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majoritariamente renal. A S-alil-cisteína administrada oralmente em ratos, camundongos e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cachorros foi rapidamente absorvida e distribuída principalmente para o plasma, fígado e rins. A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biodisponibilidade foi de 98,2% em ratos, 103% em camundongos e 87,2% em cachorros. Essa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substância foi excretada principalmente pela urina na forma de seu metabólito N-acetil em ratos, e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excretada inalterada e na forma de metabólito N-acetil em camundongos </w:t>
      </w:r>
      <w:r w:rsidRPr="00106D55">
        <w:rPr>
          <w:rFonts w:ascii="Times New Roman" w:hAnsi="Times New Roman"/>
          <w:szCs w:val="24"/>
          <w:u w:val="single"/>
          <w:lang w:val="pt-BR"/>
        </w:rPr>
        <w:t>(ESCOP, 1998)</w:t>
      </w:r>
      <w:r w:rsidRPr="000A4D7E">
        <w:rPr>
          <w:rFonts w:ascii="Times New Roman" w:hAnsi="Times New Roman"/>
          <w:szCs w:val="24"/>
          <w:lang w:val="pt-BR"/>
        </w:rPr>
        <w:t>.</w:t>
      </w:r>
    </w:p>
    <w:p w:rsidR="00D87CA6" w:rsidRPr="000A4D7E" w:rsidRDefault="00D87CA6" w:rsidP="000A4D7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szCs w:val="24"/>
          <w:lang w:val="pt-BR"/>
        </w:rPr>
        <w:t>O mecanismo da hipocolesterolemia e da hipolipidemia parece estar envolvido com a inibição da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enzima hepática hidroximetilglutaril-CoA redutase (HMG-CoA redutase) e com o remodelamento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das lipoproteínas plasmáticas e das membranas celulares </w:t>
      </w:r>
      <w:r w:rsidRPr="00106D55">
        <w:rPr>
          <w:rFonts w:ascii="Times New Roman" w:hAnsi="Times New Roman"/>
          <w:szCs w:val="24"/>
          <w:u w:val="single"/>
          <w:lang w:val="pt-BR"/>
        </w:rPr>
        <w:t>(BROSCHE &amp; PLATT, 1991)</w:t>
      </w:r>
      <w:r w:rsidRPr="000A4D7E">
        <w:rPr>
          <w:rFonts w:ascii="Times New Roman" w:hAnsi="Times New Roman"/>
          <w:szCs w:val="24"/>
          <w:lang w:val="pt-BR"/>
        </w:rPr>
        <w:t>. Em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concentrações menores que 0,5mg/ml, o extrato inibe a atividade da HMG-CoA redutase.</w:t>
      </w:r>
    </w:p>
    <w:p w:rsidR="00D87CA6" w:rsidRPr="000A4D7E" w:rsidRDefault="00D87CA6" w:rsidP="000A4D7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szCs w:val="24"/>
          <w:lang w:val="pt-BR"/>
        </w:rPr>
        <w:t>Entretanto, em maiores concentrações, ocorre a inibição de outras enzimas em estágios mais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tardios da biossíntese do colesterol. Esse mecanismo foi constatado </w:t>
      </w:r>
      <w:r w:rsidRPr="000A4D7E">
        <w:rPr>
          <w:rFonts w:ascii="Times New Roman" w:hAnsi="Times New Roman"/>
          <w:i/>
          <w:iCs/>
          <w:szCs w:val="24"/>
          <w:lang w:val="pt-BR"/>
        </w:rPr>
        <w:t xml:space="preserve">in vitro </w:t>
      </w:r>
      <w:r w:rsidRPr="000A4D7E">
        <w:rPr>
          <w:rFonts w:ascii="Times New Roman" w:hAnsi="Times New Roman"/>
          <w:szCs w:val="24"/>
          <w:lang w:val="pt-BR"/>
        </w:rPr>
        <w:t>devido principalmente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à alicina e ao alhoeno.</w:t>
      </w:r>
    </w:p>
    <w:p w:rsidR="007F0C84" w:rsidRDefault="00D87CA6" w:rsidP="000A4D7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szCs w:val="24"/>
          <w:lang w:val="pt-BR"/>
        </w:rPr>
        <w:t xml:space="preserve">A atividade anti-hipertensiva de </w:t>
      </w:r>
      <w:r w:rsidRPr="000A4D7E">
        <w:rPr>
          <w:rFonts w:ascii="Times New Roman" w:hAnsi="Times New Roman"/>
          <w:i/>
          <w:iCs/>
          <w:szCs w:val="24"/>
          <w:lang w:val="pt-BR"/>
        </w:rPr>
        <w:t xml:space="preserve">A. sativum </w:t>
      </w:r>
      <w:r w:rsidRPr="000A4D7E">
        <w:rPr>
          <w:rFonts w:ascii="Times New Roman" w:hAnsi="Times New Roman"/>
          <w:szCs w:val="24"/>
          <w:lang w:val="pt-BR"/>
        </w:rPr>
        <w:t xml:space="preserve">foi demonstrada </w:t>
      </w:r>
      <w:r w:rsidRPr="000A4D7E">
        <w:rPr>
          <w:rFonts w:ascii="Times New Roman" w:hAnsi="Times New Roman"/>
          <w:i/>
          <w:iCs/>
          <w:szCs w:val="24"/>
          <w:lang w:val="pt-BR"/>
        </w:rPr>
        <w:t>in vivo</w:t>
      </w:r>
      <w:r w:rsidRPr="000A4D7E">
        <w:rPr>
          <w:rFonts w:ascii="Times New Roman" w:hAnsi="Times New Roman"/>
          <w:szCs w:val="24"/>
          <w:lang w:val="pt-BR"/>
        </w:rPr>
        <w:t>. O mecanismo proposto sugere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que haja diminuição da resistência vascular por relaxamento direto da musculatura lisa </w:t>
      </w:r>
      <w:r w:rsidRPr="00106D55">
        <w:rPr>
          <w:rFonts w:ascii="Times New Roman" w:hAnsi="Times New Roman"/>
          <w:szCs w:val="24"/>
          <w:u w:val="single"/>
          <w:lang w:val="pt-BR"/>
        </w:rPr>
        <w:t>(OZTURK</w:t>
      </w:r>
      <w:r w:rsidR="00F20098" w:rsidRPr="00106D55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106D55">
        <w:rPr>
          <w:rFonts w:ascii="Times New Roman" w:hAnsi="Times New Roman"/>
          <w:i/>
          <w:iCs/>
          <w:szCs w:val="24"/>
          <w:u w:val="single"/>
          <w:lang w:val="pt-BR"/>
        </w:rPr>
        <w:t>et al</w:t>
      </w:r>
      <w:r w:rsidRPr="00106D55">
        <w:rPr>
          <w:rFonts w:ascii="Times New Roman" w:hAnsi="Times New Roman"/>
          <w:szCs w:val="24"/>
          <w:u w:val="single"/>
          <w:lang w:val="pt-BR"/>
        </w:rPr>
        <w:t>. 1994)</w:t>
      </w:r>
      <w:r w:rsidRPr="000A4D7E">
        <w:rPr>
          <w:rFonts w:ascii="Times New Roman" w:hAnsi="Times New Roman"/>
          <w:szCs w:val="24"/>
          <w:lang w:val="pt-BR"/>
        </w:rPr>
        <w:t>. Ocorre hiperpolarização causada pela abertura dos canais de K+, que resulta em</w:t>
      </w:r>
      <w:r w:rsidR="00F20098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vasodilatação também decorrente do fechamento dos canais de cálcio </w:t>
      </w:r>
      <w:r w:rsidRPr="00106D55">
        <w:rPr>
          <w:rFonts w:ascii="Times New Roman" w:hAnsi="Times New Roman"/>
          <w:szCs w:val="24"/>
          <w:u w:val="single"/>
          <w:lang w:val="pt-BR"/>
        </w:rPr>
        <w:t xml:space="preserve">(SIEGEL </w:t>
      </w:r>
      <w:r w:rsidRPr="00106D55">
        <w:rPr>
          <w:rFonts w:ascii="Times New Roman" w:hAnsi="Times New Roman"/>
          <w:i/>
          <w:iCs/>
          <w:szCs w:val="24"/>
          <w:u w:val="single"/>
          <w:lang w:val="pt-BR"/>
        </w:rPr>
        <w:t>et al</w:t>
      </w:r>
      <w:r w:rsidRPr="00106D55">
        <w:rPr>
          <w:rFonts w:ascii="Times New Roman" w:hAnsi="Times New Roman"/>
          <w:szCs w:val="24"/>
          <w:u w:val="single"/>
          <w:lang w:val="pt-BR"/>
        </w:rPr>
        <w:t>., 1992)</w:t>
      </w:r>
      <w:r w:rsidRPr="000A4D7E">
        <w:rPr>
          <w:rFonts w:ascii="Times New Roman" w:hAnsi="Times New Roman"/>
          <w:szCs w:val="24"/>
          <w:lang w:val="pt-BR"/>
        </w:rPr>
        <w:t>.</w:t>
      </w:r>
    </w:p>
    <w:p w:rsidR="007F0C84" w:rsidRPr="00E22A6C" w:rsidRDefault="007F0C84" w:rsidP="007F0C84">
      <w:pPr>
        <w:ind w:right="39"/>
        <w:jc w:val="both"/>
        <w:rPr>
          <w:rFonts w:ascii="Times New Roman" w:hAnsi="Times New Roman"/>
          <w:szCs w:val="24"/>
          <w:u w:val="single"/>
          <w:lang w:val="pt-BR"/>
        </w:rPr>
      </w:pPr>
      <w:r w:rsidRPr="0023161C">
        <w:rPr>
          <w:rFonts w:ascii="Times New Roman" w:hAnsi="Times New Roman"/>
          <w:szCs w:val="24"/>
          <w:u w:val="single"/>
          <w:lang w:val="pt-BR"/>
        </w:rPr>
        <w:t>Informar o tempo médio estimado para início da ação terapêutica do medicamento, quando aplicável</w:t>
      </w:r>
    </w:p>
    <w:p w:rsidR="00D87CA6" w:rsidRPr="000A4D7E" w:rsidRDefault="00D87CA6" w:rsidP="000A4D7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b/>
          <w:szCs w:val="24"/>
          <w:lang w:val="pt-BR"/>
        </w:rPr>
        <w:t>4. CONTRAINDICAÇÕES</w:t>
      </w:r>
      <w:r w:rsidRPr="000A4D7E">
        <w:rPr>
          <w:rFonts w:ascii="Times New Roman" w:hAnsi="Times New Roman"/>
          <w:b/>
          <w:szCs w:val="24"/>
          <w:lang w:val="pt-BR"/>
        </w:rPr>
        <w:cr/>
      </w:r>
      <w:r w:rsidRPr="000A4D7E">
        <w:rPr>
          <w:rFonts w:ascii="Times New Roman" w:hAnsi="Times New Roman"/>
          <w:szCs w:val="24"/>
          <w:lang w:val="pt-BR"/>
        </w:rPr>
        <w:t>Não deve ser utilizado em pacientes com hipertireoidismo, distúrbios da coagulação ou em</w:t>
      </w:r>
      <w:r w:rsidR="00A629A6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tratamento com anticoagulantes. Não deve ser usado em pré ou pós-operatórios, devendo ser</w:t>
      </w:r>
      <w:r w:rsidR="00A629A6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suspenso pelo menos 10 dias antes de procedimentos cirúrgicos. Pacientes com gastrite e/ou</w:t>
      </w:r>
      <w:r w:rsidR="00A629A6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úlcera gastroduodenal não devem fazer uso do medicamento </w:t>
      </w:r>
      <w:r w:rsidRPr="00A629A6">
        <w:rPr>
          <w:rFonts w:ascii="Times New Roman" w:hAnsi="Times New Roman"/>
          <w:szCs w:val="24"/>
          <w:u w:val="single"/>
          <w:lang w:val="pt-BR"/>
        </w:rPr>
        <w:t>(GARCIA, 1998; ALONSO, 1998)</w:t>
      </w:r>
      <w:r w:rsidRPr="000A4D7E">
        <w:rPr>
          <w:rFonts w:ascii="Times New Roman" w:hAnsi="Times New Roman"/>
          <w:szCs w:val="24"/>
          <w:lang w:val="pt-BR"/>
        </w:rPr>
        <w:t>.</w:t>
      </w:r>
    </w:p>
    <w:p w:rsidR="00D87CA6" w:rsidRDefault="00D87CA6" w:rsidP="00A629A6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szCs w:val="24"/>
          <w:lang w:val="pt-BR"/>
        </w:rPr>
        <w:t>Pacientes com histórico de hipersensibilidade e alergia a qualquer um dos componentes da fórmula</w:t>
      </w:r>
      <w:r w:rsidR="00A629A6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não devem fazer uso do produto</w:t>
      </w:r>
      <w:r w:rsidR="00A629A6">
        <w:rPr>
          <w:rFonts w:ascii="Times New Roman" w:hAnsi="Times New Roman"/>
          <w:szCs w:val="24"/>
          <w:lang w:val="pt-BR"/>
        </w:rPr>
        <w:t>.</w:t>
      </w:r>
    </w:p>
    <w:p w:rsidR="00A629A6" w:rsidRPr="00E22A6C" w:rsidRDefault="00A629A6" w:rsidP="00A629A6">
      <w:pPr>
        <w:ind w:right="-82"/>
        <w:jc w:val="both"/>
        <w:rPr>
          <w:rFonts w:ascii="Times New Roman" w:hAnsi="Times New Roman"/>
          <w:szCs w:val="24"/>
          <w:u w:val="single"/>
          <w:lang w:val="pt-BR"/>
        </w:rPr>
      </w:pPr>
      <w:r w:rsidRPr="00176998">
        <w:rPr>
          <w:rFonts w:ascii="Times New Roman" w:hAnsi="Times New Roman"/>
          <w:szCs w:val="24"/>
          <w:u w:val="single"/>
          <w:lang w:val="pt-BR"/>
        </w:rPr>
        <w:t>No caso de contraindicação para o uso de princípios ativos, classe terapêutica e</w:t>
      </w:r>
      <w:r w:rsidR="00176998" w:rsidRPr="00176998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176998">
        <w:rPr>
          <w:rFonts w:ascii="Times New Roman" w:hAnsi="Times New Roman"/>
          <w:szCs w:val="24"/>
          <w:u w:val="single"/>
          <w:lang w:val="pt-BR"/>
        </w:rPr>
        <w:t>excipientes, incluir, em negrito, as frases de alerta previstas em norma específica.</w:t>
      </w:r>
    </w:p>
    <w:p w:rsidR="00D87CA6" w:rsidRPr="000A4D7E" w:rsidRDefault="00D87CA6" w:rsidP="000A4D7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b/>
          <w:szCs w:val="24"/>
          <w:lang w:val="pt-BR"/>
        </w:rPr>
        <w:t>5. ADVERTÊNCIAS E PRECAUÇÕES</w:t>
      </w:r>
      <w:r w:rsidRPr="000A4D7E">
        <w:rPr>
          <w:rFonts w:ascii="Times New Roman" w:hAnsi="Times New Roman"/>
          <w:b/>
          <w:szCs w:val="24"/>
          <w:lang w:val="pt-BR"/>
        </w:rPr>
        <w:cr/>
      </w:r>
      <w:r w:rsidRPr="000A4D7E">
        <w:rPr>
          <w:rFonts w:ascii="Times New Roman" w:hAnsi="Times New Roman"/>
          <w:szCs w:val="24"/>
          <w:lang w:val="pt-BR"/>
        </w:rPr>
        <w:t>De acordo com a categoria de risco de fármacos destinados às mulheres grávidas, este</w:t>
      </w:r>
    </w:p>
    <w:p w:rsidR="007455CC" w:rsidRDefault="00D87CA6" w:rsidP="000A4D7E">
      <w:pPr>
        <w:autoSpaceDE w:val="0"/>
        <w:autoSpaceDN w:val="0"/>
        <w:adjustRightInd w:val="0"/>
        <w:jc w:val="both"/>
        <w:rPr>
          <w:rFonts w:ascii="Times New Roman" w:eastAsia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szCs w:val="24"/>
          <w:lang w:val="pt-BR"/>
        </w:rPr>
        <w:t>medicamento apresenta categoria de risco C</w:t>
      </w:r>
      <w:r w:rsidR="00DD27E6">
        <w:rPr>
          <w:rFonts w:ascii="Times New Roman" w:hAnsi="Times New Roman"/>
          <w:szCs w:val="24"/>
          <w:lang w:val="pt-BR"/>
        </w:rPr>
        <w:t xml:space="preserve">: </w:t>
      </w:r>
      <w:r w:rsidR="00DD27E6" w:rsidRPr="00DA3B63">
        <w:rPr>
          <w:rFonts w:ascii="Times New Roman" w:eastAsia="Times New Roman" w:hAnsi="Times New Roman"/>
          <w:szCs w:val="24"/>
          <w:lang w:val="pt-BR"/>
        </w:rPr>
        <w:t xml:space="preserve">Não foram realizados estudos em animais e nem em mulheres grávidas; ou então, os estudos em animais revelaram risco, mas não </w:t>
      </w:r>
      <w:r w:rsidR="007455CC">
        <w:rPr>
          <w:rFonts w:ascii="Times New Roman" w:eastAsia="Times New Roman" w:hAnsi="Times New Roman"/>
          <w:szCs w:val="24"/>
          <w:lang w:val="pt-BR"/>
        </w:rPr>
        <w:t>existem estudos disponíveis realizados em mulheres grávidas.</w:t>
      </w:r>
    </w:p>
    <w:p w:rsidR="00D87CA6" w:rsidRPr="00C223A3" w:rsidRDefault="00A735C9" w:rsidP="000A4D7E">
      <w:pPr>
        <w:autoSpaceDE w:val="0"/>
        <w:autoSpaceDN w:val="0"/>
        <w:adjustRightInd w:val="0"/>
        <w:jc w:val="both"/>
        <w:rPr>
          <w:rFonts w:ascii="Times New Roman" w:hAnsi="Times New Roman"/>
          <w:b/>
          <w:szCs w:val="24"/>
          <w:lang w:val="pt-BR"/>
        </w:rPr>
      </w:pPr>
      <w:r w:rsidRPr="00A735C9">
        <w:rPr>
          <w:rFonts w:ascii="Times New Roman" w:hAnsi="Times New Roman"/>
          <w:b/>
          <w:szCs w:val="24"/>
          <w:lang w:val="pt-BR"/>
        </w:rPr>
        <w:t>Este medicamento não deve ser utilizado por mulheres grávidas sem orientação médica ou do cirurgião dentista.</w:t>
      </w:r>
    </w:p>
    <w:p w:rsidR="00A629A6" w:rsidRPr="00DD27E6" w:rsidRDefault="00A629A6" w:rsidP="00A629A6">
      <w:pPr>
        <w:autoSpaceDE w:val="0"/>
        <w:autoSpaceDN w:val="0"/>
        <w:adjustRightInd w:val="0"/>
        <w:rPr>
          <w:rFonts w:ascii="Times New Roman" w:eastAsia="Times New Roman" w:hAnsi="Times New Roman"/>
          <w:szCs w:val="24"/>
          <w:u w:val="single"/>
          <w:lang w:val="pt-BR"/>
        </w:rPr>
      </w:pPr>
      <w:r w:rsidRPr="00DD27E6">
        <w:rPr>
          <w:rFonts w:ascii="Times New Roman" w:eastAsia="Times New Roman" w:hAnsi="Times New Roman"/>
          <w:szCs w:val="24"/>
          <w:u w:val="single"/>
          <w:lang w:val="pt-BR"/>
        </w:rPr>
        <w:t xml:space="preserve">No caso de </w:t>
      </w:r>
      <w:r w:rsidR="00446CF0" w:rsidRPr="00446CF0">
        <w:rPr>
          <w:rFonts w:ascii="Times New Roman" w:eastAsia="Times New Roman" w:hAnsi="Times New Roman"/>
          <w:szCs w:val="24"/>
          <w:u w:val="single"/>
          <w:lang w:val="pt-BR"/>
        </w:rPr>
        <w:t xml:space="preserve">advertências e precauções </w:t>
      </w:r>
      <w:r w:rsidRPr="00446CF0">
        <w:rPr>
          <w:rFonts w:ascii="Times New Roman" w:eastAsia="Times New Roman" w:hAnsi="Times New Roman"/>
          <w:szCs w:val="24"/>
          <w:u w:val="single"/>
          <w:lang w:val="pt-BR"/>
        </w:rPr>
        <w:t>para</w:t>
      </w:r>
      <w:r w:rsidRPr="00DD27E6">
        <w:rPr>
          <w:rFonts w:ascii="Times New Roman" w:eastAsia="Times New Roman" w:hAnsi="Times New Roman"/>
          <w:szCs w:val="24"/>
          <w:u w:val="single"/>
          <w:lang w:val="pt-BR"/>
        </w:rPr>
        <w:t xml:space="preserve"> o uso de princípios ativos, classe terapêutica e</w:t>
      </w:r>
      <w:r w:rsidR="00446CF0">
        <w:rPr>
          <w:rFonts w:ascii="Times New Roman" w:eastAsia="Times New Roman" w:hAnsi="Times New Roman"/>
          <w:szCs w:val="24"/>
          <w:u w:val="single"/>
          <w:lang w:val="pt-BR"/>
        </w:rPr>
        <w:t xml:space="preserve"> </w:t>
      </w:r>
      <w:r w:rsidRPr="00DD27E6">
        <w:rPr>
          <w:rFonts w:ascii="Times New Roman" w:eastAsia="Times New Roman" w:hAnsi="Times New Roman"/>
          <w:szCs w:val="24"/>
          <w:u w:val="single"/>
          <w:lang w:val="pt-BR"/>
        </w:rPr>
        <w:t>excipientes, incluir, em negrito, as frases de alerta previstas em norma específica.</w:t>
      </w:r>
    </w:p>
    <w:p w:rsidR="00D87CA6" w:rsidRPr="000A4D7E" w:rsidRDefault="00D87CA6" w:rsidP="000A4D7E">
      <w:pPr>
        <w:jc w:val="both"/>
        <w:rPr>
          <w:rFonts w:ascii="Times New Roman" w:hAnsi="Times New Roman"/>
          <w:b/>
          <w:szCs w:val="24"/>
          <w:lang w:val="pt-BR"/>
        </w:rPr>
      </w:pPr>
      <w:r w:rsidRPr="000A4D7E">
        <w:rPr>
          <w:rFonts w:ascii="Times New Roman" w:hAnsi="Times New Roman"/>
          <w:b/>
          <w:szCs w:val="24"/>
          <w:lang w:val="pt-BR"/>
        </w:rPr>
        <w:t>6. INTERAÇÕES MEDICAMENTOSAS</w:t>
      </w:r>
    </w:p>
    <w:p w:rsidR="00D87CA6" w:rsidRPr="000A4D7E" w:rsidRDefault="00D87CA6" w:rsidP="000A4D7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szCs w:val="24"/>
          <w:lang w:val="pt-BR"/>
        </w:rPr>
        <w:t>Esse medicamento não pode ser utilizado em associação com anticoagulantes orais, heparina,</w:t>
      </w:r>
      <w:r w:rsidR="00A629A6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agentes trombolíticos, antiagregantes plaquetários e antiinflamatórios não-esteroidais, por</w:t>
      </w:r>
      <w:r w:rsidR="00A629A6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aumentarem o risco de hemorragias </w:t>
      </w:r>
      <w:r w:rsidRPr="00A629A6">
        <w:rPr>
          <w:rFonts w:ascii="Times New Roman" w:hAnsi="Times New Roman"/>
          <w:szCs w:val="24"/>
          <w:u w:val="single"/>
          <w:lang w:val="pt-BR"/>
        </w:rPr>
        <w:t>(MICROMEDEX, 2007)</w:t>
      </w:r>
      <w:r w:rsidRPr="000A4D7E">
        <w:rPr>
          <w:rFonts w:ascii="Times New Roman" w:hAnsi="Times New Roman"/>
          <w:szCs w:val="24"/>
          <w:lang w:val="pt-BR"/>
        </w:rPr>
        <w:t>.</w:t>
      </w:r>
    </w:p>
    <w:p w:rsidR="00D87CA6" w:rsidRPr="000A4D7E" w:rsidRDefault="00D87CA6" w:rsidP="000A4D7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szCs w:val="24"/>
          <w:lang w:val="pt-BR"/>
        </w:rPr>
        <w:lastRenderedPageBreak/>
        <w:t>Este medicamento, quando associado a inibidores da protease, pode reduzir as concentrações</w:t>
      </w:r>
      <w:r w:rsidR="00A629A6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séricas dessa classe, aumentando o risco de resistência ao antiretroviral e falhas no tratamento</w:t>
      </w:r>
      <w:r w:rsidR="00A629A6">
        <w:rPr>
          <w:rFonts w:ascii="Times New Roman" w:hAnsi="Times New Roman"/>
          <w:szCs w:val="24"/>
          <w:lang w:val="pt-BR"/>
        </w:rPr>
        <w:t xml:space="preserve"> </w:t>
      </w:r>
      <w:r w:rsidRPr="00A629A6">
        <w:rPr>
          <w:rFonts w:ascii="Times New Roman" w:hAnsi="Times New Roman"/>
          <w:szCs w:val="24"/>
          <w:u w:val="single"/>
          <w:lang w:val="pt-BR"/>
        </w:rPr>
        <w:t xml:space="preserve">(GALLICANO </w:t>
      </w:r>
      <w:r w:rsidRPr="00A629A6">
        <w:rPr>
          <w:rFonts w:ascii="Times New Roman" w:hAnsi="Times New Roman"/>
          <w:i/>
          <w:iCs/>
          <w:szCs w:val="24"/>
          <w:u w:val="single"/>
          <w:lang w:val="pt-BR"/>
        </w:rPr>
        <w:t>et al</w:t>
      </w:r>
      <w:r w:rsidRPr="00A629A6">
        <w:rPr>
          <w:rFonts w:ascii="Times New Roman" w:hAnsi="Times New Roman"/>
          <w:szCs w:val="24"/>
          <w:u w:val="single"/>
          <w:lang w:val="pt-BR"/>
        </w:rPr>
        <w:t xml:space="preserve">. 2003; PISCITELLI </w:t>
      </w:r>
      <w:r w:rsidRPr="00A629A6">
        <w:rPr>
          <w:rFonts w:ascii="Times New Roman" w:hAnsi="Times New Roman"/>
          <w:i/>
          <w:iCs/>
          <w:szCs w:val="24"/>
          <w:u w:val="single"/>
          <w:lang w:val="pt-BR"/>
        </w:rPr>
        <w:t xml:space="preserve">et al., </w:t>
      </w:r>
      <w:r w:rsidRPr="00A629A6">
        <w:rPr>
          <w:rFonts w:ascii="Times New Roman" w:hAnsi="Times New Roman"/>
          <w:szCs w:val="24"/>
          <w:u w:val="single"/>
          <w:lang w:val="pt-BR"/>
        </w:rPr>
        <w:t>2002)</w:t>
      </w:r>
      <w:r w:rsidRPr="000A4D7E">
        <w:rPr>
          <w:rFonts w:ascii="Times New Roman" w:hAnsi="Times New Roman"/>
          <w:szCs w:val="24"/>
          <w:lang w:val="pt-BR"/>
        </w:rPr>
        <w:t>. Além disso, pode diminuir a efetividade da</w:t>
      </w:r>
      <w:r w:rsidR="00A629A6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clorzoxazona por induzir o seu metabolismo </w:t>
      </w:r>
      <w:r w:rsidRPr="00A629A6">
        <w:rPr>
          <w:rFonts w:ascii="Times New Roman" w:hAnsi="Times New Roman"/>
          <w:szCs w:val="24"/>
          <w:u w:val="single"/>
          <w:lang w:val="pt-BR"/>
        </w:rPr>
        <w:t xml:space="preserve">(GURLEY </w:t>
      </w:r>
      <w:r w:rsidRPr="00A629A6">
        <w:rPr>
          <w:rFonts w:ascii="Times New Roman" w:hAnsi="Times New Roman"/>
          <w:i/>
          <w:iCs/>
          <w:szCs w:val="24"/>
          <w:u w:val="single"/>
          <w:lang w:val="pt-BR"/>
        </w:rPr>
        <w:t xml:space="preserve">et al., </w:t>
      </w:r>
      <w:r w:rsidRPr="00A629A6">
        <w:rPr>
          <w:rFonts w:ascii="Times New Roman" w:hAnsi="Times New Roman"/>
          <w:szCs w:val="24"/>
          <w:u w:val="single"/>
          <w:lang w:val="pt-BR"/>
        </w:rPr>
        <w:t>2002)</w:t>
      </w:r>
      <w:r w:rsidRPr="000A4D7E">
        <w:rPr>
          <w:rFonts w:ascii="Times New Roman" w:hAnsi="Times New Roman"/>
          <w:szCs w:val="24"/>
          <w:lang w:val="pt-BR"/>
        </w:rPr>
        <w:t>.</w:t>
      </w:r>
    </w:p>
    <w:p w:rsidR="00A629A6" w:rsidRPr="00DA3B63" w:rsidRDefault="00D87CA6" w:rsidP="00A629A6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0A4D7E">
        <w:rPr>
          <w:rFonts w:ascii="Times New Roman" w:hAnsi="Times New Roman"/>
          <w:b/>
          <w:szCs w:val="24"/>
          <w:lang w:val="pt-BR"/>
        </w:rPr>
        <w:t>7. CUIDADOS DE ARMAZENAMENTO DO MEDICAMENTO</w:t>
      </w:r>
      <w:r w:rsidRPr="000A4D7E">
        <w:rPr>
          <w:rFonts w:ascii="Times New Roman" w:hAnsi="Times New Roman"/>
          <w:b/>
          <w:szCs w:val="24"/>
          <w:lang w:val="pt-BR"/>
        </w:rPr>
        <w:cr/>
      </w:r>
      <w:r w:rsidR="00A629A6" w:rsidRPr="00685853">
        <w:rPr>
          <w:rFonts w:ascii="Times New Roman" w:hAnsi="Times New Roman"/>
          <w:szCs w:val="24"/>
          <w:u w:val="single"/>
          <w:lang w:val="pt-BR"/>
        </w:rPr>
        <w:t xml:space="preserve">Descrever os cuidados específicos para o armazenamento do medicamento e informar o prazo de validade do medicamento a partir da data de fabricação, aprovado no registro, citando o número de meses.  </w:t>
      </w:r>
    </w:p>
    <w:p w:rsidR="00A629A6" w:rsidRPr="00DA3B63" w:rsidRDefault="00A629A6" w:rsidP="00A629A6">
      <w:pPr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Número de lote e datas de fabricação e validade: vide embalagem.</w:t>
      </w:r>
    </w:p>
    <w:p w:rsidR="00A629A6" w:rsidRDefault="00A629A6" w:rsidP="00A629A6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Não use medicamento com o prazo de validade vencido. Guarde-o em sua embalagem original.</w:t>
      </w:r>
    </w:p>
    <w:p w:rsidR="00A629A6" w:rsidRPr="00B5096D" w:rsidRDefault="00A629A6" w:rsidP="00A629A6">
      <w:pPr>
        <w:autoSpaceDE w:val="0"/>
        <w:autoSpaceDN w:val="0"/>
        <w:adjustRightInd w:val="0"/>
        <w:rPr>
          <w:rFonts w:ascii="Times New Roman" w:eastAsiaTheme="minorHAnsi" w:hAnsi="Times New Roman"/>
          <w:b/>
          <w:bCs/>
          <w:color w:val="04000A"/>
          <w:szCs w:val="24"/>
          <w:u w:val="single"/>
          <w:lang w:val="pt-BR" w:eastAsia="en-US"/>
        </w:rPr>
      </w:pPr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Descrever os cuidados específicos de conservação para medicamentos que uma vez abertos ou preparados para o uso sofram redução do prazo de validade original ou alteração do cuidado de conservação original, incluindo uma das seguintes frases, em negrito</w:t>
      </w:r>
      <w:r w:rsidRPr="00B5096D">
        <w:rPr>
          <w:rFonts w:ascii="Times New Roman" w:eastAsiaTheme="minorHAnsi" w:hAnsi="Times New Roman"/>
          <w:b/>
          <w:bCs/>
          <w:color w:val="04000A"/>
          <w:szCs w:val="24"/>
          <w:u w:val="single"/>
          <w:lang w:val="pt-BR" w:eastAsia="en-US"/>
        </w:rPr>
        <w:t>:</w:t>
      </w:r>
    </w:p>
    <w:p w:rsidR="00A629A6" w:rsidRPr="00B5096D" w:rsidRDefault="00A629A6" w:rsidP="00A629A6">
      <w:pPr>
        <w:autoSpaceDE w:val="0"/>
        <w:autoSpaceDN w:val="0"/>
        <w:adjustRightInd w:val="0"/>
        <w:rPr>
          <w:rFonts w:ascii="Times New Roman" w:eastAsiaTheme="minorHAnsi" w:hAnsi="Times New Roman"/>
          <w:color w:val="04000A"/>
          <w:szCs w:val="24"/>
          <w:lang w:val="pt-BR" w:eastAsia="en-US"/>
        </w:rPr>
      </w:pPr>
      <w:r w:rsidRPr="00B5096D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t>Após aberto, válido por _____</w:t>
      </w:r>
      <w:r w:rsidRPr="00B5096D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 </w:t>
      </w:r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(indicando o tempo de validade após aberto, conforme estudos de estabilidade do medicamento)</w:t>
      </w:r>
    </w:p>
    <w:p w:rsidR="00A629A6" w:rsidRPr="00B5096D" w:rsidRDefault="00A629A6" w:rsidP="00A629A6">
      <w:pPr>
        <w:autoSpaceDE w:val="0"/>
        <w:autoSpaceDN w:val="0"/>
        <w:adjustRightInd w:val="0"/>
        <w:rPr>
          <w:rFonts w:ascii="Times New Roman" w:eastAsiaTheme="minorHAnsi" w:hAnsi="Times New Roman"/>
          <w:color w:val="04000A"/>
          <w:szCs w:val="24"/>
          <w:lang w:val="pt-BR" w:eastAsia="en-US"/>
        </w:rPr>
      </w:pPr>
      <w:r w:rsidRPr="00B5096D">
        <w:rPr>
          <w:rFonts w:ascii="Times New Roman" w:eastAsiaTheme="minorHAnsi" w:hAnsi="Times New Roman"/>
          <w:b/>
          <w:color w:val="04000A"/>
          <w:szCs w:val="24"/>
          <w:lang w:val="pt-BR" w:eastAsia="en-US"/>
        </w:rPr>
        <w:t>Após preparo, manter _____ por ____</w:t>
      </w:r>
      <w:r w:rsidRPr="00B5096D">
        <w:rPr>
          <w:rFonts w:ascii="Times New Roman" w:eastAsiaTheme="minorHAnsi" w:hAnsi="Times New Roman"/>
          <w:color w:val="04000A"/>
          <w:szCs w:val="24"/>
          <w:lang w:val="pt-BR" w:eastAsia="en-US"/>
        </w:rPr>
        <w:t xml:space="preserve"> </w:t>
      </w:r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(indicando o cuidado de conservação e o tempo de validade após preparo, conforme estudos de estabilidade do medicamento)</w:t>
      </w:r>
    </w:p>
    <w:p w:rsidR="00A629A6" w:rsidRPr="00B5096D" w:rsidRDefault="00A629A6" w:rsidP="00A629A6">
      <w:pPr>
        <w:autoSpaceDE w:val="0"/>
        <w:autoSpaceDN w:val="0"/>
        <w:adjustRightInd w:val="0"/>
        <w:rPr>
          <w:rFonts w:ascii="Times New Roman" w:hAnsi="Times New Roman"/>
          <w:b/>
          <w:color w:val="04000A"/>
          <w:szCs w:val="24"/>
          <w:u w:val="single"/>
          <w:lang w:val="pt-BR"/>
        </w:rPr>
      </w:pPr>
      <w:r w:rsidRPr="00B5096D">
        <w:rPr>
          <w:rFonts w:ascii="Times New Roman" w:eastAsiaTheme="minorHAnsi" w:hAnsi="Times New Roman"/>
          <w:color w:val="04000A"/>
          <w:szCs w:val="24"/>
          <w:u w:val="single"/>
          <w:lang w:val="pt-BR" w:eastAsia="en-US"/>
        </w:rPr>
        <w:t>Descrever as características físicas e org</w:t>
      </w:r>
      <w:r w:rsidRPr="00B5096D">
        <w:rPr>
          <w:rFonts w:ascii="Times New Roman" w:eastAsiaTheme="minorHAnsi" w:hAnsi="Times New Roman"/>
          <w:color w:val="000000"/>
          <w:szCs w:val="24"/>
          <w:u w:val="single"/>
          <w:lang w:val="pt-BR" w:eastAsia="en-US"/>
        </w:rPr>
        <w:t>anolépticas do produto e outras características do medicamento, inclusive após a reconstituição e/ou diluição.</w:t>
      </w:r>
    </w:p>
    <w:p w:rsidR="00A629A6" w:rsidRPr="00DA3B63" w:rsidRDefault="00A629A6" w:rsidP="00A629A6">
      <w:pPr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Antes de usar, observe o aspecto do medicamento.</w:t>
      </w:r>
    </w:p>
    <w:p w:rsidR="00A629A6" w:rsidRPr="00DA3B63" w:rsidRDefault="00A629A6" w:rsidP="00A629A6">
      <w:pPr>
        <w:jc w:val="both"/>
        <w:rPr>
          <w:rFonts w:ascii="Times New Roman" w:hAnsi="Times New Roman"/>
          <w:b/>
          <w:szCs w:val="24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Todo medicamento deve ser mantido fora do alcance das crianças.</w:t>
      </w:r>
    </w:p>
    <w:p w:rsidR="00D87CA6" w:rsidRPr="000A4D7E" w:rsidRDefault="00D87CA6" w:rsidP="00A629A6">
      <w:pPr>
        <w:jc w:val="both"/>
        <w:rPr>
          <w:rFonts w:ascii="Times New Roman" w:hAnsi="Times New Roman"/>
          <w:b/>
          <w:szCs w:val="24"/>
          <w:lang w:val="pt-BR"/>
        </w:rPr>
      </w:pPr>
      <w:r w:rsidRPr="000A4D7E">
        <w:rPr>
          <w:rFonts w:ascii="Times New Roman" w:hAnsi="Times New Roman"/>
          <w:b/>
          <w:szCs w:val="24"/>
          <w:lang w:val="pt-BR"/>
        </w:rPr>
        <w:t>8. POSOLOGIA E MODO DE USAR</w:t>
      </w:r>
    </w:p>
    <w:p w:rsidR="00A629A6" w:rsidRDefault="00A629A6" w:rsidP="00A629A6">
      <w:pPr>
        <w:ind w:right="39"/>
        <w:jc w:val="both"/>
        <w:rPr>
          <w:rFonts w:ascii="Times New Roman" w:hAnsi="Times New Roman"/>
          <w:szCs w:val="24"/>
          <w:lang w:val="pt-BR"/>
        </w:rPr>
      </w:pPr>
      <w:r w:rsidRPr="00B5096D">
        <w:rPr>
          <w:rFonts w:ascii="Times New Roman" w:hAnsi="Times New Roman"/>
          <w:szCs w:val="24"/>
          <w:lang w:val="pt-BR"/>
        </w:rPr>
        <w:t>USO ORAL/ USO INTERNO</w:t>
      </w:r>
    </w:p>
    <w:p w:rsidR="00DD27E6" w:rsidRPr="00D53CD1" w:rsidRDefault="00DD27E6" w:rsidP="00DD27E6">
      <w:pPr>
        <w:autoSpaceDE w:val="0"/>
        <w:autoSpaceDN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D53CD1">
        <w:rPr>
          <w:rFonts w:ascii="Times New Roman" w:hAnsi="Times New Roman"/>
          <w:szCs w:val="24"/>
          <w:lang w:val="pt-BR"/>
        </w:rPr>
        <w:t xml:space="preserve">Ingerir XXX </w:t>
      </w:r>
      <w:r w:rsidRPr="00D53CD1">
        <w:rPr>
          <w:rFonts w:ascii="Times New Roman" w:hAnsi="Times New Roman"/>
          <w:szCs w:val="24"/>
          <w:u w:val="single"/>
          <w:lang w:val="pt-BR"/>
        </w:rPr>
        <w:t>(inserir a unidade de medida ou unidade farmacotécnica)</w:t>
      </w:r>
      <w:r w:rsidRPr="00D53CD1">
        <w:rPr>
          <w:rFonts w:ascii="Times New Roman" w:hAnsi="Times New Roman"/>
          <w:szCs w:val="24"/>
          <w:lang w:val="pt-BR"/>
        </w:rPr>
        <w:t xml:space="preserve">, de XXX em XXX horas, ou a critério médico. </w:t>
      </w:r>
      <w:r w:rsidRPr="00D53CD1">
        <w:rPr>
          <w:rFonts w:ascii="Times New Roman" w:hAnsi="Times New Roman"/>
          <w:szCs w:val="24"/>
          <w:u w:val="single"/>
          <w:lang w:val="pt-BR"/>
        </w:rPr>
        <w:t xml:space="preserve">(A dose diária deve estar entre </w:t>
      </w:r>
      <w:r>
        <w:rPr>
          <w:rFonts w:ascii="Times New Roman" w:hAnsi="Times New Roman"/>
          <w:szCs w:val="24"/>
          <w:u w:val="single"/>
          <w:lang w:val="pt-BR"/>
        </w:rPr>
        <w:t>3</w:t>
      </w:r>
      <w:r w:rsidRPr="00D53CD1">
        <w:rPr>
          <w:rFonts w:ascii="Times New Roman" w:hAnsi="Times New Roman"/>
          <w:szCs w:val="24"/>
          <w:u w:val="single"/>
          <w:lang w:val="pt-BR"/>
        </w:rPr>
        <w:t xml:space="preserve"> e </w:t>
      </w:r>
      <w:r>
        <w:rPr>
          <w:rFonts w:ascii="Times New Roman" w:hAnsi="Times New Roman"/>
          <w:szCs w:val="24"/>
          <w:u w:val="single"/>
          <w:lang w:val="pt-BR"/>
        </w:rPr>
        <w:t xml:space="preserve">5 </w:t>
      </w:r>
      <w:r w:rsidRPr="00D53CD1">
        <w:rPr>
          <w:rFonts w:ascii="Times New Roman" w:hAnsi="Times New Roman"/>
          <w:szCs w:val="24"/>
          <w:u w:val="single"/>
          <w:lang w:val="pt-BR"/>
        </w:rPr>
        <w:t xml:space="preserve">mg de </w:t>
      </w:r>
      <w:r>
        <w:rPr>
          <w:rFonts w:ascii="Times New Roman" w:hAnsi="Times New Roman"/>
          <w:szCs w:val="24"/>
          <w:u w:val="single"/>
          <w:lang w:val="pt-BR"/>
        </w:rPr>
        <w:t>alicina</w:t>
      </w:r>
      <w:r w:rsidRPr="00D53CD1">
        <w:rPr>
          <w:rFonts w:ascii="Times New Roman" w:hAnsi="Times New Roman"/>
          <w:szCs w:val="24"/>
          <w:u w:val="single"/>
          <w:lang w:val="pt-BR"/>
        </w:rPr>
        <w:t xml:space="preserve"> e a empresa deve informar o valor rotulado da dose diária de seu medicamento, dentro dessa faixa, conforme aprovado no dossiê de registro.)</w:t>
      </w:r>
    </w:p>
    <w:p w:rsidR="00DD27E6" w:rsidRPr="00CD3FFF" w:rsidRDefault="00DD27E6" w:rsidP="00DD27E6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Descrever as principais orientações sobre o modo correto de preparo, manuseio e aplicação do medicamento.</w:t>
      </w:r>
    </w:p>
    <w:p w:rsidR="00DD27E6" w:rsidRPr="00753F66" w:rsidRDefault="00DD27E6" w:rsidP="00DD27E6">
      <w:pPr>
        <w:autoSpaceDE w:val="0"/>
        <w:autoSpaceDN w:val="0"/>
        <w:adjustRightInd w:val="0"/>
        <w:jc w:val="both"/>
        <w:rPr>
          <w:rFonts w:ascii="Times New Roman" w:eastAsiaTheme="minorHAnsi" w:hAnsi="Times New Roman"/>
          <w:szCs w:val="24"/>
          <w:lang w:val="pt-BR" w:eastAsia="en-US"/>
        </w:rPr>
      </w:pPr>
      <w:r w:rsidRPr="00753F66">
        <w:rPr>
          <w:rFonts w:ascii="Times New Roman" w:eastAsiaTheme="minorHAnsi" w:hAnsi="Times New Roman"/>
          <w:szCs w:val="24"/>
          <w:lang w:val="pt-BR" w:eastAsia="en-US"/>
        </w:rPr>
        <w:t>Utilizar apenas a via oral. O uso deste medicamento por outra via, que não a oral, pode causar a perda do efeito esperado ou mesmo promover danos ao seu usuário.</w:t>
      </w:r>
    </w:p>
    <w:p w:rsidR="00DD27E6" w:rsidRPr="00CD3FFF" w:rsidRDefault="00DD27E6" w:rsidP="00DD27E6">
      <w:pPr>
        <w:tabs>
          <w:tab w:val="left" w:pos="9000"/>
        </w:tabs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Incluir o risco de uso por via de administração não recomendada, quando aplicável.</w:t>
      </w:r>
    </w:p>
    <w:p w:rsidR="00DD27E6" w:rsidRPr="00CD3FFF" w:rsidRDefault="00DD27E6" w:rsidP="00DD27E6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Descrever a posologia, incluindo as seguintes informações:</w:t>
      </w:r>
    </w:p>
    <w:p w:rsidR="00DD27E6" w:rsidRPr="00CD3FFF" w:rsidRDefault="00DD27E6" w:rsidP="00DD27E6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dose para forma farmacêutica e concentração, expresso, quando aplicável, em unidades de medida ou unidade farmacotécnica correspondente em função ao tempo, definindo o intervalo de administração em unidade de tempo;</w:t>
      </w:r>
    </w:p>
    <w:p w:rsidR="00DD27E6" w:rsidRPr="00CD3FFF" w:rsidRDefault="00DD27E6" w:rsidP="00DD27E6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a dose inicial e de manutenção, quando aplicável;</w:t>
      </w:r>
    </w:p>
    <w:p w:rsidR="00DD27E6" w:rsidRPr="00CD3FFF" w:rsidRDefault="00DD27E6" w:rsidP="00DD27E6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duração de tratamento;</w:t>
      </w:r>
    </w:p>
    <w:p w:rsidR="00DD27E6" w:rsidRPr="00CD3FFF" w:rsidRDefault="00DD27E6" w:rsidP="00DD27E6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vias de administração;</w:t>
      </w:r>
    </w:p>
    <w:p w:rsidR="00DD27E6" w:rsidRPr="00CD3FFF" w:rsidRDefault="00DD27E6" w:rsidP="00DD27E6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orientações para cada indicação terapêutica nos casos de posologias distintas;</w:t>
      </w:r>
    </w:p>
    <w:p w:rsidR="00DD27E6" w:rsidRPr="00CD3FFF" w:rsidRDefault="00DD27E6" w:rsidP="00DD27E6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- orientações para uso adulto e/ou uso pediátrico, de acordo com o aprovado no registro; </w:t>
      </w:r>
    </w:p>
    <w:p w:rsidR="00DD27E6" w:rsidRPr="00CD3FFF" w:rsidRDefault="00DD27E6" w:rsidP="00DD27E6">
      <w:pPr>
        <w:tabs>
          <w:tab w:val="left" w:pos="9000"/>
        </w:tabs>
        <w:jc w:val="both"/>
        <w:rPr>
          <w:rFonts w:ascii="Times New Roman" w:eastAsiaTheme="minorHAnsi" w:hAnsi="Times New Roman"/>
          <w:szCs w:val="24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- orientações sobre o monitoramento e ajuste de dose para populações especiais.</w:t>
      </w:r>
      <w:r w:rsidRPr="00CD3FFF">
        <w:rPr>
          <w:rFonts w:ascii="Times New Roman" w:eastAsiaTheme="minorHAnsi" w:hAnsi="Times New Roman"/>
          <w:szCs w:val="24"/>
          <w:lang w:val="pt-BR" w:eastAsia="en-US"/>
        </w:rPr>
        <w:t xml:space="preserve"> </w:t>
      </w:r>
    </w:p>
    <w:p w:rsidR="00DD27E6" w:rsidRPr="00CD3FFF" w:rsidRDefault="00DD27E6" w:rsidP="00DD27E6">
      <w:pPr>
        <w:tabs>
          <w:tab w:val="left" w:pos="9000"/>
        </w:tabs>
        <w:jc w:val="both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CD3FFF">
        <w:rPr>
          <w:rFonts w:ascii="Times New Roman" w:eastAsiaTheme="minorHAnsi" w:hAnsi="Times New Roman"/>
          <w:szCs w:val="24"/>
          <w:u w:val="single"/>
          <w:lang w:val="pt-BR" w:eastAsia="en-US"/>
        </w:rPr>
        <w:t>Para as formas farmacêuticas de liberação modificada expressar a dose liberada por unidade de tempo e tempo total de liberação do princípio ativo.</w:t>
      </w:r>
    </w:p>
    <w:p w:rsidR="00DD27E6" w:rsidRDefault="00DD27E6" w:rsidP="00DD27E6">
      <w:pPr>
        <w:tabs>
          <w:tab w:val="left" w:pos="9000"/>
        </w:tabs>
        <w:jc w:val="both"/>
        <w:rPr>
          <w:rFonts w:ascii="Times New Roman" w:hAnsi="Times New Roman"/>
          <w:szCs w:val="24"/>
          <w:u w:val="single"/>
          <w:lang w:val="pt-BR"/>
        </w:rPr>
      </w:pPr>
      <w:r w:rsidRPr="00CD3FFF">
        <w:rPr>
          <w:rFonts w:ascii="Times New Roman" w:hAnsi="Times New Roman"/>
          <w:szCs w:val="24"/>
          <w:u w:val="single"/>
          <w:lang w:val="pt-BR"/>
        </w:rPr>
        <w:t>Descrever o limite máximo diário de administração do medicamento expresso em unidades de medida ou unidade farmacotécnica correspondente.</w:t>
      </w:r>
    </w:p>
    <w:p w:rsidR="00A629A6" w:rsidRPr="00DA3B63" w:rsidRDefault="00A629A6" w:rsidP="00A629A6">
      <w:pPr>
        <w:autoSpaceDE w:val="0"/>
        <w:autoSpaceDN w:val="0"/>
        <w:adjustRightInd w:val="0"/>
        <w:rPr>
          <w:rFonts w:ascii="Times New Roman" w:eastAsiaTheme="minorHAnsi" w:hAnsi="Times New Roman"/>
          <w:b/>
          <w:szCs w:val="24"/>
          <w:lang w:val="pt-BR" w:eastAsia="en-US"/>
        </w:rPr>
      </w:pPr>
      <w:r w:rsidRPr="00DA3B63">
        <w:rPr>
          <w:rFonts w:ascii="Times New Roman" w:hAnsi="Times New Roman"/>
          <w:b/>
          <w:szCs w:val="24"/>
          <w:lang w:val="pt-BR"/>
        </w:rPr>
        <w:lastRenderedPageBreak/>
        <w:t>Este medicamento não deve ser partido, aberto ou mastigado.</w:t>
      </w:r>
      <w:r w:rsidRPr="00DA3B63">
        <w:rPr>
          <w:rFonts w:ascii="Times New Roman" w:hAnsi="Times New Roman"/>
          <w:szCs w:val="24"/>
          <w:lang w:val="pt-BR"/>
        </w:rPr>
        <w:t xml:space="preserve"> </w:t>
      </w:r>
      <w:r w:rsidRPr="00DA3B63">
        <w:rPr>
          <w:rFonts w:ascii="Times New Roman" w:hAnsi="Times New Roman"/>
          <w:szCs w:val="24"/>
          <w:u w:val="single"/>
          <w:lang w:val="pt-BR"/>
        </w:rPr>
        <w:t>(para comprimidos revestidos, cápsulas e compridos de liberação modificada e outras que couber)</w:t>
      </w:r>
      <w:r w:rsidRPr="00DA3B63">
        <w:rPr>
          <w:rFonts w:ascii="Times New Roman" w:hAnsi="Times New Roman"/>
          <w:szCs w:val="24"/>
          <w:lang w:val="pt-BR"/>
        </w:rPr>
        <w:t xml:space="preserve"> </w:t>
      </w:r>
      <w:r w:rsidRPr="00DA3B63">
        <w:rPr>
          <w:rFonts w:ascii="Times New Roman" w:eastAsiaTheme="minorHAnsi" w:hAnsi="Times New Roman"/>
          <w:szCs w:val="24"/>
          <w:u w:val="single"/>
          <w:lang w:val="pt-BR" w:eastAsia="en-US"/>
        </w:rPr>
        <w:t>ou</w:t>
      </w:r>
      <w:r w:rsidRPr="00DA3B63">
        <w:rPr>
          <w:rFonts w:ascii="Times New Roman" w:eastAsiaTheme="minorHAnsi" w:hAnsi="Times New Roman"/>
          <w:szCs w:val="24"/>
          <w:lang w:val="pt-BR" w:eastAsia="en-US"/>
        </w:rPr>
        <w:t xml:space="preserve"> </w:t>
      </w:r>
      <w:r w:rsidRPr="00DA3B63">
        <w:rPr>
          <w:rFonts w:ascii="Times New Roman" w:eastAsiaTheme="minorHAnsi" w:hAnsi="Times New Roman"/>
          <w:b/>
          <w:szCs w:val="24"/>
          <w:lang w:val="pt-BR" w:eastAsia="en-US"/>
        </w:rPr>
        <w:t>Este</w:t>
      </w:r>
    </w:p>
    <w:p w:rsidR="00A629A6" w:rsidRPr="00DA3B63" w:rsidRDefault="00A629A6" w:rsidP="00A629A6">
      <w:pPr>
        <w:jc w:val="both"/>
        <w:rPr>
          <w:rFonts w:ascii="Times New Roman" w:hAnsi="Times New Roman"/>
          <w:szCs w:val="24"/>
          <w:lang w:val="pt-BR"/>
        </w:rPr>
      </w:pPr>
      <w:r w:rsidRPr="00DA3B63">
        <w:rPr>
          <w:rFonts w:ascii="Times New Roman" w:eastAsiaTheme="minorHAnsi" w:hAnsi="Times New Roman"/>
          <w:b/>
          <w:szCs w:val="24"/>
          <w:lang w:val="pt-BR" w:eastAsia="en-US"/>
        </w:rPr>
        <w:t>medicamento não deve ser cortado.</w:t>
      </w:r>
      <w:r w:rsidRPr="00DA3B63">
        <w:rPr>
          <w:rFonts w:ascii="Times New Roman" w:eastAsiaTheme="minorHAnsi" w:hAnsi="Times New Roman"/>
          <w:szCs w:val="24"/>
          <w:lang w:val="pt-BR" w:eastAsia="en-US"/>
        </w:rPr>
        <w:t xml:space="preserve"> </w:t>
      </w:r>
      <w:r w:rsidRPr="00DA3B63">
        <w:rPr>
          <w:rFonts w:ascii="Times New Roman" w:eastAsiaTheme="minorHAnsi" w:hAnsi="Times New Roman"/>
          <w:szCs w:val="24"/>
          <w:u w:val="single"/>
          <w:lang w:val="pt-BR" w:eastAsia="en-US"/>
        </w:rPr>
        <w:t>(para adesivos e outras que couber)</w:t>
      </w:r>
    </w:p>
    <w:p w:rsidR="00D87CA6" w:rsidRPr="000A4D7E" w:rsidRDefault="00D87CA6" w:rsidP="00A629A6">
      <w:pPr>
        <w:tabs>
          <w:tab w:val="left" w:pos="9000"/>
        </w:tabs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b/>
          <w:szCs w:val="24"/>
          <w:lang w:val="pt-BR"/>
        </w:rPr>
        <w:t>9. REAÇÕES ADVERSAS</w:t>
      </w:r>
      <w:r w:rsidRPr="000A4D7E">
        <w:rPr>
          <w:rFonts w:ascii="Times New Roman" w:hAnsi="Times New Roman"/>
          <w:b/>
          <w:szCs w:val="24"/>
          <w:lang w:val="pt-BR"/>
        </w:rPr>
        <w:cr/>
      </w:r>
      <w:r w:rsidRPr="000A4D7E">
        <w:rPr>
          <w:rFonts w:ascii="Times New Roman" w:hAnsi="Times New Roman"/>
          <w:szCs w:val="24"/>
          <w:lang w:val="pt-BR"/>
        </w:rPr>
        <w:t xml:space="preserve">Esse medicamento pode causar cefaléia, mialgia, fadiga, vertigem </w:t>
      </w:r>
      <w:r w:rsidRPr="00A629A6">
        <w:rPr>
          <w:rFonts w:ascii="Times New Roman" w:hAnsi="Times New Roman"/>
          <w:szCs w:val="24"/>
          <w:u w:val="single"/>
          <w:lang w:val="pt-BR"/>
        </w:rPr>
        <w:t xml:space="preserve">(HOLZGARTNER </w:t>
      </w:r>
      <w:r w:rsidRPr="00A629A6">
        <w:rPr>
          <w:rFonts w:ascii="Times New Roman" w:hAnsi="Times New Roman"/>
          <w:i/>
          <w:iCs/>
          <w:szCs w:val="24"/>
          <w:u w:val="single"/>
          <w:lang w:val="pt-BR"/>
        </w:rPr>
        <w:t xml:space="preserve">et al., </w:t>
      </w:r>
      <w:r w:rsidRPr="00A629A6">
        <w:rPr>
          <w:rFonts w:ascii="Times New Roman" w:hAnsi="Times New Roman"/>
          <w:szCs w:val="24"/>
          <w:u w:val="single"/>
          <w:lang w:val="pt-BR"/>
        </w:rPr>
        <w:t>1992)</w:t>
      </w:r>
      <w:r w:rsidRPr="000A4D7E">
        <w:rPr>
          <w:rFonts w:ascii="Times New Roman" w:hAnsi="Times New Roman"/>
          <w:szCs w:val="24"/>
          <w:lang w:val="pt-BR"/>
        </w:rPr>
        <w:t>,</w:t>
      </w:r>
      <w:r w:rsidR="00A629A6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sudorese, bem como reações alérgicas e asma </w:t>
      </w:r>
      <w:r w:rsidRPr="00A629A6">
        <w:rPr>
          <w:rFonts w:ascii="Times New Roman" w:hAnsi="Times New Roman"/>
          <w:szCs w:val="24"/>
          <w:u w:val="single"/>
          <w:lang w:val="pt-BR"/>
        </w:rPr>
        <w:t xml:space="preserve">(ASERO </w:t>
      </w:r>
      <w:r w:rsidRPr="00A629A6">
        <w:rPr>
          <w:rFonts w:ascii="Times New Roman" w:hAnsi="Times New Roman"/>
          <w:i/>
          <w:iCs/>
          <w:szCs w:val="24"/>
          <w:u w:val="single"/>
          <w:lang w:val="pt-BR"/>
        </w:rPr>
        <w:t xml:space="preserve">et al. </w:t>
      </w:r>
      <w:r w:rsidRPr="00A629A6">
        <w:rPr>
          <w:rFonts w:ascii="Times New Roman" w:hAnsi="Times New Roman"/>
          <w:szCs w:val="24"/>
          <w:u w:val="single"/>
          <w:lang w:val="pt-BR"/>
        </w:rPr>
        <w:t>1998)</w:t>
      </w:r>
      <w:r w:rsidRPr="000A4D7E">
        <w:rPr>
          <w:rFonts w:ascii="Times New Roman" w:hAnsi="Times New Roman"/>
          <w:szCs w:val="24"/>
          <w:lang w:val="pt-BR"/>
        </w:rPr>
        <w:t>. O uso deste medicamento</w:t>
      </w:r>
      <w:r w:rsidR="00A629A6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>pode causar decréscimo do hematócrito e da viscosidade sanguínea, aumentando o risco de</w:t>
      </w:r>
      <w:r w:rsidR="00A629A6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sangramentos pós-operatórios </w:t>
      </w:r>
      <w:r w:rsidRPr="00A629A6">
        <w:rPr>
          <w:rFonts w:ascii="Times New Roman" w:hAnsi="Times New Roman"/>
          <w:szCs w:val="24"/>
          <w:u w:val="single"/>
          <w:lang w:val="pt-BR"/>
        </w:rPr>
        <w:t xml:space="preserve">(JUNG </w:t>
      </w:r>
      <w:r w:rsidRPr="00A629A6">
        <w:rPr>
          <w:rFonts w:ascii="Times New Roman" w:hAnsi="Times New Roman"/>
          <w:i/>
          <w:iCs/>
          <w:szCs w:val="24"/>
          <w:u w:val="single"/>
          <w:lang w:val="pt-BR"/>
        </w:rPr>
        <w:t xml:space="preserve">et al. </w:t>
      </w:r>
      <w:r w:rsidRPr="00A629A6">
        <w:rPr>
          <w:rFonts w:ascii="Times New Roman" w:hAnsi="Times New Roman"/>
          <w:szCs w:val="24"/>
          <w:u w:val="single"/>
          <w:lang w:val="pt-BR"/>
        </w:rPr>
        <w:t>1991)</w:t>
      </w:r>
      <w:r w:rsidRPr="000A4D7E">
        <w:rPr>
          <w:rFonts w:ascii="Times New Roman" w:hAnsi="Times New Roman"/>
          <w:szCs w:val="24"/>
          <w:lang w:val="pt-BR"/>
        </w:rPr>
        <w:t>, bem como hematoma epidural espontâneo</w:t>
      </w:r>
      <w:r w:rsidR="00A629A6">
        <w:rPr>
          <w:rFonts w:ascii="Times New Roman" w:hAnsi="Times New Roman"/>
          <w:szCs w:val="24"/>
          <w:lang w:val="pt-BR"/>
        </w:rPr>
        <w:t xml:space="preserve"> </w:t>
      </w:r>
      <w:r w:rsidRPr="00A629A6">
        <w:rPr>
          <w:rFonts w:ascii="Times New Roman" w:hAnsi="Times New Roman"/>
          <w:szCs w:val="24"/>
          <w:u w:val="single"/>
          <w:lang w:val="pt-BR"/>
        </w:rPr>
        <w:t xml:space="preserve">(ROSE </w:t>
      </w:r>
      <w:r w:rsidRPr="00A629A6">
        <w:rPr>
          <w:rFonts w:ascii="Times New Roman" w:hAnsi="Times New Roman"/>
          <w:i/>
          <w:iCs/>
          <w:szCs w:val="24"/>
          <w:u w:val="single"/>
          <w:lang w:val="pt-BR"/>
        </w:rPr>
        <w:t xml:space="preserve">et al. </w:t>
      </w:r>
      <w:r w:rsidRPr="00A629A6">
        <w:rPr>
          <w:rFonts w:ascii="Times New Roman" w:hAnsi="Times New Roman"/>
          <w:szCs w:val="24"/>
          <w:u w:val="single"/>
          <w:lang w:val="pt-BR"/>
        </w:rPr>
        <w:t>1990)</w:t>
      </w:r>
      <w:r w:rsidRPr="000A4D7E">
        <w:rPr>
          <w:rFonts w:ascii="Times New Roman" w:hAnsi="Times New Roman"/>
          <w:szCs w:val="24"/>
          <w:lang w:val="pt-BR"/>
        </w:rPr>
        <w:t>.</w:t>
      </w:r>
    </w:p>
    <w:p w:rsidR="00D87CA6" w:rsidRPr="000A4D7E" w:rsidRDefault="00D87CA6" w:rsidP="000A4D7E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szCs w:val="24"/>
          <w:lang w:val="pt-BR"/>
        </w:rPr>
        <w:t>Efeitos gastrintestinais, tais como desconforto abdominal, náuseas, vômitos e diarréia também são</w:t>
      </w:r>
      <w:r w:rsidR="00A629A6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possíveis </w:t>
      </w:r>
      <w:r w:rsidRPr="00A629A6">
        <w:rPr>
          <w:rFonts w:ascii="Times New Roman" w:hAnsi="Times New Roman"/>
          <w:szCs w:val="24"/>
          <w:u w:val="single"/>
          <w:lang w:val="pt-BR"/>
        </w:rPr>
        <w:t xml:space="preserve">(BERTHOLD </w:t>
      </w:r>
      <w:r w:rsidRPr="00A629A6">
        <w:rPr>
          <w:rFonts w:ascii="Times New Roman" w:hAnsi="Times New Roman"/>
          <w:i/>
          <w:iCs/>
          <w:szCs w:val="24"/>
          <w:u w:val="single"/>
          <w:lang w:val="pt-BR"/>
        </w:rPr>
        <w:t xml:space="preserve">et al., </w:t>
      </w:r>
      <w:r w:rsidRPr="00A629A6">
        <w:rPr>
          <w:rFonts w:ascii="Times New Roman" w:hAnsi="Times New Roman"/>
          <w:szCs w:val="24"/>
          <w:u w:val="single"/>
          <w:lang w:val="pt-BR"/>
        </w:rPr>
        <w:t>1998)</w:t>
      </w:r>
      <w:r w:rsidRPr="000A4D7E">
        <w:rPr>
          <w:rFonts w:ascii="Times New Roman" w:hAnsi="Times New Roman"/>
          <w:szCs w:val="24"/>
          <w:lang w:val="pt-BR"/>
        </w:rPr>
        <w:t>. Odores corporais característicos de alho podem ocorrer com</w:t>
      </w:r>
      <w:r w:rsidR="00A629A6">
        <w:rPr>
          <w:rFonts w:ascii="Times New Roman" w:hAnsi="Times New Roman"/>
          <w:szCs w:val="24"/>
          <w:lang w:val="pt-BR"/>
        </w:rPr>
        <w:t xml:space="preserve"> </w:t>
      </w:r>
      <w:r w:rsidRPr="000A4D7E">
        <w:rPr>
          <w:rFonts w:ascii="Times New Roman" w:hAnsi="Times New Roman"/>
          <w:szCs w:val="24"/>
          <w:lang w:val="pt-BR"/>
        </w:rPr>
        <w:t xml:space="preserve">o uso deste medicamento </w:t>
      </w:r>
      <w:r w:rsidRPr="00A629A6">
        <w:rPr>
          <w:rFonts w:ascii="Times New Roman" w:hAnsi="Times New Roman"/>
          <w:szCs w:val="24"/>
          <w:u w:val="single"/>
          <w:lang w:val="pt-BR"/>
        </w:rPr>
        <w:t xml:space="preserve">(BERTHOLD </w:t>
      </w:r>
      <w:r w:rsidRPr="00A629A6">
        <w:rPr>
          <w:rFonts w:ascii="Times New Roman" w:hAnsi="Times New Roman"/>
          <w:i/>
          <w:iCs/>
          <w:szCs w:val="24"/>
          <w:u w:val="single"/>
          <w:lang w:val="pt-BR"/>
        </w:rPr>
        <w:t xml:space="preserve">et al. </w:t>
      </w:r>
      <w:r w:rsidRPr="00A629A6">
        <w:rPr>
          <w:rFonts w:ascii="Times New Roman" w:hAnsi="Times New Roman"/>
          <w:szCs w:val="24"/>
          <w:u w:val="single"/>
          <w:lang w:val="pt-BR"/>
        </w:rPr>
        <w:t>1998)</w:t>
      </w:r>
      <w:r w:rsidRPr="000A4D7E">
        <w:rPr>
          <w:rFonts w:ascii="Times New Roman" w:hAnsi="Times New Roman"/>
          <w:szCs w:val="24"/>
          <w:lang w:val="pt-BR"/>
        </w:rPr>
        <w:t>.</w:t>
      </w:r>
    </w:p>
    <w:p w:rsidR="00D87CA6" w:rsidRPr="000A4D7E" w:rsidRDefault="00D87CA6" w:rsidP="000A4D7E">
      <w:pPr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szCs w:val="24"/>
          <w:lang w:val="pt-BR"/>
        </w:rPr>
        <w:t xml:space="preserve">Em casos de eventos adversos, notifique ao Sistema de Notificações em Vigilância Sanitária - NOTIVISA, disponível em www.____________, ou para a Vigilância Sanitária Estadual ou Municipal. </w:t>
      </w:r>
      <w:r w:rsidRPr="00A629A6">
        <w:rPr>
          <w:rFonts w:ascii="Times New Roman" w:hAnsi="Times New Roman"/>
          <w:szCs w:val="24"/>
          <w:u w:val="single"/>
          <w:lang w:val="pt-BR"/>
        </w:rPr>
        <w:t>(incluindo no espaço o endereço eletrônico atualizado do NOTIVISA)</w:t>
      </w:r>
    </w:p>
    <w:p w:rsidR="00D87CA6" w:rsidRPr="000A4D7E" w:rsidRDefault="00D87CA6" w:rsidP="000A4D7E">
      <w:pPr>
        <w:ind w:right="-316"/>
        <w:jc w:val="both"/>
        <w:rPr>
          <w:rFonts w:ascii="Times New Roman" w:hAnsi="Times New Roman"/>
          <w:szCs w:val="24"/>
          <w:lang w:val="pt-BR"/>
        </w:rPr>
      </w:pPr>
      <w:r w:rsidRPr="000A4D7E">
        <w:rPr>
          <w:rFonts w:ascii="Times New Roman" w:hAnsi="Times New Roman"/>
          <w:b/>
          <w:szCs w:val="24"/>
          <w:lang w:val="pt-BR"/>
        </w:rPr>
        <w:t>10. SUPERDOSE</w:t>
      </w:r>
      <w:r w:rsidRPr="000A4D7E">
        <w:rPr>
          <w:rFonts w:ascii="Times New Roman" w:hAnsi="Times New Roman"/>
          <w:b/>
          <w:szCs w:val="24"/>
          <w:lang w:val="pt-BR"/>
        </w:rPr>
        <w:cr/>
      </w:r>
      <w:r w:rsidRPr="000A4D7E">
        <w:rPr>
          <w:rFonts w:ascii="Times New Roman" w:hAnsi="Times New Roman"/>
          <w:szCs w:val="24"/>
          <w:lang w:val="pt-BR"/>
        </w:rPr>
        <w:t>Em caso de superdosagem, suspender o uso e procurar orientação médica de imediato.</w:t>
      </w:r>
    </w:p>
    <w:p w:rsidR="00D87CA6" w:rsidRDefault="00C37341" w:rsidP="000A4D7E">
      <w:pPr>
        <w:jc w:val="both"/>
        <w:rPr>
          <w:rFonts w:ascii="Times New Roman" w:hAnsi="Times New Roman"/>
          <w:b/>
          <w:szCs w:val="24"/>
          <w:lang w:val="pt-BR"/>
        </w:rPr>
      </w:pPr>
      <w:r w:rsidRPr="000A4D7E">
        <w:rPr>
          <w:rFonts w:ascii="Times New Roman" w:hAnsi="Times New Roman"/>
          <w:b/>
          <w:szCs w:val="24"/>
          <w:lang w:val="pt-BR"/>
        </w:rPr>
        <w:t>Em caso de intoxicação ligue para 0800 722 6001, se você precisar de mais orientações.</w:t>
      </w:r>
    </w:p>
    <w:p w:rsidR="00A629A6" w:rsidRDefault="00A629A6" w:rsidP="000A4D7E">
      <w:pPr>
        <w:jc w:val="both"/>
        <w:rPr>
          <w:rFonts w:ascii="Times New Roman" w:hAnsi="Times New Roman"/>
          <w:b/>
          <w:szCs w:val="24"/>
          <w:lang w:val="pt-BR"/>
        </w:rPr>
      </w:pPr>
    </w:p>
    <w:p w:rsidR="00A629A6" w:rsidRPr="00B5096D" w:rsidRDefault="00A629A6" w:rsidP="00A629A6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DA3B63">
        <w:rPr>
          <w:rFonts w:ascii="Times New Roman" w:hAnsi="Times New Roman"/>
          <w:b/>
          <w:szCs w:val="24"/>
          <w:lang w:val="pt-BR"/>
        </w:rPr>
        <w:t>DIZERES LEGAIS</w:t>
      </w:r>
      <w:r w:rsidRPr="00DA3B63">
        <w:rPr>
          <w:rFonts w:ascii="Times New Roman" w:hAnsi="Times New Roman"/>
          <w:b/>
          <w:szCs w:val="24"/>
          <w:lang w:val="pt-BR"/>
        </w:rPr>
        <w:cr/>
      </w:r>
      <w:r w:rsidRPr="00B5096D">
        <w:rPr>
          <w:rFonts w:ascii="Times New Roman" w:hAnsi="Times New Roman"/>
          <w:szCs w:val="24"/>
          <w:u w:val="single"/>
          <w:lang w:val="pt-BR"/>
        </w:rPr>
        <w:t>Informar a sigla “MS” mais o número de registro no Ministério da Saúde conforme publicado em Diário Oficial da União (D.O.U.), sendo necessários os 9 (nove) dígitos iniciais.</w:t>
      </w:r>
    </w:p>
    <w:p w:rsidR="00A629A6" w:rsidRPr="00B5096D" w:rsidRDefault="00A629A6" w:rsidP="00A629A6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Informar o nome, número de inscrição e sigla do Conselho Regional de Farmácia do responsável técnico da empresa titular do registro.</w:t>
      </w:r>
    </w:p>
    <w:p w:rsidR="00A629A6" w:rsidRPr="00B5096D" w:rsidRDefault="00A629A6" w:rsidP="00A629A6">
      <w:pPr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Informar o nome e endereço da empresa titular do registro no Brasil. </w:t>
      </w:r>
      <w:r w:rsidRPr="00B5096D">
        <w:rPr>
          <w:rFonts w:ascii="Times New Roman" w:hAnsi="Times New Roman"/>
          <w:szCs w:val="24"/>
          <w:u w:val="single"/>
          <w:lang w:val="pt-BR"/>
        </w:rPr>
        <w:cr/>
        <w:t>Informar o número do Cadastro Nacional de Pessoa Jurídica (CNPJ) do titular do registro.</w:t>
      </w:r>
    </w:p>
    <w:p w:rsidR="00A629A6" w:rsidRPr="00B5096D" w:rsidRDefault="00A629A6" w:rsidP="00A629A6">
      <w:pPr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Inserir a expressão “Indústria Brasileira”, quando aplicável.</w:t>
      </w:r>
    </w:p>
    <w:p w:rsidR="00A629A6" w:rsidRPr="00B5096D" w:rsidRDefault="00A629A6" w:rsidP="00A629A6">
      <w:pPr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Informar o telefone do Serviço de Atendimento ao Consumidor (SAC), de responsabilidade da empresa titular do registro.</w:t>
      </w:r>
    </w:p>
    <w:p w:rsidR="00A629A6" w:rsidRPr="00B5096D" w:rsidRDefault="00A629A6" w:rsidP="00A629A6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Informar o nome e endereço da empresa fabricante, quando ela diferir da empresa titular do registro, citando a cidade e o estado precedidos pela frase “Fabricado por:” e inserindo a frase “Registrado por:” antes dos dados da detentora do registro.</w:t>
      </w:r>
    </w:p>
    <w:p w:rsidR="00A629A6" w:rsidRPr="00B5096D" w:rsidRDefault="00A629A6" w:rsidP="00A629A6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Informar o nome e endereço da empresa fabricante, quando o medicamento for importado, citando a cidade e o país precedidos pela frase “Fabricado por” e inserindo a frase “Importado por:” antes dos dados da empresa titular do registro.</w:t>
      </w:r>
    </w:p>
    <w:p w:rsidR="00A629A6" w:rsidRPr="00B5096D" w:rsidRDefault="00A629A6" w:rsidP="00A629A6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Informar o nome e endereço da empresa responsável pela embalagem do medicamento, quando ela diferir da empresa titular do registro ou fabricante, citando a cidade e o estado ou, se estrangeira, a cidade e o país, precedidos pela frase “Embalado por:” e inserindo a frase “Registrado por:” ou “Importado por:”, conforme o caso, antes dos dados da empresa titular do registro;</w:t>
      </w:r>
    </w:p>
    <w:p w:rsidR="00A629A6" w:rsidRPr="00B5096D" w:rsidRDefault="00A629A6" w:rsidP="00A629A6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hAnsi="Times New Roman"/>
          <w:szCs w:val="24"/>
          <w:u w:val="single"/>
          <w:lang w:val="pt-BR"/>
        </w:rPr>
        <w:t>Informar, se descrito na embalagem do medicamento, o nome e endereço da empresa responsável pela comercialização do medicamento, citando a cidade e o estado precedidos pela frase “Comercializado por” e incluindo a frase “Registrado por:” antes dos dados da detentora do registro.</w:t>
      </w:r>
    </w:p>
    <w:p w:rsidR="00A629A6" w:rsidRPr="00B5096D" w:rsidRDefault="00A629A6" w:rsidP="00A629A6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 xml:space="preserve">É facultativo incluir a logomarca da empresa farmacêutica titular do registro, bem como das empresas fabricantes e responsáveis pela embalagem e comercialização do </w:t>
      </w: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lastRenderedPageBreak/>
        <w:t>medicamento, desde que não prejudiquem a presença das informações obrigatórias e estas empresas estejam devidamente identificadas nos dizeres legais.</w:t>
      </w:r>
    </w:p>
    <w:p w:rsidR="00A629A6" w:rsidRPr="00B5096D" w:rsidRDefault="00A629A6" w:rsidP="00A629A6">
      <w:pPr>
        <w:autoSpaceDE w:val="0"/>
        <w:autoSpaceDN w:val="0"/>
        <w:adjustRightInd w:val="0"/>
        <w:rPr>
          <w:rFonts w:ascii="Times New Roman" w:hAnsi="Times New Roman"/>
          <w:szCs w:val="24"/>
          <w:u w:val="single"/>
          <w:lang w:val="pt-BR"/>
        </w:rPr>
      </w:pP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Incluir as seguintes frases, quando for o caso:</w:t>
      </w:r>
    </w:p>
    <w:p w:rsidR="00A629A6" w:rsidRPr="00B5096D" w:rsidRDefault="00A629A6" w:rsidP="00A629A6">
      <w:pPr>
        <w:jc w:val="both"/>
        <w:rPr>
          <w:rFonts w:ascii="Times New Roman" w:eastAsiaTheme="minorHAnsi" w:hAnsi="Times New Roman"/>
          <w:szCs w:val="24"/>
          <w:lang w:val="pt-BR" w:eastAsia="en-US"/>
        </w:rPr>
      </w:pPr>
      <w:r w:rsidRPr="00B5096D">
        <w:rPr>
          <w:rFonts w:ascii="Times New Roman" w:hAnsi="Times New Roman"/>
          <w:szCs w:val="24"/>
          <w:lang w:val="pt-BR"/>
        </w:rPr>
        <w:t xml:space="preserve">Siga corretamente o modo de usar, não desaparecendo os sintomas procure orientação médica. </w:t>
      </w: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(para os medicamentos vendidos sem exigência de prescrição médica);</w:t>
      </w:r>
    </w:p>
    <w:p w:rsidR="00A629A6" w:rsidRPr="00B5096D" w:rsidRDefault="00A629A6" w:rsidP="00A629A6">
      <w:pPr>
        <w:autoSpaceDE w:val="0"/>
        <w:autoSpaceDN w:val="0"/>
        <w:adjustRightInd w:val="0"/>
        <w:rPr>
          <w:rFonts w:ascii="Times New Roman" w:eastAsiaTheme="minorHAnsi" w:hAnsi="Times New Roman"/>
          <w:szCs w:val="24"/>
          <w:u w:val="single"/>
          <w:lang w:val="pt-BR" w:eastAsia="en-US"/>
        </w:rPr>
      </w:pPr>
      <w:r w:rsidRPr="00B5096D">
        <w:rPr>
          <w:rFonts w:ascii="Times New Roman" w:eastAsiaTheme="minorHAnsi" w:hAnsi="Times New Roman"/>
          <w:szCs w:val="24"/>
          <w:lang w:val="pt-BR" w:eastAsia="en-US"/>
        </w:rPr>
        <w:t xml:space="preserve">Uso sob prescrição médica. </w:t>
      </w: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(para embalagens com destinação institucional);</w:t>
      </w:r>
    </w:p>
    <w:p w:rsidR="00A629A6" w:rsidRPr="00B5096D" w:rsidRDefault="00A629A6" w:rsidP="00A629A6">
      <w:pPr>
        <w:jc w:val="both"/>
        <w:rPr>
          <w:rFonts w:ascii="Times New Roman" w:hAnsi="Times New Roman"/>
          <w:szCs w:val="24"/>
          <w:lang w:val="pt-BR"/>
        </w:rPr>
      </w:pPr>
      <w:r w:rsidRPr="00B5096D">
        <w:rPr>
          <w:rFonts w:ascii="Times New Roman" w:eastAsiaTheme="minorHAnsi" w:hAnsi="Times New Roman"/>
          <w:szCs w:val="24"/>
          <w:lang w:val="pt-BR" w:eastAsia="en-US"/>
        </w:rPr>
        <w:t xml:space="preserve">Venda proibida ao comércio. </w:t>
      </w:r>
      <w:r w:rsidRPr="00B5096D">
        <w:rPr>
          <w:rFonts w:ascii="Times New Roman" w:eastAsiaTheme="minorHAnsi" w:hAnsi="Times New Roman"/>
          <w:szCs w:val="24"/>
          <w:u w:val="single"/>
          <w:lang w:val="pt-BR" w:eastAsia="en-US"/>
        </w:rPr>
        <w:t>(para os medicamentos com destinação institucional).</w:t>
      </w:r>
    </w:p>
    <w:p w:rsidR="00A629A6" w:rsidRPr="00B5096D" w:rsidRDefault="00A629A6" w:rsidP="00A629A6">
      <w:pPr>
        <w:tabs>
          <w:tab w:val="left" w:pos="2700"/>
        </w:tabs>
        <w:jc w:val="both"/>
        <w:rPr>
          <w:rFonts w:ascii="Times New Roman" w:hAnsi="Times New Roman"/>
          <w:szCs w:val="24"/>
          <w:lang w:val="pt-BR"/>
        </w:rPr>
      </w:pPr>
      <w:r w:rsidRPr="00B5096D">
        <w:rPr>
          <w:rFonts w:ascii="Times New Roman" w:hAnsi="Times New Roman"/>
          <w:b/>
          <w:szCs w:val="24"/>
          <w:lang w:val="pt-BR"/>
        </w:rPr>
        <w:t xml:space="preserve">Esta bula foi atualizada conforme Bula Padrão aprovada pela Anvisa em (dia/mês/ano) </w:t>
      </w:r>
      <w:r w:rsidRPr="00B5096D">
        <w:rPr>
          <w:rFonts w:ascii="Times New Roman" w:hAnsi="Times New Roman"/>
          <w:szCs w:val="24"/>
          <w:u w:val="single"/>
          <w:lang w:val="pt-BR"/>
        </w:rPr>
        <w:t>(informando a data de publicação da respectiva Bula Padrão no Bulário Eletrônico com a qual a bula foi harmonizada e/ou atualizada)</w:t>
      </w:r>
      <w:r w:rsidRPr="00B5096D">
        <w:rPr>
          <w:rFonts w:ascii="Times New Roman" w:hAnsi="Times New Roman"/>
          <w:szCs w:val="24"/>
          <w:lang w:val="pt-BR"/>
        </w:rPr>
        <w:t xml:space="preserve"> </w:t>
      </w:r>
    </w:p>
    <w:p w:rsidR="00A629A6" w:rsidRPr="000A4D7E" w:rsidRDefault="00A629A6" w:rsidP="00A629A6">
      <w:pPr>
        <w:jc w:val="both"/>
        <w:rPr>
          <w:rFonts w:ascii="Times New Roman" w:hAnsi="Times New Roman"/>
          <w:szCs w:val="24"/>
          <w:lang w:val="pt-BR"/>
        </w:rPr>
      </w:pPr>
      <w:r w:rsidRPr="00B5096D">
        <w:rPr>
          <w:rFonts w:ascii="Times New Roman" w:hAnsi="Times New Roman"/>
          <w:szCs w:val="24"/>
          <w:lang w:val="pt-BR"/>
        </w:rPr>
        <w:t>Incluir símbolo da reciclagem de papel.</w:t>
      </w:r>
    </w:p>
    <w:p w:rsidR="00D87CA6" w:rsidRDefault="00D87CA6" w:rsidP="000A4D7E">
      <w:pPr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A629A6" w:rsidRPr="000A4D7E" w:rsidRDefault="00A629A6" w:rsidP="000A4D7E">
      <w:pPr>
        <w:jc w:val="both"/>
        <w:rPr>
          <w:rFonts w:ascii="Times New Roman" w:hAnsi="Times New Roman"/>
          <w:szCs w:val="24"/>
          <w:u w:val="single"/>
          <w:lang w:val="pt-BR"/>
        </w:rPr>
      </w:pPr>
    </w:p>
    <w:p w:rsidR="00A629A6" w:rsidRDefault="00D87CA6" w:rsidP="000A4D7E">
      <w:pPr>
        <w:autoSpaceDE w:val="0"/>
        <w:autoSpaceDN w:val="0"/>
        <w:adjustRightInd w:val="0"/>
        <w:rPr>
          <w:rFonts w:ascii="Times New Roman" w:hAnsi="Times New Roman"/>
          <w:b/>
          <w:bCs/>
          <w:szCs w:val="24"/>
          <w:u w:val="single"/>
          <w:lang w:val="pt-BR"/>
        </w:rPr>
      </w:pPr>
      <w:r w:rsidRPr="000A4D7E">
        <w:rPr>
          <w:rFonts w:ascii="Times New Roman" w:hAnsi="Times New Roman"/>
          <w:b/>
          <w:bCs/>
          <w:szCs w:val="24"/>
          <w:u w:val="single"/>
          <w:lang w:val="pt-BR"/>
        </w:rPr>
        <w:t>REFERÊNCIAS</w:t>
      </w:r>
    </w:p>
    <w:p w:rsidR="00D87CA6" w:rsidRPr="000A4D7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0A4D7E">
        <w:rPr>
          <w:rFonts w:ascii="Times New Roman" w:hAnsi="Times New Roman"/>
          <w:szCs w:val="24"/>
          <w:u w:val="single"/>
          <w:lang w:val="pt-BR"/>
        </w:rPr>
        <w:t xml:space="preserve">ALONSO, JR. </w:t>
      </w:r>
      <w:r w:rsidRPr="000A4D7E">
        <w:rPr>
          <w:rFonts w:ascii="Times New Roman" w:hAnsi="Times New Roman"/>
          <w:i/>
          <w:iCs/>
          <w:szCs w:val="24"/>
          <w:u w:val="single"/>
          <w:lang w:val="pt-BR"/>
        </w:rPr>
        <w:t>Tratado de Fitomedicina</w:t>
      </w:r>
      <w:r w:rsidRPr="000A4D7E">
        <w:rPr>
          <w:rFonts w:ascii="Times New Roman" w:hAnsi="Times New Roman"/>
          <w:szCs w:val="24"/>
          <w:u w:val="single"/>
          <w:lang w:val="pt-BR"/>
        </w:rPr>
        <w:t>, 1998.</w:t>
      </w:r>
    </w:p>
    <w:p w:rsidR="00D87CA6" w:rsidRPr="000A4D7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0A4D7E">
        <w:rPr>
          <w:rFonts w:ascii="Times New Roman" w:hAnsi="Times New Roman"/>
          <w:szCs w:val="24"/>
          <w:u w:val="single"/>
          <w:lang w:val="pt-BR"/>
        </w:rPr>
        <w:t xml:space="preserve">ASERO R, MISTRELLO G, RONCAROLO D </w:t>
      </w:r>
      <w:r w:rsidRPr="000A4D7E">
        <w:rPr>
          <w:rFonts w:ascii="Times New Roman" w:hAnsi="Times New Roman"/>
          <w:i/>
          <w:iCs/>
          <w:szCs w:val="24"/>
          <w:u w:val="single"/>
          <w:lang w:val="pt-BR"/>
        </w:rPr>
        <w:t>et al</w:t>
      </w:r>
      <w:r w:rsidRPr="000A4D7E">
        <w:rPr>
          <w:rFonts w:ascii="Times New Roman" w:hAnsi="Times New Roman"/>
          <w:szCs w:val="24"/>
          <w:u w:val="single"/>
          <w:lang w:val="pt-BR"/>
        </w:rPr>
        <w:t xml:space="preserve">. </w:t>
      </w:r>
      <w:r w:rsidRPr="000A4D7E">
        <w:rPr>
          <w:rFonts w:ascii="Times New Roman" w:hAnsi="Times New Roman"/>
          <w:szCs w:val="24"/>
          <w:u w:val="single"/>
        </w:rPr>
        <w:t xml:space="preserve">A case of garlic allergy. </w:t>
      </w:r>
      <w:r w:rsidRPr="000A4D7E">
        <w:rPr>
          <w:rFonts w:ascii="Times New Roman" w:hAnsi="Times New Roman"/>
          <w:i/>
          <w:iCs/>
          <w:szCs w:val="24"/>
          <w:u w:val="single"/>
        </w:rPr>
        <w:t>J Allergy Clin</w:t>
      </w:r>
      <w:r w:rsidR="00A629A6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0A4D7E">
        <w:rPr>
          <w:rFonts w:ascii="Times New Roman" w:hAnsi="Times New Roman"/>
          <w:i/>
          <w:iCs/>
          <w:szCs w:val="24"/>
          <w:u w:val="single"/>
        </w:rPr>
        <w:t xml:space="preserve">Immunol </w:t>
      </w:r>
      <w:r w:rsidRPr="000A4D7E">
        <w:rPr>
          <w:rFonts w:ascii="Times New Roman" w:hAnsi="Times New Roman"/>
          <w:szCs w:val="24"/>
          <w:u w:val="single"/>
        </w:rPr>
        <w:t>1998; Mar 101 (3):427-8.</w:t>
      </w:r>
    </w:p>
    <w:p w:rsidR="00D87CA6" w:rsidRPr="000A4D7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0A4D7E">
        <w:rPr>
          <w:rFonts w:ascii="Times New Roman" w:hAnsi="Times New Roman"/>
          <w:szCs w:val="24"/>
          <w:u w:val="single"/>
        </w:rPr>
        <w:t>BECK H, WAGNER KG. Inhibition of cholesterol biosynthesis by allicin and ajoene in rat</w:t>
      </w:r>
      <w:r w:rsidR="00A629A6">
        <w:rPr>
          <w:rFonts w:ascii="Times New Roman" w:hAnsi="Times New Roman"/>
          <w:szCs w:val="24"/>
          <w:u w:val="single"/>
        </w:rPr>
        <w:t xml:space="preserve"> </w:t>
      </w:r>
      <w:r w:rsidRPr="000A4D7E">
        <w:rPr>
          <w:rFonts w:ascii="Times New Roman" w:hAnsi="Times New Roman"/>
          <w:szCs w:val="24"/>
          <w:u w:val="single"/>
        </w:rPr>
        <w:t xml:space="preserve">hepatocytes and Hep62 cells. </w:t>
      </w:r>
      <w:r w:rsidRPr="000A4D7E">
        <w:rPr>
          <w:rFonts w:ascii="Times New Roman" w:hAnsi="Times New Roman"/>
          <w:i/>
          <w:iCs/>
          <w:szCs w:val="24"/>
          <w:u w:val="single"/>
        </w:rPr>
        <w:t>Biochimica biophysica acta</w:t>
      </w:r>
      <w:r w:rsidRPr="000A4D7E">
        <w:rPr>
          <w:rFonts w:ascii="Times New Roman" w:hAnsi="Times New Roman"/>
          <w:szCs w:val="24"/>
          <w:u w:val="single"/>
        </w:rPr>
        <w:t>, 1994, 1213; 57-62.</w:t>
      </w:r>
    </w:p>
    <w:p w:rsidR="00D87CA6" w:rsidRPr="000A4D7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0A4D7E">
        <w:rPr>
          <w:rFonts w:ascii="Times New Roman" w:hAnsi="Times New Roman"/>
          <w:szCs w:val="24"/>
          <w:u w:val="single"/>
        </w:rPr>
        <w:t>BERTHOLD HK, SUDHOP T, VON BERGMANN K, Effect of garlic oil preparation on serum</w:t>
      </w:r>
      <w:r w:rsidR="00A629A6">
        <w:rPr>
          <w:rFonts w:ascii="Times New Roman" w:hAnsi="Times New Roman"/>
          <w:szCs w:val="24"/>
          <w:u w:val="single"/>
        </w:rPr>
        <w:t xml:space="preserve"> </w:t>
      </w:r>
      <w:r w:rsidRPr="000A4D7E">
        <w:rPr>
          <w:rFonts w:ascii="Times New Roman" w:hAnsi="Times New Roman"/>
          <w:szCs w:val="24"/>
          <w:u w:val="single"/>
        </w:rPr>
        <w:t>lipoproteins and cholesterol metabolism: a randomized controlled trial. JAMA 1998 Jun 17;</w:t>
      </w:r>
      <w:r w:rsidR="00A629A6">
        <w:rPr>
          <w:rFonts w:ascii="Times New Roman" w:hAnsi="Times New Roman"/>
          <w:szCs w:val="24"/>
          <w:u w:val="single"/>
        </w:rPr>
        <w:t xml:space="preserve"> </w:t>
      </w:r>
      <w:r w:rsidRPr="000A4D7E">
        <w:rPr>
          <w:rFonts w:ascii="Times New Roman" w:hAnsi="Times New Roman"/>
          <w:szCs w:val="24"/>
          <w:u w:val="single"/>
        </w:rPr>
        <w:t>279(23):1900-2.</w:t>
      </w:r>
    </w:p>
    <w:p w:rsidR="00D87CA6" w:rsidRPr="000A4D7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szCs w:val="24"/>
          <w:u w:val="single"/>
        </w:rPr>
      </w:pPr>
      <w:r w:rsidRPr="000A4D7E">
        <w:rPr>
          <w:rFonts w:ascii="Times New Roman" w:hAnsi="Times New Roman"/>
          <w:szCs w:val="24"/>
          <w:u w:val="single"/>
        </w:rPr>
        <w:t xml:space="preserve">BLUMENTHAL M, BUSSE WR, GOLDBERG A, et al. (eds.). </w:t>
      </w:r>
      <w:r w:rsidRPr="000A4D7E">
        <w:rPr>
          <w:rFonts w:ascii="Times New Roman" w:hAnsi="Times New Roman"/>
          <w:i/>
          <w:iCs/>
          <w:szCs w:val="24"/>
          <w:u w:val="single"/>
        </w:rPr>
        <w:t>The Complete German</w:t>
      </w:r>
    </w:p>
    <w:p w:rsidR="00D87CA6" w:rsidRPr="000A4D7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0A4D7E">
        <w:rPr>
          <w:rFonts w:ascii="Times New Roman" w:hAnsi="Times New Roman"/>
          <w:i/>
          <w:iCs/>
          <w:szCs w:val="24"/>
          <w:u w:val="single"/>
        </w:rPr>
        <w:t xml:space="preserve">Commission E Monographs </w:t>
      </w:r>
      <w:r w:rsidRPr="000A4D7E">
        <w:rPr>
          <w:rFonts w:ascii="Times New Roman" w:hAnsi="Times New Roman"/>
          <w:szCs w:val="24"/>
          <w:u w:val="single"/>
        </w:rPr>
        <w:t>– Therapeutic Guide to Herbal Medicines. Austin, TX: American</w:t>
      </w:r>
      <w:r w:rsidR="00A629A6">
        <w:rPr>
          <w:rFonts w:ascii="Times New Roman" w:hAnsi="Times New Roman"/>
          <w:szCs w:val="24"/>
          <w:u w:val="single"/>
        </w:rPr>
        <w:t xml:space="preserve"> </w:t>
      </w:r>
      <w:r w:rsidRPr="000A4D7E">
        <w:rPr>
          <w:rFonts w:ascii="Times New Roman" w:hAnsi="Times New Roman"/>
          <w:szCs w:val="24"/>
          <w:u w:val="single"/>
        </w:rPr>
        <w:t>Botanical Council; Boston: Integrative Medicine Communication; 1987.</w:t>
      </w:r>
    </w:p>
    <w:p w:rsidR="00D87CA6" w:rsidRPr="000A4D7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0A4D7E">
        <w:rPr>
          <w:rFonts w:ascii="Times New Roman" w:hAnsi="Times New Roman"/>
          <w:szCs w:val="24"/>
          <w:u w:val="single"/>
        </w:rPr>
        <w:t xml:space="preserve">BLUMENTHAL M, GOLDBERG A, BRINCKMANN. </w:t>
      </w:r>
      <w:r w:rsidRPr="000A4D7E">
        <w:rPr>
          <w:rFonts w:ascii="Times New Roman" w:hAnsi="Times New Roman"/>
          <w:i/>
          <w:iCs/>
          <w:szCs w:val="24"/>
          <w:u w:val="single"/>
        </w:rPr>
        <w:t xml:space="preserve">Herbal Medicine </w:t>
      </w:r>
      <w:r w:rsidRPr="000A4D7E">
        <w:rPr>
          <w:rFonts w:ascii="Times New Roman" w:hAnsi="Times New Roman"/>
          <w:szCs w:val="24"/>
          <w:u w:val="single"/>
        </w:rPr>
        <w:t>– Expanded Comission</w:t>
      </w:r>
      <w:r w:rsidR="00A629A6">
        <w:rPr>
          <w:rFonts w:ascii="Times New Roman" w:hAnsi="Times New Roman"/>
          <w:szCs w:val="24"/>
          <w:u w:val="single"/>
        </w:rPr>
        <w:t xml:space="preserve"> </w:t>
      </w:r>
      <w:r w:rsidRPr="000A4D7E">
        <w:rPr>
          <w:rFonts w:ascii="Times New Roman" w:hAnsi="Times New Roman"/>
          <w:szCs w:val="24"/>
          <w:u w:val="single"/>
        </w:rPr>
        <w:t>E Monographs, 2000.</w:t>
      </w:r>
    </w:p>
    <w:p w:rsidR="00D87CA6" w:rsidRPr="000A4D7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0A4D7E">
        <w:rPr>
          <w:rFonts w:ascii="Times New Roman" w:hAnsi="Times New Roman"/>
          <w:szCs w:val="24"/>
          <w:u w:val="single"/>
        </w:rPr>
        <w:t xml:space="preserve">BROSCHE T, PLATT D. Garlic. </w:t>
      </w:r>
      <w:r w:rsidRPr="000A4D7E">
        <w:rPr>
          <w:rFonts w:ascii="Times New Roman" w:hAnsi="Times New Roman"/>
          <w:i/>
          <w:iCs/>
          <w:szCs w:val="24"/>
          <w:u w:val="single"/>
        </w:rPr>
        <w:t>British Medical Journal</w:t>
      </w:r>
      <w:r w:rsidRPr="000A4D7E">
        <w:rPr>
          <w:rFonts w:ascii="Times New Roman" w:hAnsi="Times New Roman"/>
          <w:szCs w:val="24"/>
          <w:u w:val="single"/>
        </w:rPr>
        <w:t>, 1991, 303, 785.</w:t>
      </w:r>
    </w:p>
    <w:p w:rsidR="00D87CA6" w:rsidRPr="000A4D7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0A4D7E">
        <w:rPr>
          <w:rFonts w:ascii="Times New Roman" w:hAnsi="Times New Roman"/>
          <w:szCs w:val="24"/>
          <w:u w:val="single"/>
        </w:rPr>
        <w:t xml:space="preserve">EBADI, M. </w:t>
      </w:r>
      <w:r w:rsidRPr="000A4D7E">
        <w:rPr>
          <w:rFonts w:ascii="Times New Roman" w:hAnsi="Times New Roman"/>
          <w:i/>
          <w:iCs/>
          <w:szCs w:val="24"/>
          <w:u w:val="single"/>
        </w:rPr>
        <w:t>Pharmacodynamic basis of Herbal Medicine</w:t>
      </w:r>
      <w:r w:rsidRPr="000A4D7E">
        <w:rPr>
          <w:rFonts w:ascii="Times New Roman" w:hAnsi="Times New Roman"/>
          <w:szCs w:val="24"/>
          <w:u w:val="single"/>
        </w:rPr>
        <w:t>. CRC Press. 760p. 2001.</w:t>
      </w:r>
    </w:p>
    <w:p w:rsidR="00D87CA6" w:rsidRPr="000A4D7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0A4D7E">
        <w:rPr>
          <w:rFonts w:ascii="Times New Roman" w:hAnsi="Times New Roman"/>
          <w:szCs w:val="24"/>
          <w:u w:val="single"/>
        </w:rPr>
        <w:t>ESCOP Monographs. European Scientific Cooperative on Phytotherapy. 1997.</w:t>
      </w:r>
    </w:p>
    <w:p w:rsidR="00D87CA6" w:rsidRPr="000A4D7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0A4D7E">
        <w:rPr>
          <w:rFonts w:ascii="Times New Roman" w:hAnsi="Times New Roman"/>
          <w:szCs w:val="24"/>
          <w:u w:val="single"/>
        </w:rPr>
        <w:t>GALLICANO K, FOSTER B, CHOUDHRI S. Effect of short-term administration of garlic</w:t>
      </w:r>
      <w:r w:rsidR="00A629A6">
        <w:rPr>
          <w:rFonts w:ascii="Times New Roman" w:hAnsi="Times New Roman"/>
          <w:szCs w:val="24"/>
          <w:u w:val="single"/>
        </w:rPr>
        <w:t xml:space="preserve"> </w:t>
      </w:r>
      <w:r w:rsidRPr="000A4D7E">
        <w:rPr>
          <w:rFonts w:ascii="Times New Roman" w:hAnsi="Times New Roman"/>
          <w:szCs w:val="24"/>
          <w:u w:val="single"/>
        </w:rPr>
        <w:t xml:space="preserve">supplements on single-dose ritonavir pharmacokinetics in healthy volunteers. </w:t>
      </w:r>
      <w:r w:rsidRPr="000A4D7E">
        <w:rPr>
          <w:rFonts w:ascii="Times New Roman" w:hAnsi="Times New Roman"/>
          <w:i/>
          <w:iCs/>
          <w:szCs w:val="24"/>
          <w:u w:val="single"/>
          <w:lang w:val="pt-BR"/>
        </w:rPr>
        <w:t>Br J Clin Pharmacol</w:t>
      </w:r>
      <w:r w:rsidR="00A629A6">
        <w:rPr>
          <w:rFonts w:ascii="Times New Roman" w:hAnsi="Times New Roman"/>
          <w:i/>
          <w:iCs/>
          <w:szCs w:val="24"/>
          <w:u w:val="single"/>
          <w:lang w:val="pt-BR"/>
        </w:rPr>
        <w:t xml:space="preserve"> </w:t>
      </w:r>
      <w:r w:rsidRPr="000A4D7E">
        <w:rPr>
          <w:rFonts w:ascii="Times New Roman" w:hAnsi="Times New Roman"/>
          <w:szCs w:val="24"/>
          <w:u w:val="single"/>
          <w:lang w:val="pt-BR"/>
        </w:rPr>
        <w:t>2003; 55(2):199-202.</w:t>
      </w:r>
    </w:p>
    <w:p w:rsidR="00D87CA6" w:rsidRPr="000A4D7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0A4D7E">
        <w:rPr>
          <w:rFonts w:ascii="Times New Roman" w:hAnsi="Times New Roman"/>
          <w:szCs w:val="24"/>
          <w:u w:val="single"/>
          <w:lang w:val="pt-BR"/>
        </w:rPr>
        <w:t xml:space="preserve">GARCIA AA. </w:t>
      </w:r>
      <w:r w:rsidRPr="000A4D7E">
        <w:rPr>
          <w:rFonts w:ascii="Times New Roman" w:hAnsi="Times New Roman"/>
          <w:i/>
          <w:iCs/>
          <w:szCs w:val="24"/>
          <w:u w:val="single"/>
          <w:lang w:val="pt-BR"/>
        </w:rPr>
        <w:t xml:space="preserve">et al. Fitoterapia. </w:t>
      </w:r>
      <w:r w:rsidRPr="000A4D7E">
        <w:rPr>
          <w:rFonts w:ascii="Times New Roman" w:hAnsi="Times New Roman"/>
          <w:szCs w:val="24"/>
          <w:u w:val="single"/>
          <w:lang w:val="pt-BR"/>
        </w:rPr>
        <w:t>Vademecum de Prescripción. Plantas Medicinales. 3ª ed.</w:t>
      </w:r>
      <w:r w:rsidR="00A629A6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0A4D7E">
        <w:rPr>
          <w:rFonts w:ascii="Times New Roman" w:hAnsi="Times New Roman"/>
          <w:szCs w:val="24"/>
          <w:u w:val="single"/>
          <w:lang w:val="pt-BR"/>
        </w:rPr>
        <w:t>Barcelona; 1998</w:t>
      </w:r>
    </w:p>
    <w:p w:rsidR="00D87CA6" w:rsidRPr="000A4D7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0A4D7E">
        <w:rPr>
          <w:rFonts w:ascii="Times New Roman" w:hAnsi="Times New Roman"/>
          <w:szCs w:val="24"/>
          <w:u w:val="single"/>
        </w:rPr>
        <w:t xml:space="preserve">GURLEY BJ, GARDNER SF, HUBBARD MA </w:t>
      </w:r>
      <w:r w:rsidRPr="000A4D7E">
        <w:rPr>
          <w:rFonts w:ascii="Times New Roman" w:hAnsi="Times New Roman"/>
          <w:i/>
          <w:iCs/>
          <w:szCs w:val="24"/>
          <w:u w:val="single"/>
        </w:rPr>
        <w:t>et al</w:t>
      </w:r>
      <w:r w:rsidRPr="000A4D7E">
        <w:rPr>
          <w:rFonts w:ascii="Times New Roman" w:hAnsi="Times New Roman"/>
          <w:szCs w:val="24"/>
          <w:u w:val="single"/>
        </w:rPr>
        <w:t>. Cytochrome P450 phenotypic ratios for</w:t>
      </w:r>
      <w:r w:rsidR="00A629A6">
        <w:rPr>
          <w:rFonts w:ascii="Times New Roman" w:hAnsi="Times New Roman"/>
          <w:szCs w:val="24"/>
          <w:u w:val="single"/>
        </w:rPr>
        <w:t xml:space="preserve"> </w:t>
      </w:r>
      <w:r w:rsidRPr="000A4D7E">
        <w:rPr>
          <w:rFonts w:ascii="Times New Roman" w:hAnsi="Times New Roman"/>
          <w:szCs w:val="24"/>
          <w:u w:val="single"/>
        </w:rPr>
        <w:t xml:space="preserve">predicting herb-drug interactions in humans. </w:t>
      </w:r>
      <w:r w:rsidRPr="000A4D7E">
        <w:rPr>
          <w:rFonts w:ascii="Times New Roman" w:hAnsi="Times New Roman"/>
          <w:i/>
          <w:iCs/>
          <w:szCs w:val="24"/>
          <w:u w:val="single"/>
        </w:rPr>
        <w:t xml:space="preserve">Clin Pharmacol Ther </w:t>
      </w:r>
      <w:r w:rsidRPr="000A4D7E">
        <w:rPr>
          <w:rFonts w:ascii="Times New Roman" w:hAnsi="Times New Roman"/>
          <w:szCs w:val="24"/>
          <w:u w:val="single"/>
        </w:rPr>
        <w:t>2002; 72(3):276-287.</w:t>
      </w:r>
    </w:p>
    <w:p w:rsidR="00D87CA6" w:rsidRPr="006A0B61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6A0B61">
        <w:rPr>
          <w:rFonts w:ascii="Times New Roman" w:hAnsi="Times New Roman"/>
          <w:szCs w:val="24"/>
        </w:rPr>
        <w:t>HARENBERG J, GIESE C, ZIMMERMANN R. Effects of dried garlic on blood coagulation,</w:t>
      </w:r>
      <w:r w:rsidR="000A3EBE" w:rsidRPr="006A0B61">
        <w:rPr>
          <w:rFonts w:ascii="Times New Roman" w:hAnsi="Times New Roman"/>
          <w:szCs w:val="24"/>
        </w:rPr>
        <w:t xml:space="preserve"> </w:t>
      </w:r>
      <w:r w:rsidRPr="006A0B61">
        <w:rPr>
          <w:rFonts w:ascii="Times New Roman" w:hAnsi="Times New Roman"/>
          <w:szCs w:val="24"/>
        </w:rPr>
        <w:t>fibrinolysis, platelet aggregation, and serum cholesterol levels in patients with coronary artery</w:t>
      </w:r>
      <w:r w:rsidR="000A3EBE" w:rsidRPr="006A0B61">
        <w:rPr>
          <w:rFonts w:ascii="Times New Roman" w:hAnsi="Times New Roman"/>
          <w:szCs w:val="24"/>
        </w:rPr>
        <w:t xml:space="preserve"> </w:t>
      </w:r>
      <w:r w:rsidRPr="006A0B61">
        <w:rPr>
          <w:rFonts w:ascii="Times New Roman" w:hAnsi="Times New Roman"/>
          <w:szCs w:val="24"/>
        </w:rPr>
        <w:t xml:space="preserve">disease. </w:t>
      </w:r>
      <w:r w:rsidRPr="006A0B61">
        <w:rPr>
          <w:rFonts w:ascii="Times New Roman" w:hAnsi="Times New Roman"/>
          <w:i/>
          <w:iCs/>
          <w:szCs w:val="24"/>
        </w:rPr>
        <w:t>Atherosclerosis</w:t>
      </w:r>
      <w:r w:rsidRPr="006A0B61">
        <w:rPr>
          <w:rFonts w:ascii="Times New Roman" w:hAnsi="Times New Roman"/>
          <w:szCs w:val="24"/>
        </w:rPr>
        <w:t>, 1988, 74: 247-249.</w:t>
      </w:r>
    </w:p>
    <w:p w:rsidR="00D87CA6" w:rsidRPr="006A0B61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6A0B61">
        <w:rPr>
          <w:rFonts w:ascii="Times New Roman" w:hAnsi="Times New Roman"/>
          <w:szCs w:val="24"/>
        </w:rPr>
        <w:t>HOLZGARTNER H, SCHIMIDT U, KUHN U. Comparison of the efficacy and tolerance of a</w:t>
      </w:r>
      <w:r w:rsidR="000A3EBE" w:rsidRPr="006A0B61">
        <w:rPr>
          <w:rFonts w:ascii="Times New Roman" w:hAnsi="Times New Roman"/>
          <w:szCs w:val="24"/>
        </w:rPr>
        <w:t xml:space="preserve"> </w:t>
      </w:r>
      <w:r w:rsidRPr="006A0B61">
        <w:rPr>
          <w:rFonts w:ascii="Times New Roman" w:hAnsi="Times New Roman"/>
          <w:szCs w:val="24"/>
        </w:rPr>
        <w:t xml:space="preserve">garlic preparation vs bezafibrate. </w:t>
      </w:r>
      <w:r w:rsidRPr="006A0B61">
        <w:rPr>
          <w:rFonts w:ascii="Times New Roman" w:hAnsi="Times New Roman"/>
          <w:i/>
          <w:iCs/>
          <w:szCs w:val="24"/>
        </w:rPr>
        <w:t>Arzneimittelforschung</w:t>
      </w:r>
      <w:r w:rsidRPr="006A0B61">
        <w:rPr>
          <w:rFonts w:ascii="Times New Roman" w:hAnsi="Times New Roman"/>
          <w:szCs w:val="24"/>
        </w:rPr>
        <w:t>. 1992; 42(12):1473-1477.</w:t>
      </w:r>
    </w:p>
    <w:p w:rsidR="00D87CA6" w:rsidRPr="000A4D7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0A4D7E">
        <w:rPr>
          <w:rFonts w:ascii="Times New Roman" w:hAnsi="Times New Roman"/>
          <w:szCs w:val="24"/>
          <w:u w:val="single"/>
        </w:rPr>
        <w:t xml:space="preserve">JUNG EM, JUNG F, MROWIETZ C </w:t>
      </w:r>
      <w:r w:rsidRPr="000A4D7E">
        <w:rPr>
          <w:rFonts w:ascii="Times New Roman" w:hAnsi="Times New Roman"/>
          <w:i/>
          <w:iCs/>
          <w:szCs w:val="24"/>
          <w:u w:val="single"/>
        </w:rPr>
        <w:t xml:space="preserve">et al. </w:t>
      </w:r>
      <w:r w:rsidRPr="000A4D7E">
        <w:rPr>
          <w:rFonts w:ascii="Times New Roman" w:hAnsi="Times New Roman"/>
          <w:szCs w:val="24"/>
          <w:u w:val="single"/>
        </w:rPr>
        <w:t>Influence of garlic powder on cutaneos</w:t>
      </w:r>
    </w:p>
    <w:p w:rsidR="00D87CA6" w:rsidRPr="000A4D7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0A4D7E">
        <w:rPr>
          <w:rFonts w:ascii="Times New Roman" w:hAnsi="Times New Roman"/>
          <w:szCs w:val="24"/>
          <w:u w:val="single"/>
        </w:rPr>
        <w:t>microcirculation. A randomized placebo-controlled double-blind cross-over study in apparently</w:t>
      </w:r>
      <w:r w:rsidR="000A3EBE">
        <w:rPr>
          <w:rFonts w:ascii="Times New Roman" w:hAnsi="Times New Roman"/>
          <w:szCs w:val="24"/>
          <w:u w:val="single"/>
        </w:rPr>
        <w:t xml:space="preserve"> </w:t>
      </w:r>
      <w:r w:rsidRPr="000A4D7E">
        <w:rPr>
          <w:rFonts w:ascii="Times New Roman" w:hAnsi="Times New Roman"/>
          <w:szCs w:val="24"/>
          <w:u w:val="single"/>
        </w:rPr>
        <w:t xml:space="preserve">healthy subjects. </w:t>
      </w:r>
      <w:r w:rsidRPr="000A4D7E">
        <w:rPr>
          <w:rFonts w:ascii="Times New Roman" w:hAnsi="Times New Roman"/>
          <w:i/>
          <w:iCs/>
          <w:szCs w:val="24"/>
          <w:u w:val="single"/>
        </w:rPr>
        <w:t>Arzneimittelforschung</w:t>
      </w:r>
      <w:r w:rsidRPr="000A4D7E">
        <w:rPr>
          <w:rFonts w:ascii="Times New Roman" w:hAnsi="Times New Roman"/>
          <w:szCs w:val="24"/>
          <w:u w:val="single"/>
        </w:rPr>
        <w:t>. 1991 Jun; 41(6):626-30.</w:t>
      </w:r>
    </w:p>
    <w:p w:rsidR="00D87CA6" w:rsidRPr="00BD080B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6A0B61">
        <w:rPr>
          <w:rFonts w:ascii="Times New Roman" w:hAnsi="Times New Roman"/>
          <w:szCs w:val="24"/>
        </w:rPr>
        <w:t xml:space="preserve">KOCH H P, LAWSON LD. </w:t>
      </w:r>
      <w:r w:rsidRPr="006A0B61">
        <w:rPr>
          <w:rFonts w:ascii="Times New Roman" w:hAnsi="Times New Roman"/>
          <w:i/>
          <w:iCs/>
          <w:szCs w:val="24"/>
        </w:rPr>
        <w:t xml:space="preserve">Garlic, the science and therapeutic application of Allium sativum </w:t>
      </w:r>
      <w:r w:rsidRPr="006A0B61">
        <w:rPr>
          <w:rFonts w:ascii="Times New Roman" w:hAnsi="Times New Roman"/>
          <w:szCs w:val="24"/>
        </w:rPr>
        <w:t>L.</w:t>
      </w:r>
      <w:r w:rsidR="000A3EBE" w:rsidRPr="006A0B61">
        <w:rPr>
          <w:rFonts w:ascii="Times New Roman" w:hAnsi="Times New Roman"/>
          <w:szCs w:val="24"/>
        </w:rPr>
        <w:t xml:space="preserve"> </w:t>
      </w:r>
      <w:r w:rsidRPr="006A0B61">
        <w:rPr>
          <w:rFonts w:ascii="Times New Roman" w:hAnsi="Times New Roman"/>
          <w:szCs w:val="24"/>
        </w:rPr>
        <w:t xml:space="preserve">and related species. </w:t>
      </w:r>
      <w:r w:rsidRPr="00BD080B">
        <w:rPr>
          <w:rFonts w:ascii="Times New Roman" w:hAnsi="Times New Roman"/>
          <w:szCs w:val="24"/>
        </w:rPr>
        <w:t>Baltimore, Williams and Wilkins, 1996.</w:t>
      </w:r>
    </w:p>
    <w:p w:rsidR="00017E08" w:rsidRPr="00017E08" w:rsidRDefault="00017E08" w:rsidP="00017E08">
      <w:pPr>
        <w:jc w:val="both"/>
        <w:rPr>
          <w:rFonts w:ascii="Times New Roman" w:hAnsi="Times New Roman"/>
          <w:szCs w:val="24"/>
          <w:u w:val="single"/>
        </w:rPr>
      </w:pPr>
      <w:r w:rsidRPr="00017E08">
        <w:rPr>
          <w:rFonts w:ascii="Times New Roman" w:hAnsi="Times New Roman"/>
          <w:szCs w:val="24"/>
          <w:u w:val="single"/>
        </w:rPr>
        <w:lastRenderedPageBreak/>
        <w:t>LAKHAN, S. E.; SAPKO, M. T. Blood pressure lowering treatment for preventing stroke recurrence: a systematic review and meta-analysis. International archives of medicine, v. 2, n. 1, p. 30, 2009.</w:t>
      </w:r>
    </w:p>
    <w:p w:rsidR="00017E08" w:rsidRPr="00BD080B" w:rsidRDefault="00017E08" w:rsidP="00017E08">
      <w:pPr>
        <w:jc w:val="both"/>
        <w:rPr>
          <w:rFonts w:ascii="Times New Roman" w:hAnsi="Times New Roman"/>
          <w:szCs w:val="24"/>
          <w:u w:val="single"/>
          <w:lang w:val="pt-BR"/>
        </w:rPr>
      </w:pPr>
      <w:r w:rsidRPr="00017E08">
        <w:rPr>
          <w:rFonts w:ascii="Times New Roman" w:hAnsi="Times New Roman"/>
          <w:szCs w:val="24"/>
          <w:u w:val="single"/>
        </w:rPr>
        <w:t xml:space="preserve">LAW, M. R.; MORRIS, J. K.; WALD, N. J. Use of blood pressure lowering drugs in the prevention of cardiovascular disease: meta-analysis of 147 randomised trials in the context of expectations from prospective epidemiological studies. </w:t>
      </w:r>
      <w:r w:rsidRPr="00BD080B">
        <w:rPr>
          <w:rFonts w:ascii="Times New Roman" w:hAnsi="Times New Roman"/>
          <w:szCs w:val="24"/>
          <w:u w:val="single"/>
          <w:lang w:val="pt-BR"/>
        </w:rPr>
        <w:t>Bmj, v. 338, p. b1665, 2009.</w:t>
      </w:r>
    </w:p>
    <w:p w:rsidR="00D87CA6" w:rsidRPr="000A3EB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  <w:lang w:val="pt-BR"/>
        </w:rPr>
      </w:pPr>
      <w:r w:rsidRPr="000A4D7E">
        <w:rPr>
          <w:rFonts w:ascii="Times New Roman" w:hAnsi="Times New Roman"/>
          <w:szCs w:val="24"/>
          <w:u w:val="single"/>
          <w:lang w:val="pt-BR"/>
        </w:rPr>
        <w:t>MICROMEDEX. Disponível em: http://www.library.ucsf.edu/db/ucaccessonly.html. Acesso em:</w:t>
      </w:r>
      <w:r w:rsidR="000A3EBE">
        <w:rPr>
          <w:rFonts w:ascii="Times New Roman" w:hAnsi="Times New Roman"/>
          <w:szCs w:val="24"/>
          <w:u w:val="single"/>
          <w:lang w:val="pt-BR"/>
        </w:rPr>
        <w:t xml:space="preserve"> </w:t>
      </w:r>
      <w:r w:rsidRPr="000A3EBE">
        <w:rPr>
          <w:rFonts w:ascii="Times New Roman" w:hAnsi="Times New Roman"/>
          <w:szCs w:val="24"/>
          <w:u w:val="single"/>
          <w:lang w:val="pt-BR"/>
        </w:rPr>
        <w:t>30/10/2007.</w:t>
      </w:r>
    </w:p>
    <w:p w:rsidR="00D87CA6" w:rsidRPr="006A0B61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6A0B61">
        <w:rPr>
          <w:rFonts w:ascii="Times New Roman" w:hAnsi="Times New Roman"/>
          <w:szCs w:val="24"/>
        </w:rPr>
        <w:t xml:space="preserve">NEIL H A, SILAGY C A. A meta-analysis of the effect of garlic on blood pressure. </w:t>
      </w:r>
      <w:r w:rsidRPr="006A0B61">
        <w:rPr>
          <w:rFonts w:ascii="Times New Roman" w:hAnsi="Times New Roman"/>
          <w:i/>
          <w:iCs/>
          <w:szCs w:val="24"/>
        </w:rPr>
        <w:t>Journal of</w:t>
      </w:r>
      <w:r w:rsidR="000A3EBE" w:rsidRPr="006A0B61">
        <w:rPr>
          <w:rFonts w:ascii="Times New Roman" w:hAnsi="Times New Roman"/>
          <w:i/>
          <w:iCs/>
          <w:szCs w:val="24"/>
        </w:rPr>
        <w:t xml:space="preserve"> </w:t>
      </w:r>
      <w:r w:rsidRPr="006A0B61">
        <w:rPr>
          <w:rFonts w:ascii="Times New Roman" w:hAnsi="Times New Roman"/>
          <w:i/>
          <w:iCs/>
          <w:szCs w:val="24"/>
        </w:rPr>
        <w:t>hypertension</w:t>
      </w:r>
      <w:r w:rsidRPr="006A0B61">
        <w:rPr>
          <w:rFonts w:ascii="Times New Roman" w:hAnsi="Times New Roman"/>
          <w:szCs w:val="24"/>
        </w:rPr>
        <w:t>, 1994a, 12: 463-8.</w:t>
      </w:r>
    </w:p>
    <w:p w:rsidR="00D87CA6" w:rsidRPr="006A0B61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6A0B61">
        <w:rPr>
          <w:rFonts w:ascii="Times New Roman" w:hAnsi="Times New Roman"/>
          <w:szCs w:val="24"/>
        </w:rPr>
        <w:t>NEIL H A, SILAGY C A. Garlic as a lipid lowering agent: a meta-analysis. Journal of The Royal</w:t>
      </w:r>
      <w:r w:rsidR="000A3EBE" w:rsidRPr="006A0B61">
        <w:rPr>
          <w:rFonts w:ascii="Times New Roman" w:hAnsi="Times New Roman"/>
          <w:szCs w:val="24"/>
        </w:rPr>
        <w:t xml:space="preserve"> </w:t>
      </w:r>
      <w:r w:rsidRPr="006A0B61">
        <w:rPr>
          <w:rFonts w:ascii="Times New Roman" w:hAnsi="Times New Roman"/>
          <w:szCs w:val="24"/>
        </w:rPr>
        <w:t>College of Physicians of London, 1994b, 28: 39-45.</w:t>
      </w:r>
    </w:p>
    <w:p w:rsidR="00D87CA6" w:rsidRPr="006A0B61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6A0B61">
        <w:rPr>
          <w:rFonts w:ascii="Times New Roman" w:hAnsi="Times New Roman"/>
          <w:szCs w:val="24"/>
        </w:rPr>
        <w:t xml:space="preserve">NEIL H A, SILAGY C A. Garlic: its cardioprotectant properties. </w:t>
      </w:r>
      <w:r w:rsidRPr="006A0B61">
        <w:rPr>
          <w:rFonts w:ascii="Times New Roman" w:hAnsi="Times New Roman"/>
          <w:i/>
          <w:iCs/>
          <w:szCs w:val="24"/>
        </w:rPr>
        <w:t>Current opinions in lipidology</w:t>
      </w:r>
      <w:r w:rsidRPr="006A0B61">
        <w:rPr>
          <w:rFonts w:ascii="Times New Roman" w:hAnsi="Times New Roman"/>
          <w:szCs w:val="24"/>
        </w:rPr>
        <w:t>,</w:t>
      </w:r>
      <w:r w:rsidR="000A3EBE" w:rsidRPr="006A0B61">
        <w:rPr>
          <w:rFonts w:ascii="Times New Roman" w:hAnsi="Times New Roman"/>
          <w:szCs w:val="24"/>
        </w:rPr>
        <w:t xml:space="preserve"> </w:t>
      </w:r>
      <w:r w:rsidRPr="006A0B61">
        <w:rPr>
          <w:rFonts w:ascii="Times New Roman" w:hAnsi="Times New Roman"/>
          <w:szCs w:val="24"/>
        </w:rPr>
        <w:t>1994c, 5: 6-10.</w:t>
      </w:r>
    </w:p>
    <w:p w:rsidR="00D87CA6" w:rsidRPr="000A4D7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0A4D7E">
        <w:rPr>
          <w:rFonts w:ascii="Times New Roman" w:hAnsi="Times New Roman"/>
          <w:szCs w:val="24"/>
          <w:u w:val="single"/>
        </w:rPr>
        <w:t>OMS. WHO monographs on selected medicinal plants – vol. 1, 1998.</w:t>
      </w:r>
    </w:p>
    <w:p w:rsidR="00D87CA6" w:rsidRPr="000A4D7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0A4D7E">
        <w:rPr>
          <w:rFonts w:ascii="Times New Roman" w:hAnsi="Times New Roman"/>
          <w:szCs w:val="24"/>
          <w:u w:val="single"/>
        </w:rPr>
        <w:t xml:space="preserve">OZTURK Y </w:t>
      </w:r>
      <w:r w:rsidRPr="000A4D7E">
        <w:rPr>
          <w:rFonts w:ascii="Times New Roman" w:hAnsi="Times New Roman"/>
          <w:i/>
          <w:iCs/>
          <w:szCs w:val="24"/>
          <w:u w:val="single"/>
        </w:rPr>
        <w:t>et al</w:t>
      </w:r>
      <w:r w:rsidRPr="000A4D7E">
        <w:rPr>
          <w:rFonts w:ascii="Times New Roman" w:hAnsi="Times New Roman"/>
          <w:szCs w:val="24"/>
          <w:u w:val="single"/>
        </w:rPr>
        <w:t xml:space="preserve">. Endothelium-dependent and independent effects of garlic on rat aorta. </w:t>
      </w:r>
      <w:r w:rsidRPr="000A4D7E">
        <w:rPr>
          <w:rFonts w:ascii="Times New Roman" w:hAnsi="Times New Roman"/>
          <w:i/>
          <w:iCs/>
          <w:szCs w:val="24"/>
          <w:u w:val="single"/>
        </w:rPr>
        <w:t>Journal</w:t>
      </w:r>
      <w:r w:rsidR="000A3EBE">
        <w:rPr>
          <w:rFonts w:ascii="Times New Roman" w:hAnsi="Times New Roman"/>
          <w:i/>
          <w:iCs/>
          <w:szCs w:val="24"/>
          <w:u w:val="single"/>
        </w:rPr>
        <w:t xml:space="preserve"> </w:t>
      </w:r>
      <w:r w:rsidRPr="000A4D7E">
        <w:rPr>
          <w:rFonts w:ascii="Times New Roman" w:hAnsi="Times New Roman"/>
          <w:i/>
          <w:iCs/>
          <w:szCs w:val="24"/>
          <w:u w:val="single"/>
        </w:rPr>
        <w:t>of ethnopharmacology</w:t>
      </w:r>
      <w:r w:rsidRPr="000A4D7E">
        <w:rPr>
          <w:rFonts w:ascii="Times New Roman" w:hAnsi="Times New Roman"/>
          <w:szCs w:val="24"/>
          <w:u w:val="single"/>
        </w:rPr>
        <w:t>, 1994, 44: 109-16.</w:t>
      </w:r>
    </w:p>
    <w:p w:rsidR="00D87CA6" w:rsidRPr="000A4D7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0A4D7E">
        <w:rPr>
          <w:rFonts w:ascii="Times New Roman" w:hAnsi="Times New Roman"/>
          <w:szCs w:val="24"/>
          <w:u w:val="single"/>
        </w:rPr>
        <w:t>PDR for HERBAL MEDICINES, 2a ed. 2000.</w:t>
      </w:r>
    </w:p>
    <w:p w:rsidR="00D87CA6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0A4D7E">
        <w:rPr>
          <w:rFonts w:ascii="Times New Roman" w:hAnsi="Times New Roman"/>
          <w:szCs w:val="24"/>
          <w:u w:val="single"/>
        </w:rPr>
        <w:t xml:space="preserve">PISCITELLI SC, BURSTEIN AH, WELDEN N </w:t>
      </w:r>
      <w:r w:rsidRPr="000A4D7E">
        <w:rPr>
          <w:rFonts w:ascii="Times New Roman" w:hAnsi="Times New Roman"/>
          <w:i/>
          <w:iCs/>
          <w:szCs w:val="24"/>
          <w:u w:val="single"/>
        </w:rPr>
        <w:t xml:space="preserve">et al. </w:t>
      </w:r>
      <w:r w:rsidRPr="000A4D7E">
        <w:rPr>
          <w:rFonts w:ascii="Times New Roman" w:hAnsi="Times New Roman"/>
          <w:szCs w:val="24"/>
          <w:u w:val="single"/>
        </w:rPr>
        <w:t>The effect of garlic supplements on the</w:t>
      </w:r>
      <w:r w:rsidR="000A3EBE">
        <w:rPr>
          <w:rFonts w:ascii="Times New Roman" w:hAnsi="Times New Roman"/>
          <w:szCs w:val="24"/>
          <w:u w:val="single"/>
        </w:rPr>
        <w:t xml:space="preserve"> </w:t>
      </w:r>
      <w:r w:rsidRPr="000A4D7E">
        <w:rPr>
          <w:rFonts w:ascii="Times New Roman" w:hAnsi="Times New Roman"/>
          <w:szCs w:val="24"/>
          <w:u w:val="single"/>
        </w:rPr>
        <w:t xml:space="preserve">pharmacokinetics of saquinavir. </w:t>
      </w:r>
      <w:r w:rsidRPr="000A4D7E">
        <w:rPr>
          <w:rFonts w:ascii="Times New Roman" w:hAnsi="Times New Roman"/>
          <w:i/>
          <w:iCs/>
          <w:szCs w:val="24"/>
          <w:u w:val="single"/>
        </w:rPr>
        <w:t xml:space="preserve">Clin Infect Dis </w:t>
      </w:r>
      <w:r w:rsidRPr="000A4D7E">
        <w:rPr>
          <w:rFonts w:ascii="Times New Roman" w:hAnsi="Times New Roman"/>
          <w:szCs w:val="24"/>
          <w:u w:val="single"/>
        </w:rPr>
        <w:t>2002; 34(2): 234-8.</w:t>
      </w:r>
    </w:p>
    <w:p w:rsidR="00017E08" w:rsidRPr="00017E08" w:rsidRDefault="00017E08" w:rsidP="00017E08">
      <w:pPr>
        <w:jc w:val="both"/>
        <w:rPr>
          <w:rFonts w:ascii="Times New Roman" w:hAnsi="Times New Roman"/>
          <w:szCs w:val="24"/>
          <w:u w:val="single"/>
        </w:rPr>
      </w:pPr>
      <w:r w:rsidRPr="00017E08">
        <w:rPr>
          <w:rFonts w:ascii="Times New Roman" w:hAnsi="Times New Roman"/>
          <w:szCs w:val="24"/>
          <w:u w:val="single"/>
        </w:rPr>
        <w:t>REINHART, K. M.; COLEMAN, C. I.; TEEVAN, C.; VACHHANI, P.  et al. Effects of garlic on blood pressure in patients with and without systolic hypertension: a meta-analysis. The Annals of pharmacotherapy, v. 42, n. 12, p. 1766-71, 2008.</w:t>
      </w:r>
    </w:p>
    <w:p w:rsidR="00017E08" w:rsidRPr="00017E08" w:rsidRDefault="00017E08" w:rsidP="00017E08">
      <w:pPr>
        <w:jc w:val="both"/>
        <w:rPr>
          <w:rFonts w:ascii="Times New Roman" w:hAnsi="Times New Roman"/>
          <w:szCs w:val="24"/>
          <w:u w:val="single"/>
        </w:rPr>
      </w:pPr>
      <w:r w:rsidRPr="00017E08">
        <w:rPr>
          <w:rFonts w:ascii="Times New Roman" w:hAnsi="Times New Roman"/>
          <w:szCs w:val="24"/>
          <w:u w:val="single"/>
        </w:rPr>
        <w:t>RIED, K.; FRANK, O. R.; STOCKS, N. P.; FAKLER, P.  et al. Effect of garlic on blood pressure: a systematic review and meta-analysis. BMC cardiovascular disorders, v. 8, p. 13, 2008.</w:t>
      </w:r>
    </w:p>
    <w:p w:rsidR="00017E08" w:rsidRPr="00017E08" w:rsidRDefault="00017E08" w:rsidP="00017E08">
      <w:pPr>
        <w:jc w:val="both"/>
        <w:rPr>
          <w:rFonts w:ascii="Times New Roman" w:hAnsi="Times New Roman"/>
          <w:szCs w:val="24"/>
          <w:u w:val="single"/>
        </w:rPr>
      </w:pPr>
      <w:r w:rsidRPr="00017E08">
        <w:rPr>
          <w:rFonts w:ascii="Times New Roman" w:hAnsi="Times New Roman"/>
          <w:szCs w:val="24"/>
          <w:u w:val="single"/>
        </w:rPr>
        <w:t>RIED, K.; FRANK, O. R.; STOCKS, N. P. Aged garlic extract lowers blood pressure in patients with treated but uncontrolled hypertension: a randomised controlled trial. Maturitas, v. 67, n. 2, p. 144-50, 2010.</w:t>
      </w:r>
    </w:p>
    <w:p w:rsidR="00D87CA6" w:rsidRPr="000A4D7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0A4D7E">
        <w:rPr>
          <w:rFonts w:ascii="Times New Roman" w:hAnsi="Times New Roman"/>
          <w:szCs w:val="24"/>
          <w:u w:val="single"/>
        </w:rPr>
        <w:t>ROSE KD, CROISSANT PD, PARLIAMENT CF, LEVIN MB. Spontaneous spinal epidural</w:t>
      </w:r>
      <w:r w:rsidR="000A3EBE">
        <w:rPr>
          <w:rFonts w:ascii="Times New Roman" w:hAnsi="Times New Roman"/>
          <w:szCs w:val="24"/>
          <w:u w:val="single"/>
        </w:rPr>
        <w:t xml:space="preserve"> </w:t>
      </w:r>
      <w:r w:rsidRPr="000A4D7E">
        <w:rPr>
          <w:rFonts w:ascii="Times New Roman" w:hAnsi="Times New Roman"/>
          <w:szCs w:val="24"/>
          <w:u w:val="single"/>
        </w:rPr>
        <w:t>hematoma with associated platelet dysfunction from excessive garlic consumption: a case report.</w:t>
      </w:r>
    </w:p>
    <w:p w:rsidR="00D87CA6" w:rsidRPr="000A4D7E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0A4D7E">
        <w:rPr>
          <w:rFonts w:ascii="Times New Roman" w:hAnsi="Times New Roman"/>
          <w:i/>
          <w:iCs/>
          <w:szCs w:val="24"/>
          <w:u w:val="single"/>
        </w:rPr>
        <w:t xml:space="preserve">Neurosurgery </w:t>
      </w:r>
      <w:r w:rsidRPr="000A4D7E">
        <w:rPr>
          <w:rFonts w:ascii="Times New Roman" w:hAnsi="Times New Roman"/>
          <w:szCs w:val="24"/>
          <w:u w:val="single"/>
        </w:rPr>
        <w:t>1990; 26: 880-2.</w:t>
      </w:r>
    </w:p>
    <w:p w:rsidR="00D87CA6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  <w:u w:val="single"/>
        </w:rPr>
      </w:pPr>
      <w:r w:rsidRPr="000A4D7E">
        <w:rPr>
          <w:rFonts w:ascii="Times New Roman" w:hAnsi="Times New Roman"/>
          <w:szCs w:val="24"/>
          <w:u w:val="single"/>
        </w:rPr>
        <w:t xml:space="preserve">SIEGEL G </w:t>
      </w:r>
      <w:r w:rsidRPr="000A4D7E">
        <w:rPr>
          <w:rFonts w:ascii="Times New Roman" w:hAnsi="Times New Roman"/>
          <w:i/>
          <w:iCs/>
          <w:szCs w:val="24"/>
          <w:u w:val="single"/>
        </w:rPr>
        <w:t>et al</w:t>
      </w:r>
      <w:r w:rsidRPr="000A4D7E">
        <w:rPr>
          <w:rFonts w:ascii="Times New Roman" w:hAnsi="Times New Roman"/>
          <w:szCs w:val="24"/>
          <w:u w:val="single"/>
        </w:rPr>
        <w:t>. Potassium channel activation in vascular smooth muscle. In: Frank GB, ed.</w:t>
      </w:r>
      <w:r w:rsidR="000A3EBE">
        <w:rPr>
          <w:rFonts w:ascii="Times New Roman" w:hAnsi="Times New Roman"/>
          <w:szCs w:val="24"/>
          <w:u w:val="single"/>
        </w:rPr>
        <w:t xml:space="preserve"> </w:t>
      </w:r>
      <w:r w:rsidRPr="000A4D7E">
        <w:rPr>
          <w:rFonts w:ascii="Times New Roman" w:hAnsi="Times New Roman"/>
          <w:szCs w:val="24"/>
          <w:u w:val="single"/>
        </w:rPr>
        <w:t xml:space="preserve">Excitation-contraction coupling skeletal, cardiac, and smooth muscle. New York, </w:t>
      </w:r>
      <w:r w:rsidRPr="000A4D7E">
        <w:rPr>
          <w:rFonts w:ascii="Times New Roman" w:hAnsi="Times New Roman"/>
          <w:i/>
          <w:iCs/>
          <w:szCs w:val="24"/>
          <w:u w:val="single"/>
        </w:rPr>
        <w:t>Plenum Press</w:t>
      </w:r>
      <w:r w:rsidRPr="000A4D7E">
        <w:rPr>
          <w:rFonts w:ascii="Times New Roman" w:hAnsi="Times New Roman"/>
          <w:szCs w:val="24"/>
          <w:u w:val="single"/>
        </w:rPr>
        <w:t>,</w:t>
      </w:r>
      <w:r w:rsidR="000A3EBE">
        <w:rPr>
          <w:rFonts w:ascii="Times New Roman" w:hAnsi="Times New Roman"/>
          <w:szCs w:val="24"/>
          <w:u w:val="single"/>
        </w:rPr>
        <w:t xml:space="preserve"> </w:t>
      </w:r>
      <w:r w:rsidRPr="000A4D7E">
        <w:rPr>
          <w:rFonts w:ascii="Times New Roman" w:hAnsi="Times New Roman"/>
          <w:szCs w:val="24"/>
          <w:u w:val="single"/>
        </w:rPr>
        <w:t>1992: 53-72.</w:t>
      </w:r>
    </w:p>
    <w:p w:rsidR="00017E08" w:rsidRPr="00017E08" w:rsidRDefault="00017E08" w:rsidP="00017E08">
      <w:pPr>
        <w:jc w:val="both"/>
        <w:rPr>
          <w:rFonts w:ascii="Times New Roman" w:hAnsi="Times New Roman"/>
          <w:szCs w:val="24"/>
          <w:u w:val="single"/>
        </w:rPr>
      </w:pPr>
      <w:r w:rsidRPr="00017E08">
        <w:rPr>
          <w:rFonts w:ascii="Times New Roman" w:hAnsi="Times New Roman"/>
          <w:szCs w:val="24"/>
          <w:u w:val="single"/>
        </w:rPr>
        <w:t>SIMONS, S.; WOLLERSHEIM, H.; THIEN, T. A systematic review on the influence of trial quality on the effect of garlic on blood pressure. The Netherlands journal of medicine, v. 67, n. 6, p. 212-9, 2009.</w:t>
      </w:r>
    </w:p>
    <w:p w:rsidR="00017E08" w:rsidRPr="00017E08" w:rsidRDefault="00017E08" w:rsidP="00017E08">
      <w:pPr>
        <w:jc w:val="both"/>
        <w:rPr>
          <w:u w:val="single"/>
        </w:rPr>
      </w:pPr>
      <w:r w:rsidRPr="00017E08">
        <w:rPr>
          <w:rFonts w:ascii="Times New Roman" w:hAnsi="Times New Roman"/>
          <w:szCs w:val="24"/>
          <w:u w:val="single"/>
        </w:rPr>
        <w:t>SOBENIN, I. A.; ANDRIANOVA, I. V.; FOMCHENKOV, I. V.; GORCHAKOVA, T. V.  et al. Time-released garlic powder tablets lower systolic and diastolic blood pressure in men with mild and moderate arterial hypertension. Hypertension research : official journal of the Japanese Society of Hypertension, v. 32, n. 6, p. 433-7, 2009.</w:t>
      </w:r>
    </w:p>
    <w:p w:rsidR="00D87CA6" w:rsidRPr="005D0DC1" w:rsidRDefault="00D87CA6" w:rsidP="00017E08">
      <w:pPr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  <w:r w:rsidRPr="006A0B61">
        <w:rPr>
          <w:rFonts w:ascii="Times New Roman" w:hAnsi="Times New Roman"/>
          <w:szCs w:val="24"/>
        </w:rPr>
        <w:t xml:space="preserve">WARSHAFSKY S, KARNER RS, SIVAK SL. Effect of garlic on total serum cholesterol. </w:t>
      </w:r>
      <w:r w:rsidRPr="005D0DC1">
        <w:rPr>
          <w:rFonts w:ascii="Times New Roman" w:hAnsi="Times New Roman"/>
          <w:szCs w:val="24"/>
        </w:rPr>
        <w:t>A metaanalysis.</w:t>
      </w:r>
      <w:r w:rsidR="000A3EBE" w:rsidRPr="005D0DC1">
        <w:rPr>
          <w:rFonts w:ascii="Times New Roman" w:hAnsi="Times New Roman"/>
          <w:szCs w:val="24"/>
        </w:rPr>
        <w:t xml:space="preserve"> </w:t>
      </w:r>
      <w:r w:rsidRPr="005D0DC1">
        <w:rPr>
          <w:rFonts w:ascii="Times New Roman" w:hAnsi="Times New Roman"/>
          <w:i/>
          <w:iCs/>
          <w:szCs w:val="24"/>
        </w:rPr>
        <w:t>Annals of internal medicine</w:t>
      </w:r>
      <w:r w:rsidRPr="005D0DC1">
        <w:rPr>
          <w:rFonts w:ascii="Times New Roman" w:hAnsi="Times New Roman"/>
          <w:szCs w:val="24"/>
        </w:rPr>
        <w:t>, 1993, 119: 599-605.</w:t>
      </w:r>
    </w:p>
    <w:p w:rsidR="00D87CA6" w:rsidRPr="005D0DC1" w:rsidRDefault="00D87CA6" w:rsidP="000A4D7E"/>
    <w:p w:rsidR="00D87CA6" w:rsidRPr="005D0DC1" w:rsidRDefault="00D87CA6" w:rsidP="00D87CA6"/>
    <w:p w:rsidR="00D87CA6" w:rsidRPr="005D0DC1" w:rsidRDefault="00D87CA6" w:rsidP="00D87CA6"/>
    <w:p w:rsidR="00176998" w:rsidRPr="004963DA" w:rsidRDefault="00176998" w:rsidP="00176998"/>
    <w:sectPr w:rsidR="00176998" w:rsidRPr="004963DA" w:rsidSect="006239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D87CA6"/>
    <w:rsid w:val="00017E08"/>
    <w:rsid w:val="000A3EBE"/>
    <w:rsid w:val="000A4D7E"/>
    <w:rsid w:val="00106D55"/>
    <w:rsid w:val="00124C3F"/>
    <w:rsid w:val="00137A62"/>
    <w:rsid w:val="00176998"/>
    <w:rsid w:val="00192D1B"/>
    <w:rsid w:val="001C777D"/>
    <w:rsid w:val="00213966"/>
    <w:rsid w:val="0023161C"/>
    <w:rsid w:val="002666D6"/>
    <w:rsid w:val="002919F1"/>
    <w:rsid w:val="002A43F3"/>
    <w:rsid w:val="002A4F13"/>
    <w:rsid w:val="00332E39"/>
    <w:rsid w:val="00392508"/>
    <w:rsid w:val="003B439F"/>
    <w:rsid w:val="003C1507"/>
    <w:rsid w:val="003E4487"/>
    <w:rsid w:val="00415775"/>
    <w:rsid w:val="00446CF0"/>
    <w:rsid w:val="00472CD1"/>
    <w:rsid w:val="004A7BD7"/>
    <w:rsid w:val="00502381"/>
    <w:rsid w:val="005508FC"/>
    <w:rsid w:val="005D024D"/>
    <w:rsid w:val="005D0DC1"/>
    <w:rsid w:val="006239CD"/>
    <w:rsid w:val="006A0B61"/>
    <w:rsid w:val="007455CC"/>
    <w:rsid w:val="00753F66"/>
    <w:rsid w:val="007F0C84"/>
    <w:rsid w:val="008053B4"/>
    <w:rsid w:val="00883C9A"/>
    <w:rsid w:val="008C3369"/>
    <w:rsid w:val="0090282D"/>
    <w:rsid w:val="00940213"/>
    <w:rsid w:val="009F74A8"/>
    <w:rsid w:val="00A353B9"/>
    <w:rsid w:val="00A629A6"/>
    <w:rsid w:val="00A735C9"/>
    <w:rsid w:val="00AE493B"/>
    <w:rsid w:val="00B97344"/>
    <w:rsid w:val="00BD080B"/>
    <w:rsid w:val="00BD5E4D"/>
    <w:rsid w:val="00C02CEE"/>
    <w:rsid w:val="00C223A3"/>
    <w:rsid w:val="00C37341"/>
    <w:rsid w:val="00C74929"/>
    <w:rsid w:val="00CD4F43"/>
    <w:rsid w:val="00D27CC7"/>
    <w:rsid w:val="00D87CA6"/>
    <w:rsid w:val="00DD27E6"/>
    <w:rsid w:val="00E9325A"/>
    <w:rsid w:val="00E952E3"/>
    <w:rsid w:val="00F20098"/>
    <w:rsid w:val="00F20D97"/>
    <w:rsid w:val="00F342FC"/>
    <w:rsid w:val="00F90F39"/>
    <w:rsid w:val="00FE4F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7CA6"/>
    <w:pPr>
      <w:spacing w:after="0" w:line="240" w:lineRule="auto"/>
    </w:pPr>
    <w:rPr>
      <w:rFonts w:ascii="Arial" w:eastAsia="Arial" w:hAnsi="Arial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C777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777D"/>
    <w:rPr>
      <w:rFonts w:ascii="Tahoma" w:eastAsia="Arial" w:hAnsi="Tahoma" w:cs="Tahoma"/>
      <w:sz w:val="16"/>
      <w:szCs w:val="16"/>
      <w:lang w:val="en-US"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2919F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2919F1"/>
    <w:rPr>
      <w:sz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2919F1"/>
    <w:rPr>
      <w:rFonts w:ascii="Arial" w:eastAsia="Arial" w:hAnsi="Arial" w:cs="Times New Roman"/>
      <w:sz w:val="20"/>
      <w:szCs w:val="20"/>
      <w:lang w:val="en-US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2919F1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2919F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C697D3-AB4B-47CC-91FE-0554FD56E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7</Pages>
  <Words>3425</Words>
  <Characters>18499</Characters>
  <Application>Microsoft Office Word</Application>
  <DocSecurity>0</DocSecurity>
  <Lines>154</Lines>
  <Paragraphs>43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ANVISA</Company>
  <LinksUpToDate>false</LinksUpToDate>
  <CharactersWithSpaces>21881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livia.ramalho</dc:creator>
  <cp:lastModifiedBy>milena.barros</cp:lastModifiedBy>
  <cp:revision>37</cp:revision>
  <dcterms:created xsi:type="dcterms:W3CDTF">2014-04-16T17:24:00Z</dcterms:created>
  <dcterms:modified xsi:type="dcterms:W3CDTF">2014-08-08T19:50:00Z</dcterms:modified>
</cp:coreProperties>
</file>