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76AF" w:rsidRPr="00C4118F" w:rsidRDefault="00277596" w:rsidP="00A44880">
      <w:pPr>
        <w:autoSpaceDE w:val="0"/>
        <w:autoSpaceDN w:val="0"/>
        <w:adjustRightInd w:val="0"/>
        <w:spacing w:after="0" w:line="240" w:lineRule="auto"/>
        <w:jc w:val="both"/>
        <w:rPr>
          <w:rFonts w:ascii="Arial" w:hAnsi="Arial" w:cs="Arial"/>
          <w:b/>
          <w:color w:val="000000"/>
          <w:sz w:val="20"/>
          <w:szCs w:val="20"/>
          <w:u w:val="single"/>
        </w:rPr>
      </w:pPr>
      <w:r w:rsidRPr="00C4118F">
        <w:rPr>
          <w:rFonts w:ascii="Arial" w:hAnsi="Arial" w:cs="Arial"/>
          <w:b/>
          <w:color w:val="000000"/>
          <w:sz w:val="20"/>
          <w:szCs w:val="20"/>
          <w:u w:val="single"/>
        </w:rPr>
        <w:t>ÁGUA PARA INJEÇÃO</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277596" w:rsidRPr="00943086" w:rsidRDefault="00277596" w:rsidP="00A44880">
      <w:pPr>
        <w:spacing w:after="0" w:line="240" w:lineRule="auto"/>
        <w:rPr>
          <w:rFonts w:ascii="Arial" w:eastAsia="Times New Roman" w:hAnsi="Arial" w:cs="Arial"/>
          <w:b/>
          <w:color w:val="FF0000"/>
          <w:sz w:val="20"/>
          <w:szCs w:val="20"/>
        </w:rPr>
      </w:pPr>
      <w:r w:rsidRPr="00943086">
        <w:rPr>
          <w:rFonts w:ascii="Arial" w:eastAsia="Times New Roman" w:hAnsi="Arial" w:cs="Arial"/>
          <w:b/>
          <w:color w:val="FF0000"/>
          <w:sz w:val="20"/>
          <w:szCs w:val="20"/>
        </w:rPr>
        <w:t>NOME DO PRODUTO</w:t>
      </w: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ÁGUA PARA INJEÇÃO</w:t>
      </w:r>
    </w:p>
    <w:p w:rsidR="00277596" w:rsidRPr="00943086" w:rsidRDefault="00277596" w:rsidP="00A44880">
      <w:pPr>
        <w:spacing w:after="0" w:line="240" w:lineRule="auto"/>
        <w:rPr>
          <w:rFonts w:ascii="Arial" w:eastAsia="Times New Roman" w:hAnsi="Arial" w:cs="Arial"/>
          <w:b/>
          <w:sz w:val="20"/>
          <w:szCs w:val="20"/>
          <w:u w:val="single"/>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APRESENTAÇÃO</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Solução injetável, límpida e hipotônica, estéril e apirogênica.</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Apresentações: Frascos, ampolas e bolsas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mL.</w:t>
      </w:r>
    </w:p>
    <w:p w:rsidR="00277596" w:rsidRPr="00943086" w:rsidRDefault="00277596" w:rsidP="00A44880">
      <w:pPr>
        <w:spacing w:after="0" w:line="240" w:lineRule="auto"/>
        <w:rPr>
          <w:rFonts w:ascii="Arial" w:eastAsia="Times New Roman" w:hAnsi="Arial" w:cs="Arial"/>
          <w:i/>
          <w:color w:val="0070C0"/>
          <w:sz w:val="20"/>
          <w:szCs w:val="20"/>
        </w:rPr>
      </w:pPr>
      <w:r w:rsidRPr="00943086">
        <w:rPr>
          <w:rFonts w:ascii="Arial" w:eastAsia="Times New Roman" w:hAnsi="Arial" w:cs="Arial"/>
          <w:i/>
          <w:color w:val="0070C0"/>
          <w:sz w:val="20"/>
          <w:szCs w:val="20"/>
        </w:rPr>
        <w:t>(inserir apenas apresentações comercializadas)</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INTRAVENOSO E INDIVIDUALIZADO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ADULTO E PEDIÁTRICO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COMPOSIÇÃO:</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5,0 - 7,0</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AO PACIENTE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PARA QUE ESTE MEDICAMENTO É INDICADO?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lang w:val="pt-PT"/>
        </w:rPr>
      </w:pPr>
      <w:r w:rsidRPr="00943086">
        <w:rPr>
          <w:rFonts w:ascii="Arial" w:eastAsia="Times New Roman" w:hAnsi="Arial" w:cs="Arial"/>
          <w:sz w:val="20"/>
          <w:szCs w:val="20"/>
        </w:rPr>
        <w:t>Indicado na diluição ou dissolução de medicamentos compatíveis com a água para injeção.</w:t>
      </w:r>
    </w:p>
    <w:p w:rsidR="00277596" w:rsidRPr="00943086" w:rsidRDefault="00277596" w:rsidP="00A44880">
      <w:pPr>
        <w:spacing w:after="0" w:line="240" w:lineRule="auto"/>
        <w:jc w:val="both"/>
        <w:rPr>
          <w:rFonts w:ascii="Arial" w:eastAsia="Times New Roman" w:hAnsi="Arial" w:cs="Arial"/>
          <w:b/>
          <w:sz w:val="20"/>
          <w:szCs w:val="20"/>
          <w:lang w:val="pt-PT"/>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QUANDO NÃO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Devido à sua hipotonicidade, não deve ser administrada diretamente por via endovenosa.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3. O QUE DEVO SABER ANTES DE USAR ESTE MEDICAMENTO?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Água para injeção é fortemente hipotônica e sua administração na circulação sistêmica causa hemólise (destruição dos glóbulos vermelhos) e desordens eletrolíticas. Seu uso não é recomendável em procedimentos cirúrgicos.</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 idosos e em outros grupos de risco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Não há recomendações especiais para estes grupos de pacientes.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Devem ser avaliadas as características da compatibilidade dos outros medicamentos que serão diluídos ou solubilizados na água para injetáveis. Consultar um farmacêutico sempre que necessário.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ou cirurgião-dentista se você está fazendo uso de algum outro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sem o conhecimento do seu médico. Pode ser perigoso para a saúde.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4. ONDE, COMO E POR QUANTO TEMPO POSSO GUARDAR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água para injeção adicionada a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lastRenderedPageBreak/>
        <w:t xml:space="preserve">Número de lote e datas de fabricação e validade: vide embalagem. </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prazo de validade vencido. Guarde-o em sua embalagem original. Após aberto, usar imediatamente.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Aspecto: líquido límpido, hipotônico, estéril e apirogênico.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 Caso ele esteja no prazo de validade e você observe alguma mudança no aspecto, consulte o farmacêutico para saber se poderá utilizá-lo.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COMO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Conectar o equipo de infusão da solução. Consultar as instruções de uso do equipo;</w:t>
      </w:r>
    </w:p>
    <w:p w:rsidR="00277596" w:rsidRPr="00943086" w:rsidRDefault="00277596" w:rsidP="00A44880">
      <w:pPr>
        <w:numPr>
          <w:ilvl w:val="0"/>
          <w:numId w:val="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3"/>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3"/>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4"/>
        </w:numPr>
        <w:tabs>
          <w:tab w:val="num" w:pos="0"/>
        </w:tabs>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4"/>
        </w:numPr>
        <w:tabs>
          <w:tab w:val="num" w:pos="0"/>
        </w:tabs>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4"/>
        </w:numPr>
        <w:tabs>
          <w:tab w:val="num" w:pos="0"/>
        </w:tabs>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4"/>
        </w:numPr>
        <w:tabs>
          <w:tab w:val="num" w:pos="0"/>
        </w:tabs>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Siga a orientação de seu médico, respeitando sempre os horários, as doses e a duração do trata mento. Não interrompa o tratamento sem o conhecimento do seu médico.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O QUE DEVO FAZER QUANDO EU ME ESQUECER DE USAR ESTE MEDICAMENTO?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utilização deste medicamento ocorrerá em ambiente hospitalar, orientada e executada por profissionais especializados e não dependerá da conduta do paciente.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b/>
          <w:color w:val="0070C0"/>
          <w:sz w:val="20"/>
          <w:szCs w:val="20"/>
        </w:rPr>
        <w:t>Em caso de dúvidas, procure orientação do farmacêutico ou de seu médico ou cirurgião-dentista.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QUAIS OS MALES QUE ESTE MEDICAMENTO PODE ME CAUSAR?</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Devem ser avaliadas as reações adversas dos medicamentos que serão diluídos ou solubilizados na água de injeção.</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cirurgião-dentista ou farmacêutico o aparecimento de reações indesejáveis pelo uso do medicamento. Informe também à empresa através de seu serviço de atendimento.</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color w:val="000000"/>
          <w:sz w:val="20"/>
          <w:szCs w:val="20"/>
        </w:rPr>
      </w:pPr>
      <w:r w:rsidRPr="00943086">
        <w:rPr>
          <w:rFonts w:ascii="Arial" w:eastAsia="Times New Roman" w:hAnsi="Arial" w:cs="Arial"/>
          <w:b/>
          <w:color w:val="000000"/>
          <w:sz w:val="20"/>
          <w:szCs w:val="20"/>
        </w:rPr>
        <w:t>8. O QUE FAZER SE ALGUÉM USAR UMA DOSE MAIOR DO QUE A INDICADA DESTE</w:t>
      </w:r>
      <w:r w:rsidR="00C4118F">
        <w:rPr>
          <w:rFonts w:ascii="Arial" w:eastAsia="Times New Roman" w:hAnsi="Arial" w:cs="Arial"/>
          <w:b/>
          <w:color w:val="000000"/>
          <w:sz w:val="20"/>
          <w:szCs w:val="20"/>
        </w:rPr>
        <w:t xml:space="preserve"> </w:t>
      </w:r>
      <w:r w:rsidRPr="00943086">
        <w:rPr>
          <w:rFonts w:ascii="Arial" w:eastAsia="Times New Roman" w:hAnsi="Arial" w:cs="Arial"/>
          <w:b/>
          <w:color w:val="000000"/>
          <w:sz w:val="20"/>
          <w:szCs w:val="20"/>
        </w:rPr>
        <w:t>MEDICAMENTO?</w:t>
      </w:r>
    </w:p>
    <w:p w:rsidR="00277596" w:rsidRPr="00943086" w:rsidRDefault="00277596" w:rsidP="00A44880">
      <w:pPr>
        <w:shd w:val="clear" w:color="auto" w:fill="FFFFFF"/>
        <w:spacing w:after="0" w:line="240" w:lineRule="auto"/>
        <w:jc w:val="both"/>
        <w:rPr>
          <w:rFonts w:ascii="Arial" w:eastAsia="Times New Roman" w:hAnsi="Arial" w:cs="Arial"/>
          <w:b/>
          <w:color w:val="000000"/>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casos de absorção de grandes quantidades de fluido hipotônico, podem ocorrer super-hidratação e desordens eletrolíticas hipotônicas.</w:t>
      </w: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lastRenderedPageBreak/>
        <w:t>Em caso de uso de grande quantidade deste medicamento, procure rapidamente socorro médico e leve a embalagem ou bula do medicamento, se possível. Ligue para 0800 722 6001, se você precisar de mais orientações.</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TÉCNICAS AOS PROFISSIONAIS DE SAÚDE</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INDICAÇÕES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lang w:val="pt-PT"/>
        </w:rPr>
      </w:pPr>
      <w:r w:rsidRPr="00943086">
        <w:rPr>
          <w:rFonts w:ascii="Arial" w:eastAsia="Times New Roman" w:hAnsi="Arial" w:cs="Arial"/>
          <w:sz w:val="20"/>
          <w:szCs w:val="20"/>
        </w:rPr>
        <w:t>Indicado na diluição ou dissolução de medicamentos compatíveis com a água para injeção.</w:t>
      </w:r>
    </w:p>
    <w:p w:rsidR="00277596" w:rsidRPr="00943086" w:rsidRDefault="00277596" w:rsidP="00A44880">
      <w:pPr>
        <w:spacing w:after="0" w:line="240" w:lineRule="auto"/>
        <w:jc w:val="both"/>
        <w:rPr>
          <w:rFonts w:ascii="Arial" w:eastAsia="Times New Roman" w:hAnsi="Arial" w:cs="Arial"/>
          <w:b/>
          <w:sz w:val="20"/>
          <w:szCs w:val="20"/>
          <w:lang w:val="pt-PT"/>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CONTRAINDICAÇÕES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Devido à sua hipotonicidade, não deve ser administrada diretamente por via endovenosa.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3. ADVERTÊNCIAS E PRECAUÇÕES</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Água para injeção é fortemente hipotônica e sua administração na circulação sistêmica causa hemólise e desordens eletrolíticas. Seu uso não é recomendável em procedimentos cirúrgicos.</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Gravidez: categoria C</w:t>
      </w: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Uso pediátrico, geriátrico e em outros grupos de risco: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há recomendações especiais para estes grupos de pacientes.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4. INTERAÇÕES MEDICAMENTOSAS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Devem ser avaliadas as características da compatibilidade dos outros medicamentos que serão diluídos ou dissolvidos na água para injeção. Consultar um farmacêutico sempre que necessário.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CUIDADOS DE ARMAZENAMENTO DO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Líquido límpido, hipotônico, estéril e apirogênico.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POSOLOGIA E MODO DE USAR</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277596" w:rsidRPr="00943086" w:rsidRDefault="00277596" w:rsidP="00A44880">
      <w:pPr>
        <w:numPr>
          <w:ilvl w:val="0"/>
          <w:numId w:val="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6"/>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6"/>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lastRenderedPageBreak/>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REAÇÕES ADVERSAS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Devem ser avaliadas as reações adversas dos medicamentos que s</w:t>
      </w:r>
      <w:r w:rsidR="00C4118F">
        <w:rPr>
          <w:rFonts w:ascii="Arial" w:eastAsia="Times New Roman" w:hAnsi="Arial" w:cs="Arial"/>
          <w:sz w:val="20"/>
          <w:szCs w:val="20"/>
        </w:rPr>
        <w:t xml:space="preserve">erão diluídos ou solubilizados </w:t>
      </w:r>
      <w:r w:rsidRPr="00943086">
        <w:rPr>
          <w:rFonts w:ascii="Arial" w:eastAsia="Times New Roman" w:hAnsi="Arial" w:cs="Arial"/>
          <w:sz w:val="20"/>
          <w:szCs w:val="20"/>
        </w:rPr>
        <w:t>na água de injeção.</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color w:val="0070C0"/>
          <w:sz w:val="20"/>
          <w:szCs w:val="20"/>
        </w:rPr>
        <w:t xml:space="preserve">Em casos de eventos adversos, notifique ao Sistema de Notificações em Vigilância Sanitária - NOTIVISA, disponível em </w:t>
      </w:r>
      <w:hyperlink r:id="rId6" w:history="1">
        <w:r w:rsidRPr="00943086">
          <w:rPr>
            <w:rFonts w:ascii="Arial" w:eastAsia="Times New Roman" w:hAnsi="Arial" w:cs="Arial"/>
            <w:color w:val="0070C0"/>
            <w:sz w:val="20"/>
            <w:szCs w:val="20"/>
            <w:u w:val="single"/>
          </w:rPr>
          <w:t>http://www.anvisa.gov.br/hotsite/notivisa/index.htm</w:t>
        </w:r>
      </w:hyperlink>
      <w:r w:rsidRPr="00943086">
        <w:rPr>
          <w:rFonts w:ascii="Arial" w:eastAsia="Times New Roman" w:hAnsi="Arial" w:cs="Arial"/>
          <w:color w:val="0070C0"/>
          <w:sz w:val="20"/>
          <w:szCs w:val="20"/>
        </w:rPr>
        <w:t>, ou para a Vigilância Sanitária Estadual ou Municipal.</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8. S</w:t>
      </w:r>
      <w:r w:rsidRPr="00943086">
        <w:rPr>
          <w:rFonts w:ascii="Arial" w:eastAsia="Times New Roman" w:hAnsi="Arial" w:cs="Arial"/>
          <w:b/>
          <w:sz w:val="20"/>
          <w:szCs w:val="20"/>
        </w:rPr>
        <w:t>UPERDOSE</w:t>
      </w: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casos de absorção de grandes quantidades de fluido hipotônico, podem ocorrer super-hidratação e desordens eletrolíticas hipotônicas.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intoxicação ligue para 0800 722 6001, se você precisar de mais orientações.</w:t>
      </w:r>
    </w:p>
    <w:p w:rsidR="00277596" w:rsidRPr="00943086" w:rsidRDefault="00277596" w:rsidP="00A44880">
      <w:pPr>
        <w:spacing w:after="0" w:line="240" w:lineRule="auto"/>
        <w:rPr>
          <w:rFonts w:ascii="Arial" w:eastAsia="Times New Roman" w:hAnsi="Arial" w:cs="Arial"/>
          <w:b/>
          <w:sz w:val="20"/>
          <w:szCs w:val="20"/>
        </w:rPr>
      </w:pPr>
    </w:p>
    <w:p w:rsidR="00C4118F" w:rsidRPr="00943086" w:rsidRDefault="00C4118F" w:rsidP="00A44880">
      <w:pPr>
        <w:spacing w:after="0" w:line="240" w:lineRule="auto"/>
        <w:rPr>
          <w:rFonts w:ascii="Arial" w:eastAsia="Times New Roman" w:hAnsi="Arial" w:cs="Arial"/>
          <w:b/>
          <w:color w:val="0070C0"/>
          <w:sz w:val="20"/>
          <w:szCs w:val="20"/>
        </w:rPr>
      </w:pPr>
      <w:r>
        <w:rPr>
          <w:rFonts w:ascii="Arial" w:eastAsia="Times New Roman" w:hAnsi="Arial" w:cs="Arial"/>
          <w:b/>
          <w:color w:val="0070C0"/>
          <w:sz w:val="20"/>
          <w:szCs w:val="20"/>
        </w:rPr>
        <w:t>DIZERES LEGAIS</w:t>
      </w:r>
    </w:p>
    <w:p w:rsidR="00C4118F" w:rsidRDefault="00C4118F"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M.S. nº: X.XXXX.XXXX.XXX-X</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Responsável Técnico: XXXXXX CRF/XX:</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Fabricado por: </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Nome completo e Endereço do Fabricante </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Registrado por:</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Nome completo e Endereço do Titular do registro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Cadastro Nacional de Pessoa Jurídica, CNPJ.</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Indústria Brasileira </w:t>
      </w:r>
      <w:r w:rsidRPr="00943086">
        <w:rPr>
          <w:rFonts w:ascii="Arial" w:eastAsia="Times New Roman" w:hAnsi="Arial" w:cs="Arial"/>
          <w:i/>
          <w:color w:val="0070C0"/>
          <w:sz w:val="20"/>
          <w:szCs w:val="20"/>
        </w:rPr>
        <w:t>(se for o caso).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Telefone do Serviço de Atendimento ao Consumidor da empresa – SAC</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Uso restrito a hospitais.</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Venda sob prescrição médica.</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Venda proibida ao comércio </w:t>
      </w:r>
      <w:r w:rsidRPr="00943086">
        <w:rPr>
          <w:rFonts w:ascii="Arial" w:eastAsia="Times New Roman" w:hAnsi="Arial" w:cs="Arial"/>
          <w:i/>
          <w:color w:val="0070C0"/>
          <w:sz w:val="20"/>
          <w:szCs w:val="20"/>
        </w:rPr>
        <w:t>(somente para os medicamentos com destinação institucional).</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Esta bula foi atualizada conforme Bula Padrão aprovada pela Anvisa em dia/mês/ano.</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noProof/>
          <w:color w:val="0070C0"/>
          <w:sz w:val="20"/>
          <w:szCs w:val="20"/>
        </w:rPr>
        <w:drawing>
          <wp:inline distT="0" distB="0" distL="0" distR="0" wp14:anchorId="47CBC737" wp14:editId="6FA66849">
            <wp:extent cx="368300" cy="3619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277596" w:rsidRPr="00943086" w:rsidRDefault="00277596" w:rsidP="00A44880">
      <w:pPr>
        <w:spacing w:after="0" w:line="240" w:lineRule="auto"/>
        <w:rPr>
          <w:rFonts w:ascii="Arial" w:eastAsia="Times New Roman" w:hAnsi="Arial" w:cs="Arial"/>
          <w:b/>
          <w:sz w:val="20"/>
          <w:szCs w:val="20"/>
        </w:rPr>
      </w:pPr>
    </w:p>
    <w:p w:rsidR="004962A5" w:rsidRDefault="004962A5">
      <w:pPr>
        <w:rPr>
          <w:rFonts w:ascii="Arial" w:hAnsi="Arial" w:cs="Arial"/>
          <w:b/>
          <w:color w:val="000000"/>
          <w:sz w:val="20"/>
          <w:szCs w:val="20"/>
          <w:u w:val="single"/>
        </w:rPr>
      </w:pPr>
      <w:r>
        <w:rPr>
          <w:rFonts w:ascii="Arial" w:hAnsi="Arial" w:cs="Arial"/>
          <w:b/>
          <w:color w:val="000000"/>
          <w:sz w:val="20"/>
          <w:szCs w:val="20"/>
          <w:u w:val="single"/>
        </w:rPr>
        <w:br w:type="page"/>
      </w:r>
    </w:p>
    <w:p w:rsidR="00277596" w:rsidRPr="00C4118F" w:rsidRDefault="007A1948" w:rsidP="00A44880">
      <w:pPr>
        <w:autoSpaceDE w:val="0"/>
        <w:autoSpaceDN w:val="0"/>
        <w:adjustRightInd w:val="0"/>
        <w:spacing w:after="0" w:line="240" w:lineRule="auto"/>
        <w:jc w:val="both"/>
        <w:rPr>
          <w:rFonts w:ascii="Arial" w:hAnsi="Arial" w:cs="Arial"/>
          <w:b/>
          <w:color w:val="000000"/>
          <w:sz w:val="20"/>
          <w:szCs w:val="20"/>
          <w:u w:val="single"/>
        </w:rPr>
      </w:pPr>
      <w:r w:rsidRPr="00C4118F">
        <w:rPr>
          <w:rFonts w:ascii="Arial" w:hAnsi="Arial" w:cs="Arial"/>
          <w:b/>
          <w:color w:val="000000"/>
          <w:sz w:val="20"/>
          <w:szCs w:val="20"/>
          <w:u w:val="single"/>
        </w:rPr>
        <w:lastRenderedPageBreak/>
        <w:t xml:space="preserve">SOLUÇÃO DE </w:t>
      </w:r>
      <w:r w:rsidR="00277596" w:rsidRPr="00C4118F">
        <w:rPr>
          <w:rFonts w:ascii="Arial" w:hAnsi="Arial" w:cs="Arial"/>
          <w:b/>
          <w:color w:val="000000"/>
          <w:sz w:val="20"/>
          <w:szCs w:val="20"/>
          <w:u w:val="single"/>
        </w:rPr>
        <w:t>CLORETO DE SÓDIO 0,9 %</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277596" w:rsidRPr="00943086" w:rsidRDefault="00277596" w:rsidP="00A44880">
      <w:pPr>
        <w:spacing w:after="0" w:line="240" w:lineRule="auto"/>
        <w:rPr>
          <w:rFonts w:ascii="Arial" w:eastAsia="Times New Roman" w:hAnsi="Arial" w:cs="Arial"/>
          <w:b/>
          <w:color w:val="FF0000"/>
          <w:sz w:val="20"/>
          <w:szCs w:val="20"/>
        </w:rPr>
      </w:pPr>
      <w:r w:rsidRPr="00943086">
        <w:rPr>
          <w:rFonts w:ascii="Arial" w:eastAsia="Times New Roman" w:hAnsi="Arial" w:cs="Arial"/>
          <w:b/>
          <w:color w:val="FF0000"/>
          <w:sz w:val="20"/>
          <w:szCs w:val="20"/>
        </w:rPr>
        <w:t>NOME DO PRODUTO</w:t>
      </w: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 xml:space="preserve">SOLUÇÃO FISIOLÓGICA </w:t>
      </w:r>
    </w:p>
    <w:p w:rsidR="00277596" w:rsidRPr="00943086" w:rsidRDefault="00277596" w:rsidP="00A44880">
      <w:pPr>
        <w:spacing w:after="0" w:line="240" w:lineRule="auto"/>
        <w:rPr>
          <w:rFonts w:ascii="Arial" w:eastAsia="Times New Roman" w:hAnsi="Arial" w:cs="Arial"/>
          <w:b/>
          <w:sz w:val="20"/>
          <w:szCs w:val="20"/>
          <w:u w:color="FF0000"/>
        </w:rPr>
      </w:pPr>
      <w:r w:rsidRPr="00943086">
        <w:rPr>
          <w:rFonts w:ascii="Arial" w:eastAsia="Times New Roman" w:hAnsi="Arial" w:cs="Arial"/>
          <w:b/>
          <w:sz w:val="20"/>
          <w:szCs w:val="20"/>
        </w:rPr>
        <w:t xml:space="preserve">Cloreto de sódio 0,9% </w:t>
      </w:r>
    </w:p>
    <w:p w:rsidR="00277596" w:rsidRPr="00943086" w:rsidRDefault="00277596" w:rsidP="00A44880">
      <w:pPr>
        <w:spacing w:after="0" w:line="240" w:lineRule="auto"/>
        <w:rPr>
          <w:rFonts w:ascii="Arial" w:eastAsia="Times New Roman" w:hAnsi="Arial" w:cs="Arial"/>
          <w:b/>
          <w:sz w:val="20"/>
          <w:szCs w:val="20"/>
          <w:u w:val="single"/>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APRESENTAÇÃO</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Solução injetável, límpida, estéril e apirogênica.</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Apresentações: Frascos, ampolas e bolsas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mL.</w:t>
      </w:r>
    </w:p>
    <w:p w:rsidR="00277596" w:rsidRPr="00943086" w:rsidRDefault="00277596" w:rsidP="00A44880">
      <w:pPr>
        <w:spacing w:after="0" w:line="240" w:lineRule="auto"/>
        <w:rPr>
          <w:rFonts w:ascii="Arial" w:eastAsia="Times New Roman" w:hAnsi="Arial" w:cs="Arial"/>
          <w:i/>
          <w:color w:val="808080"/>
          <w:sz w:val="20"/>
          <w:szCs w:val="20"/>
        </w:rPr>
      </w:pPr>
      <w:r w:rsidRPr="00943086">
        <w:rPr>
          <w:rFonts w:ascii="Arial" w:eastAsia="Times New Roman" w:hAnsi="Arial" w:cs="Arial"/>
          <w:i/>
          <w:color w:val="808080"/>
          <w:sz w:val="20"/>
          <w:szCs w:val="20"/>
        </w:rPr>
        <w:t>(inserir apenas apresentações comercializadas)</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INTRAVENOSO E INDIVIDUALIZADO</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ADULTO E PEDIÁTRICO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COMPOSIÇÃO:</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Cada mL da solução contém:</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sódio- NaCl</w:t>
      </w:r>
      <w:r w:rsidRPr="00943086">
        <w:rPr>
          <w:rFonts w:ascii="Arial" w:eastAsia="Times New Roman" w:hAnsi="Arial" w:cs="Arial"/>
          <w:sz w:val="20"/>
          <w:szCs w:val="20"/>
        </w:rPr>
        <w:tab/>
        <w:t>9 mg</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Conteúdo eletrolítico</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Sódio (Na</w:t>
      </w:r>
      <w:r w:rsidRPr="00943086">
        <w:rPr>
          <w:rFonts w:ascii="Arial" w:eastAsia="Times New Roman" w:hAnsi="Arial" w:cs="Arial"/>
          <w:sz w:val="20"/>
          <w:szCs w:val="20"/>
          <w:vertAlign w:val="superscript"/>
        </w:rPr>
        <w:t>+</w:t>
      </w:r>
      <w:r w:rsidRPr="00943086">
        <w:rPr>
          <w:rFonts w:ascii="Arial" w:eastAsia="Times New Roman" w:hAnsi="Arial" w:cs="Arial"/>
          <w:sz w:val="20"/>
          <w:szCs w:val="20"/>
        </w:rPr>
        <w:t>)</w:t>
      </w:r>
      <w:r w:rsidRPr="00943086">
        <w:rPr>
          <w:rFonts w:ascii="Arial" w:eastAsia="Times New Roman" w:hAnsi="Arial" w:cs="Arial"/>
          <w:sz w:val="20"/>
          <w:szCs w:val="20"/>
        </w:rPr>
        <w:tab/>
        <w:t>154 mEq/L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(Cl</w:t>
      </w:r>
      <w:r w:rsidRPr="00943086">
        <w:rPr>
          <w:rFonts w:ascii="Arial" w:eastAsia="Times New Roman" w:hAnsi="Arial" w:cs="Arial"/>
          <w:sz w:val="20"/>
          <w:szCs w:val="20"/>
          <w:vertAlign w:val="superscript"/>
        </w:rPr>
        <w:t>-</w:t>
      </w:r>
      <w:r w:rsidRPr="00943086">
        <w:rPr>
          <w:rFonts w:ascii="Arial" w:eastAsia="Times New Roman" w:hAnsi="Arial" w:cs="Arial"/>
          <w:sz w:val="20"/>
          <w:szCs w:val="20"/>
        </w:rPr>
        <w:t>)</w:t>
      </w:r>
      <w:r w:rsidRPr="00943086">
        <w:rPr>
          <w:rFonts w:ascii="Arial" w:eastAsia="Times New Roman" w:hAnsi="Arial" w:cs="Arial"/>
          <w:sz w:val="20"/>
          <w:szCs w:val="20"/>
        </w:rPr>
        <w:tab/>
        <w:t>154 mEq/L</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OSMOLARIDADE:</w:t>
      </w:r>
      <w:r w:rsidRPr="00943086">
        <w:rPr>
          <w:rFonts w:ascii="Arial" w:eastAsia="Times New Roman" w:hAnsi="Arial" w:cs="Arial"/>
          <w:sz w:val="20"/>
          <w:szCs w:val="20"/>
        </w:rPr>
        <w:tab/>
        <w:t>308 mOsm/L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4,5 – 7,0</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AO PACIENTE</w:t>
      </w:r>
    </w:p>
    <w:p w:rsidR="00C4118F" w:rsidRPr="00943086" w:rsidRDefault="00C4118F"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PARA QUE ESTE MEDICAMENTO É INDICADO?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injetável de cloreto de sódio 0,9% é utilizada para o restabelecimento de fluido e eletrólitos. A solução também e utilizada como repositora de água e eletrólitos em caso de alcalose metabólica </w:t>
      </w:r>
      <w:r w:rsidRPr="00943086">
        <w:rPr>
          <w:rFonts w:ascii="Arial" w:eastAsia="Times New Roman" w:hAnsi="Arial" w:cs="Arial"/>
          <w:color w:val="0070C0"/>
          <w:sz w:val="20"/>
          <w:szCs w:val="20"/>
        </w:rPr>
        <w:t xml:space="preserve">(aumento do pH do sangue) </w:t>
      </w:r>
      <w:r w:rsidRPr="00943086">
        <w:rPr>
          <w:rFonts w:ascii="Arial" w:eastAsia="Times New Roman" w:hAnsi="Arial" w:cs="Arial"/>
          <w:sz w:val="20"/>
          <w:szCs w:val="20"/>
        </w:rPr>
        <w:t>de grau moderado, em carência de sódio e como diluente para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COMO ESTE MEDICAMENTO FUNCIONA?</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sódio é o principal cátion e o cloreto o principal ânion do fluido extracelular. Estes íons são importantes para diversos processos fisiológicos, entre eles o funcionamento adequado do sistema nervoso central, do coração e dos rins.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QUANDO NÃO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cloreto de sódio 0,9% é contraindicada nos casos de hipernatremia</w:t>
      </w:r>
      <w:r w:rsidRPr="00943086">
        <w:rPr>
          <w:rFonts w:ascii="Arial" w:eastAsia="Times New Roman" w:hAnsi="Arial" w:cs="Arial"/>
          <w:color w:val="0070C0"/>
          <w:sz w:val="20"/>
          <w:szCs w:val="20"/>
        </w:rPr>
        <w:t>(alta concentração de sódio no sangue)</w:t>
      </w:r>
      <w:r w:rsidRPr="00943086">
        <w:rPr>
          <w:rFonts w:ascii="Arial" w:eastAsia="Times New Roman" w:hAnsi="Arial" w:cs="Arial"/>
          <w:sz w:val="20"/>
          <w:szCs w:val="20"/>
        </w:rPr>
        <w:t>, retenção de água e hipercloremia</w:t>
      </w:r>
      <w:r w:rsidRPr="00943086">
        <w:rPr>
          <w:rFonts w:ascii="Arial" w:eastAsia="Times New Roman" w:hAnsi="Arial" w:cs="Arial"/>
          <w:color w:val="0070C0"/>
          <w:sz w:val="20"/>
          <w:szCs w:val="20"/>
        </w:rPr>
        <w:t>(alta concentração de cloro no sangue)</w:t>
      </w:r>
      <w:r w:rsidRPr="00943086">
        <w:rPr>
          <w:rFonts w:ascii="Arial" w:eastAsia="Times New Roman" w:hAnsi="Arial" w:cs="Arial"/>
          <w:sz w:val="20"/>
          <w:szCs w:val="20"/>
        </w:rPr>
        <w:t>.</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4. O QUE DEVO SABER ANTES DE USAR ESTE MEDICAMENTO?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injetável de cloreto de sódio 0,9% deve ser usada com cautela em pacientes com pressão alta, com insuficiência cardíaca congestiva e pré-eclâmpsia, insuficiência renal grave </w:t>
      </w:r>
      <w:r w:rsidRPr="00943086">
        <w:rPr>
          <w:rFonts w:ascii="Arial" w:eastAsia="Times New Roman" w:hAnsi="Arial" w:cs="Arial"/>
          <w:color w:val="0070C0"/>
          <w:sz w:val="20"/>
          <w:szCs w:val="20"/>
        </w:rPr>
        <w:t>(problemas de rins)</w:t>
      </w:r>
      <w:r w:rsidRPr="00943086">
        <w:rPr>
          <w:rFonts w:ascii="Arial" w:eastAsia="Times New Roman" w:hAnsi="Arial" w:cs="Arial"/>
          <w:sz w:val="20"/>
          <w:szCs w:val="20"/>
        </w:rPr>
        <w:t>, edema pulmonar e obstrução do trato urinário.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Avaliações clínicas e determinações laboratoriais periódicas são necessárias para monitorar mudanças no balanço de fluido, concentrações eletrolíticas e balanço ácido-base durante a terapia parenteral prolongada, ou sempre que a condição do paciente demonstrar necessidade de tais avaliações.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 xml:space="preserve">Devem ser tomados cuidados na administração de solução injetável de cloreto de sódio em pacientes recebendo </w:t>
      </w:r>
      <w:r w:rsidR="00A44880" w:rsidRPr="00943086">
        <w:rPr>
          <w:rFonts w:ascii="Arial" w:eastAsia="Times New Roman" w:hAnsi="Arial" w:cs="Arial"/>
          <w:sz w:val="20"/>
          <w:szCs w:val="20"/>
        </w:rPr>
        <w:t>corticosteroides</w:t>
      </w:r>
      <w:r w:rsidRPr="00943086">
        <w:rPr>
          <w:rFonts w:ascii="Arial" w:eastAsia="Times New Roman" w:hAnsi="Arial" w:cs="Arial"/>
          <w:sz w:val="20"/>
          <w:szCs w:val="20"/>
        </w:rPr>
        <w:t xml:space="preserve">, corticotropina ou medicamentos que possam causar retenção de sódio.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bookmarkStart w:id="0" w:name="N405B8"/>
      <w:bookmarkEnd w:id="0"/>
      <w:r w:rsidRPr="00943086">
        <w:rPr>
          <w:rFonts w:ascii="Arial" w:eastAsia="Times New Roman" w:hAnsi="Arial" w:cs="Arial"/>
          <w:b/>
          <w:sz w:val="20"/>
          <w:szCs w:val="20"/>
        </w:rPr>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 idosos e em outros grupos de risco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u w:val="single"/>
        </w:rPr>
      </w:pPr>
      <w:r w:rsidRPr="00943086">
        <w:rPr>
          <w:rFonts w:ascii="Arial" w:eastAsia="Times New Roman" w:hAnsi="Arial" w:cs="Arial"/>
          <w:sz w:val="20"/>
          <w:szCs w:val="20"/>
        </w:rPr>
        <w:t>No caso da administração de soluções parenterais de grande volume em pacientes idosos, pode ser necessário reduzir o volume e a velocidade de infusão, para evitar a sobrecarga circulatória, especialmente em pacientes com insuficiência cardíaca e renal (problemas de coração e nos rins).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Interações medicamentosas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Devem ser avaliadas as características da compatibilidade dos outros medicamentos que serão diluídos ou dissolvidos na solução de cloreto de sódio 0,9%. Há incompatibilidade desta solução com anfotericina B, ocorrendo precipitação desta substância e com o glucagon. Consultar um farmacêutico sempre que necessário.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ou cirurgião-dentista se você está fazendo uso de algum outro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sem o conhecimento do seu médico. Pode ser perigoso para a sua saúde.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ONDE, COMO E POR QUANTO TEMPO POSSO GUARDAR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prazo de validade vencido. Guarde-o em sua embalagem original.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Devem ser avaliadas as características da compatibilidade dos outros medicamentos que serão diluídos ou solubilizados na solução de cloreto de sódio 0,9%.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Há incompatibilidade desta solução com anfotericina B, ocorrendo precipitação desta substância e com o glucagon.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Após preparo, a solução fisiológica deve ser utilizada imediatamente. Não devem ser armazenadas soluções parenterais adicionadas de medicamentos.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Aspecto: solução injetável, límpida, estéril e apirogênica.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Antes de usar, observe o aspecto do medicamento. Caso ele esteja no prazo de validade e você observe alguma mudança no aspecto, consulte o farmacêutico para saber se poderá utilizá-lo. </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COMO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277596" w:rsidRPr="00943086" w:rsidRDefault="00277596" w:rsidP="00A44880">
      <w:pPr>
        <w:numPr>
          <w:ilvl w:val="0"/>
          <w:numId w:val="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9"/>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lastRenderedPageBreak/>
        <w:t>Misturar o medicamento completamente na solução parenteral.</w:t>
      </w:r>
    </w:p>
    <w:p w:rsidR="00277596" w:rsidRPr="00943086" w:rsidRDefault="00277596" w:rsidP="00A44880">
      <w:pPr>
        <w:numPr>
          <w:ilvl w:val="0"/>
          <w:numId w:val="9"/>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1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1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1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t>Posologia</w:t>
      </w:r>
    </w:p>
    <w:p w:rsidR="00277596" w:rsidRPr="00943086" w:rsidRDefault="00277596" w:rsidP="00A44880">
      <w:pPr>
        <w:spacing w:after="0" w:line="240" w:lineRule="auto"/>
        <w:jc w:val="both"/>
        <w:rPr>
          <w:rFonts w:ascii="Arial" w:eastAsia="Times New Roman" w:hAnsi="Arial" w:cs="Arial"/>
          <w:color w:val="000000"/>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277596" w:rsidRPr="00943086" w:rsidRDefault="00277596" w:rsidP="00A44880">
      <w:pPr>
        <w:spacing w:after="0" w:line="240" w:lineRule="auto"/>
        <w:jc w:val="both"/>
        <w:rPr>
          <w:rFonts w:ascii="Arial" w:eastAsia="Times New Roman" w:hAnsi="Arial" w:cs="Arial"/>
          <w:color w:val="000000"/>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A dosagem deve ser adaptada de acordo com as necessidades de líquidos e eletrólitos de cada paciente.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Siga a orientação de seu médico, respeitando sempre os horários, as doses e a duração do tratamento. Não interrompa o tratamento sem o conhecimento do seu médico.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O QUE FAZER QUANDO EU ME ESQUECER DE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utilização deste medicamento ocorrerá em ambiente hospitalar, orientada e executada por profissionais especializados e não dependerá da conduta do paciente.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dúvidas, procure orientação do farmacêutico ou de seu médico, ou cirurgião-dentista.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8. QUAIS SÃO OS MALES QUE ESTE MEDICAMENTO PODE ME CAUSAR?</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Caso o medicamento não seja utilizado de forma correta, pode ocorrer febre, infecção no ponto de injeção, trombose venosa ou flebite (inflamação) no local de injeção, </w:t>
      </w:r>
      <w:r w:rsidR="00A44880" w:rsidRPr="00943086">
        <w:rPr>
          <w:rFonts w:ascii="Arial" w:eastAsia="Times New Roman" w:hAnsi="Arial" w:cs="Arial"/>
          <w:sz w:val="20"/>
          <w:szCs w:val="20"/>
        </w:rPr>
        <w:t>extravasamento</w:t>
      </w:r>
      <w:r w:rsidRPr="00943086">
        <w:rPr>
          <w:rFonts w:ascii="Arial" w:eastAsia="Times New Roman" w:hAnsi="Arial" w:cs="Arial"/>
          <w:sz w:val="20"/>
          <w:szCs w:val="20"/>
        </w:rPr>
        <w:t xml:space="preserve"> e hipervolemia (sobrecarga de líquido).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As reações adversas gerais incluem náuseas, vômito, </w:t>
      </w:r>
      <w:r w:rsidR="00A44880" w:rsidRPr="00943086">
        <w:rPr>
          <w:rFonts w:ascii="Arial" w:eastAsia="Times New Roman" w:hAnsi="Arial" w:cs="Arial"/>
          <w:sz w:val="20"/>
          <w:szCs w:val="20"/>
        </w:rPr>
        <w:t>diarreia</w:t>
      </w:r>
      <w:r w:rsidRPr="00943086">
        <w:rPr>
          <w:rFonts w:ascii="Arial" w:eastAsia="Times New Roman" w:hAnsi="Arial" w:cs="Arial"/>
          <w:sz w:val="20"/>
          <w:szCs w:val="20"/>
        </w:rPr>
        <w:t>, cólicas abdominais, redução das lágrimas, taquicardia, pressão alta, falência renal e edema pulmonar.</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pacientes com ingestão inadequada de água, o excesso de sódio no sangue pode causar sintomas respiratórios como edema pulmonar, embolia ou pneumonia.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cirurgião-dentista ou farmacêutico o aparecimento de reações indesejáveis pelo uso do medicamento. Informe também à empresa através do seu serviço de atendimento.</w:t>
      </w:r>
    </w:p>
    <w:p w:rsidR="00277596" w:rsidRPr="00943086" w:rsidRDefault="00277596" w:rsidP="00A44880">
      <w:pPr>
        <w:spacing w:after="0" w:line="240" w:lineRule="auto"/>
        <w:jc w:val="both"/>
        <w:rPr>
          <w:rFonts w:ascii="Arial" w:eastAsia="Times New Roman" w:hAnsi="Arial" w:cs="Arial"/>
          <w:b/>
          <w:sz w:val="20"/>
          <w:szCs w:val="20"/>
          <w:u w:val="single"/>
        </w:rPr>
      </w:pP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O QUE FAZER SE ALGUÉM USAR UMA QUANTIDADE MAIOR DO QUE A INDICADA DESTE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infusão de grandes volumes pode ocasionar sobrecarga hídrica (hiper-hidratação) e alteração no balanço eletrolítico (aumento no teor de sódio e cloro no sangue,  hiperosmolaridade e efeitos acidificantes).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Nestes casos, instalar uma terapia de apoio e interromper a administração da solução parenteral, podendo haver a necessidade da administração de diuréticos e/ou diálise, caso haja comprometimento renal significativo.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Em pacientes com aumento moderado nos níveis de sódio, ofertar água via oral e restringir a ingestão de sódio.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color w:val="0070C0"/>
          <w:sz w:val="20"/>
          <w:szCs w:val="20"/>
        </w:rPr>
      </w:pPr>
      <w:r w:rsidRPr="00943086">
        <w:rPr>
          <w:rFonts w:ascii="Arial" w:eastAsia="Times New Roman" w:hAnsi="Arial" w:cs="Arial"/>
          <w:b/>
          <w:color w:val="0070C0"/>
          <w:sz w:val="20"/>
          <w:szCs w:val="20"/>
        </w:rPr>
        <w:t>Em caso de uso de grande quantidade deste medicamento, procure rapidamente socorro médico e leve a embalagem ou bula do medicamento, se possível. Ligue para 0800 722 6001, se você precisar de mais orientações.</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TÉCNICAS AOS PROFISSIONAIS DE SAÚDE</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1. INDICAÇÕES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injetável de cloreto de sódio 0,9% é utilizada para o restabelecimento de fluido e eletrólitos. A solução também é utilizada como repositora de água e eletrólitos em caso de alcalose metabólica de grau moderado, em carência de sódio e como diluente para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2. CARACTERÍSTICAS FARMACOLÓGICAS </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sódio é o principal cátion e o cloreto o principal ânion do fluido extracelular.</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Os níveis de sódio normalmente determinam o volume do fluido extracelular e ele é um importante regulador da osmolaridade, do equilíbrio ácido-base e auxilia na estabilização do potencial de membrana das células.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Os íons de sódio circulam através da membrana celular por meio de vários mecanismos de transporte, dentre eles a bomba de sódio (Na - K - ATPase). O sódio também desempenha importante papel na neurotransmissão, na eletrofisiologia cardíaca e no metabolismo renal.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excesso de sódio é excretado principalmente pelo rim, pequenas porções pelas fezes e através da sudorese. O cloreto de sódio 0,9% e fundamental para manter o equilíbrio sódio potássio e contribuir para a recuperação da manutenção da volemia.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CONTRAINDICAÇÕES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cloreto de sódio 0,9% é contraindicada em casos de hipernatremia, retenção hídrica e hipercloremia.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4. ADVERTÊNCIAS E PRECAUÇÕES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injetável de cloreto de sódio 0,9% deve ser usada com cautela em pacientes hipertensos, com insuficiência cardíaca congestiva e pré-eclâmpsia, insuficiência renal grave, edema pulmonar, e obstrução do trato urinário.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Avaliações clínicas e determinações laboratoriais periódicas são necessárias para monitorar mudanças no balanço de fluido, concentrações eletrolíticas e balanço ácido-base durante a terapia parenteral prolongada, ou sempre que a condição do paciente demonstrar necessidade de tais avaliações.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Devem ser tomados cuidados na administração de solução injetável de cloreto de sódio em pacientes recebendo </w:t>
      </w:r>
      <w:r w:rsidR="00A44880" w:rsidRPr="00943086">
        <w:rPr>
          <w:rFonts w:ascii="Arial" w:eastAsia="Times New Roman" w:hAnsi="Arial" w:cs="Arial"/>
          <w:sz w:val="20"/>
          <w:szCs w:val="20"/>
        </w:rPr>
        <w:t>corticosteroides</w:t>
      </w:r>
      <w:r w:rsidRPr="00943086">
        <w:rPr>
          <w:rFonts w:ascii="Arial" w:eastAsia="Times New Roman" w:hAnsi="Arial" w:cs="Arial"/>
          <w:sz w:val="20"/>
          <w:szCs w:val="20"/>
        </w:rPr>
        <w:t xml:space="preserve">, corticotropina ou medicamentos que possam causar retenção de sódio.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 xml:space="preserve">Gravidez: Categoria C. </w:t>
      </w:r>
      <w:r w:rsidRPr="00943086">
        <w:rPr>
          <w:rFonts w:ascii="Arial" w:eastAsia="Times New Roman" w:hAnsi="Arial" w:cs="Arial"/>
          <w:sz w:val="20"/>
          <w:szCs w:val="20"/>
        </w:rPr>
        <w:t>Estudos da reprodução animal não demonstram que as soluções injetáveis de cloreto de sódio 0,9% possam interferir no desenvolvimento fetal, durante a lactação e amamentação.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lastRenderedPageBreak/>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 geriátrico e em outros grupos de risco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u w:val="single"/>
        </w:rPr>
      </w:pPr>
      <w:r w:rsidRPr="00943086">
        <w:rPr>
          <w:rFonts w:ascii="Arial" w:eastAsia="Times New Roman" w:hAnsi="Arial" w:cs="Arial"/>
          <w:sz w:val="20"/>
          <w:szCs w:val="20"/>
        </w:rPr>
        <w:t>No caso da administração de soluções parenterais de grande volume, em pacientes idosos, pode ser necessário reduzir volume e a velocidade de infusão, para evitar a sobrecarga circulatória, especialmente em pacientes com insuficiência cardíaca e renal.</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INTERAÇÕES MEDICAMENTOSAS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Devem ser avaliadas as características da compatibilidade dos outros medicamentos que serão diluídos ou dissolvidos na solução de cloreto de sódio 0,9%. Há </w:t>
      </w:r>
      <w:r w:rsidR="00A44880" w:rsidRPr="00943086">
        <w:rPr>
          <w:rFonts w:ascii="Arial" w:eastAsia="Times New Roman" w:hAnsi="Arial" w:cs="Arial"/>
          <w:sz w:val="20"/>
          <w:szCs w:val="20"/>
        </w:rPr>
        <w:t>incompatibilidade</w:t>
      </w:r>
      <w:r w:rsidRPr="00943086">
        <w:rPr>
          <w:rFonts w:ascii="Arial" w:eastAsia="Times New Roman" w:hAnsi="Arial" w:cs="Arial"/>
          <w:sz w:val="20"/>
          <w:szCs w:val="20"/>
        </w:rPr>
        <w:t xml:space="preserve"> desta solução com anfotericina B, ocorrendo precipitação desta substância e com o glucagon. Consultar um farmacêutico sempre que necessário.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6. CUIDADOS DE ARMAZENAMENTO DO MEDICAMENTO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Prazo de validade: XX 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Solução injetável, límpida, estéril e apirogênica.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POSOLOGIA E MODO DE USAR</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1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1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1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277596" w:rsidRPr="00943086" w:rsidRDefault="00277596" w:rsidP="00A44880">
      <w:pPr>
        <w:numPr>
          <w:ilvl w:val="0"/>
          <w:numId w:val="1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1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12"/>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2"/>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1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1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1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t>Posologia</w:t>
      </w:r>
    </w:p>
    <w:p w:rsidR="00277596" w:rsidRPr="00943086" w:rsidRDefault="00277596" w:rsidP="00A44880">
      <w:pPr>
        <w:spacing w:after="0" w:line="240" w:lineRule="auto"/>
        <w:jc w:val="both"/>
        <w:rPr>
          <w:rFonts w:ascii="Arial" w:eastAsia="Times New Roman" w:hAnsi="Arial" w:cs="Arial"/>
          <w:color w:val="000000"/>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lastRenderedPageBreak/>
        <w:t>O preparo e administração da Solução Parenteral devem obedecer à prescrição, precedida de criteriosa avaliação, pelo farmacêutico, da compatibilidade físico-química e da interação medicamentosa que possam ocorrer entre os seus componentes.</w:t>
      </w:r>
    </w:p>
    <w:p w:rsidR="00277596" w:rsidRPr="00943086" w:rsidRDefault="00277596" w:rsidP="00A44880">
      <w:pPr>
        <w:spacing w:after="0" w:line="240" w:lineRule="auto"/>
        <w:jc w:val="both"/>
        <w:rPr>
          <w:rFonts w:ascii="Arial" w:eastAsia="Times New Roman" w:hAnsi="Arial" w:cs="Arial"/>
          <w:color w:val="000000"/>
          <w:sz w:val="20"/>
          <w:szCs w:val="20"/>
        </w:rPr>
      </w:pPr>
    </w:p>
    <w:p w:rsidR="00277596" w:rsidRPr="00943086" w:rsidRDefault="00277596" w:rsidP="00A44880">
      <w:pPr>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A dosagem deve ser adaptada de acordo com as necessidades de líquidos e eletrólitos de cada paciente.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8. REAÇÕES ADVERSAS</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Caso o medicamento não seja utilizado de forma correta, reações adversas podem ocorrer e incluem resposta febril, infecção no ponto de injeção, trombose venosa ou flebite estendida no local de injeção, </w:t>
      </w:r>
      <w:r w:rsidR="00A44880" w:rsidRPr="00943086">
        <w:rPr>
          <w:rFonts w:ascii="Arial" w:eastAsia="Times New Roman" w:hAnsi="Arial" w:cs="Arial"/>
          <w:sz w:val="20"/>
          <w:szCs w:val="20"/>
        </w:rPr>
        <w:t>extravasamento</w:t>
      </w:r>
      <w:r w:rsidRPr="00943086">
        <w:rPr>
          <w:rFonts w:ascii="Arial" w:eastAsia="Times New Roman" w:hAnsi="Arial" w:cs="Arial"/>
          <w:sz w:val="20"/>
          <w:szCs w:val="20"/>
        </w:rPr>
        <w:t xml:space="preserve"> e hipervolemia.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reações adversas gerais incluem náuseas, vômito, diarreia, cólicas abdominais, redução da lacrimação, taquicardia, hipertensão, falência renal e edema pulmonar.</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pacientes com ingestão inadequada de água a hipernatremia pode causar sintomas respiratórios como edema pulmonar, embolia ou pneumonia.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color w:val="0070C0"/>
          <w:sz w:val="20"/>
          <w:szCs w:val="20"/>
        </w:rPr>
        <w:t xml:space="preserve">Em casos de eventos adversos, notifique ao Sistema de Notificações em Vigilância Sanitária - NOTIVISA, disponível em </w:t>
      </w:r>
      <w:hyperlink r:id="rId8" w:history="1">
        <w:r w:rsidRPr="00943086">
          <w:rPr>
            <w:rFonts w:ascii="Arial" w:eastAsia="Times New Roman" w:hAnsi="Arial" w:cs="Arial"/>
            <w:color w:val="0070C0"/>
            <w:sz w:val="20"/>
            <w:szCs w:val="20"/>
            <w:u w:val="single"/>
          </w:rPr>
          <w:t>http://www.anvisa.gov.br/hotsite/notivisa/index.htm</w:t>
        </w:r>
      </w:hyperlink>
      <w:r w:rsidRPr="00943086">
        <w:rPr>
          <w:rFonts w:ascii="Arial" w:eastAsia="Times New Roman" w:hAnsi="Arial" w:cs="Arial"/>
          <w:color w:val="0070C0"/>
          <w:sz w:val="20"/>
          <w:szCs w:val="20"/>
        </w:rPr>
        <w:t>, ou para a Vigilância Sanitária Estadual ou Municipal.</w:t>
      </w:r>
    </w:p>
    <w:p w:rsidR="00277596" w:rsidRPr="00943086" w:rsidRDefault="00277596" w:rsidP="00A44880">
      <w:pPr>
        <w:spacing w:after="0" w:line="240" w:lineRule="auto"/>
        <w:jc w:val="both"/>
        <w:rPr>
          <w:rFonts w:ascii="Arial" w:eastAsia="Times New Roman" w:hAnsi="Arial" w:cs="Arial"/>
          <w:b/>
          <w:sz w:val="20"/>
          <w:szCs w:val="20"/>
          <w:u w:val="single"/>
        </w:rPr>
      </w:pP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S</w:t>
      </w:r>
      <w:r w:rsidRPr="00943086">
        <w:rPr>
          <w:rFonts w:ascii="Arial" w:eastAsia="Times New Roman" w:hAnsi="Arial" w:cs="Arial"/>
          <w:b/>
          <w:sz w:val="20"/>
          <w:szCs w:val="20"/>
        </w:rPr>
        <w:t>UPERDOSE</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infusão de grandes volumes pode ocasionar sobrecarga hídrica (hiper-hidratação) e alteração no balanço eletrolítico (hipernatremia, hipercloremia, hiperosmolaridade e efeitos acidificantes).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Nestes casos, instalar uma terapia de apoio e promover a interrupção da administração da solução parenteral, podendo haver a necessidade da administração de diuréticos e/ou diálise, caso haja comprometimento renal significativo.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Em pacientes com aumento moderado nos níveis de sódio, ofertar água via oral e restringir a ingestão de sódio.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intoxicação ligue para 0800 722 6001, se você precisar de mais orientações.</w:t>
      </w:r>
    </w:p>
    <w:p w:rsidR="00277596" w:rsidRDefault="00277596" w:rsidP="00A44880">
      <w:pPr>
        <w:spacing w:after="0" w:line="240" w:lineRule="auto"/>
        <w:jc w:val="both"/>
        <w:rPr>
          <w:rFonts w:ascii="Arial" w:eastAsia="Times New Roman" w:hAnsi="Arial" w:cs="Arial"/>
          <w:b/>
          <w:color w:val="0070C0"/>
          <w:sz w:val="20"/>
          <w:szCs w:val="20"/>
        </w:rPr>
      </w:pPr>
    </w:p>
    <w:p w:rsidR="00C4118F" w:rsidRPr="00943086" w:rsidRDefault="00C4118F" w:rsidP="00A44880">
      <w:pPr>
        <w:spacing w:after="0" w:line="240" w:lineRule="auto"/>
        <w:rPr>
          <w:rFonts w:ascii="Arial" w:eastAsia="Times New Roman" w:hAnsi="Arial" w:cs="Arial"/>
          <w:b/>
          <w:color w:val="0070C0"/>
          <w:sz w:val="20"/>
          <w:szCs w:val="20"/>
        </w:rPr>
      </w:pPr>
      <w:r>
        <w:rPr>
          <w:rFonts w:ascii="Arial" w:eastAsia="Times New Roman" w:hAnsi="Arial" w:cs="Arial"/>
          <w:b/>
          <w:color w:val="0070C0"/>
          <w:sz w:val="20"/>
          <w:szCs w:val="20"/>
        </w:rPr>
        <w:t>DIZERES LEGAIS</w:t>
      </w:r>
    </w:p>
    <w:p w:rsidR="00C4118F" w:rsidRPr="00943086" w:rsidRDefault="00C4118F"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M.S. nº: X.XXXX.XXXX.XXX-X</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Responsável Técnico: XXXXXX CRF/XX:</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Fabricado por: </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Nome completo e Endereço do Fabricante </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Registrado por:</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Nome completo e Endereço do Titular do registro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Cadastro Nacional de Pessoa Jurídica, CNPJ.</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Indústria Brasileira </w:t>
      </w:r>
      <w:r w:rsidRPr="00943086">
        <w:rPr>
          <w:rFonts w:ascii="Arial" w:eastAsia="Times New Roman" w:hAnsi="Arial" w:cs="Arial"/>
          <w:i/>
          <w:color w:val="0070C0"/>
          <w:sz w:val="20"/>
          <w:szCs w:val="20"/>
        </w:rPr>
        <w:t>(se for o caso).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Telefone do Serviço de Atendimento ao Consumidor da empresa – SAC</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Uso restrito a hospitais.</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Venda sob prescrição médica.</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Venda proibida ao comércio </w:t>
      </w:r>
      <w:r w:rsidRPr="00943086">
        <w:rPr>
          <w:rFonts w:ascii="Arial" w:eastAsia="Times New Roman" w:hAnsi="Arial" w:cs="Arial"/>
          <w:i/>
          <w:color w:val="0070C0"/>
          <w:sz w:val="20"/>
          <w:szCs w:val="20"/>
        </w:rPr>
        <w:t>(somente para os medicamentos com destinação institucional)</w:t>
      </w:r>
      <w:r w:rsidRPr="00943086">
        <w:rPr>
          <w:rFonts w:ascii="Arial" w:eastAsia="Times New Roman" w:hAnsi="Arial" w:cs="Arial"/>
          <w:b/>
          <w:i/>
          <w:color w:val="0070C0"/>
          <w:sz w:val="20"/>
          <w:szCs w:val="20"/>
        </w:rPr>
        <w:t>.</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Esta bula foi atualizada conforme Bula Padrão aprovada pela Anvisa em dia/mês/ano.</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noProof/>
          <w:color w:val="0070C0"/>
          <w:sz w:val="20"/>
          <w:szCs w:val="20"/>
        </w:rPr>
        <w:drawing>
          <wp:inline distT="0" distB="0" distL="0" distR="0" wp14:anchorId="5DFBBA85" wp14:editId="1D2F5FDA">
            <wp:extent cx="368300" cy="36195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C4118F" w:rsidRDefault="007A1948" w:rsidP="00A44880">
      <w:pPr>
        <w:autoSpaceDE w:val="0"/>
        <w:autoSpaceDN w:val="0"/>
        <w:adjustRightInd w:val="0"/>
        <w:spacing w:after="0" w:line="240" w:lineRule="auto"/>
        <w:jc w:val="both"/>
        <w:rPr>
          <w:rFonts w:ascii="Arial" w:hAnsi="Arial" w:cs="Arial"/>
          <w:b/>
          <w:color w:val="000000"/>
          <w:sz w:val="20"/>
          <w:szCs w:val="20"/>
          <w:u w:val="single"/>
        </w:rPr>
      </w:pPr>
      <w:r w:rsidRPr="00C4118F">
        <w:rPr>
          <w:rFonts w:ascii="Arial" w:hAnsi="Arial" w:cs="Arial"/>
          <w:b/>
          <w:color w:val="000000"/>
          <w:sz w:val="20"/>
          <w:szCs w:val="20"/>
          <w:u w:val="single"/>
        </w:rPr>
        <w:t xml:space="preserve">SOLUÇÃO DE </w:t>
      </w:r>
      <w:r w:rsidR="00277596" w:rsidRPr="00C4118F">
        <w:rPr>
          <w:rFonts w:ascii="Arial" w:hAnsi="Arial" w:cs="Arial"/>
          <w:b/>
          <w:color w:val="000000"/>
          <w:sz w:val="20"/>
          <w:szCs w:val="20"/>
          <w:u w:val="single"/>
        </w:rPr>
        <w:t>GLICOSE 5 E 10%</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277596" w:rsidRPr="00943086" w:rsidRDefault="00277596" w:rsidP="00A44880">
      <w:pPr>
        <w:spacing w:after="0" w:line="240" w:lineRule="auto"/>
        <w:rPr>
          <w:rFonts w:ascii="Arial" w:eastAsia="Times New Roman" w:hAnsi="Arial" w:cs="Arial"/>
          <w:b/>
          <w:color w:val="FF0000"/>
          <w:sz w:val="20"/>
          <w:szCs w:val="20"/>
          <w:u w:val="single"/>
        </w:rPr>
      </w:pPr>
      <w:r w:rsidRPr="00943086">
        <w:rPr>
          <w:rFonts w:ascii="Arial" w:eastAsia="Times New Roman" w:hAnsi="Arial" w:cs="Arial"/>
          <w:b/>
          <w:color w:val="FF0000"/>
          <w:sz w:val="20"/>
          <w:szCs w:val="20"/>
        </w:rPr>
        <w:t>NOME DO PRODUTO</w:t>
      </w:r>
    </w:p>
    <w:p w:rsidR="00277596" w:rsidRPr="00943086" w:rsidRDefault="00277596" w:rsidP="00A44880">
      <w:pPr>
        <w:spacing w:after="0" w:line="240" w:lineRule="auto"/>
        <w:rPr>
          <w:rFonts w:ascii="Arial" w:eastAsia="Times New Roman" w:hAnsi="Arial" w:cs="Arial"/>
          <w:b/>
          <w:sz w:val="20"/>
          <w:szCs w:val="20"/>
          <w:u w:val="single"/>
        </w:rPr>
      </w:pPr>
      <w:r w:rsidRPr="00943086">
        <w:rPr>
          <w:rFonts w:ascii="Arial" w:eastAsia="Times New Roman" w:hAnsi="Arial" w:cs="Arial"/>
          <w:b/>
          <w:sz w:val="20"/>
          <w:szCs w:val="20"/>
        </w:rPr>
        <w:t>SOLUÇÃO DE GLICOSE 5% e 10% (solução injetável de dextrose 5% e 10%)</w:t>
      </w:r>
    </w:p>
    <w:p w:rsidR="00277596" w:rsidRPr="00943086" w:rsidRDefault="00277596" w:rsidP="00A44880">
      <w:pPr>
        <w:spacing w:after="0" w:line="240" w:lineRule="auto"/>
        <w:rPr>
          <w:rFonts w:ascii="Arial" w:eastAsia="Times New Roman" w:hAnsi="Arial" w:cs="Arial"/>
          <w:b/>
          <w:sz w:val="20"/>
          <w:szCs w:val="20"/>
          <w:u w:val="single"/>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APRESENTAÇÃO</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Solução injetável, límpida, estéril e apirogênica.</w:t>
      </w: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Apresentações: Frascos, ampolas e bolsas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mL.</w:t>
      </w:r>
    </w:p>
    <w:p w:rsidR="00277596" w:rsidRPr="00943086" w:rsidRDefault="00277596" w:rsidP="00A44880">
      <w:pPr>
        <w:spacing w:after="0" w:line="240" w:lineRule="auto"/>
        <w:rPr>
          <w:rFonts w:ascii="Arial" w:eastAsia="Times New Roman" w:hAnsi="Arial" w:cs="Arial"/>
          <w:i/>
          <w:color w:val="808080"/>
          <w:sz w:val="20"/>
          <w:szCs w:val="20"/>
        </w:rPr>
      </w:pPr>
      <w:r w:rsidRPr="00943086">
        <w:rPr>
          <w:rFonts w:ascii="Arial" w:eastAsia="Times New Roman" w:hAnsi="Arial" w:cs="Arial"/>
          <w:i/>
          <w:color w:val="808080"/>
          <w:sz w:val="20"/>
          <w:szCs w:val="20"/>
        </w:rPr>
        <w:t>(inserir apenas apresentações comercializadas)</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INTRAVENOSO E INDIVIDUALIZADO</w:t>
      </w:r>
    </w:p>
    <w:p w:rsidR="00277596" w:rsidRPr="00943086" w:rsidRDefault="00277596" w:rsidP="00A44880">
      <w:pPr>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ADULTO E PEDIÁTRICO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COMPOSIÇÃO: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Glicose 5%</w:t>
      </w:r>
    </w:p>
    <w:p w:rsidR="00277596" w:rsidRPr="00943086" w:rsidRDefault="00277596" w:rsidP="00A44880">
      <w:pPr>
        <w:spacing w:after="0" w:line="240" w:lineRule="auto"/>
        <w:rPr>
          <w:rFonts w:ascii="Arial" w:eastAsia="Times New Roman" w:hAnsi="Arial" w:cs="Arial"/>
          <w:sz w:val="20"/>
          <w:szCs w:val="20"/>
        </w:rPr>
      </w:pPr>
      <w:bookmarkStart w:id="1" w:name="_GoBack"/>
      <w:bookmarkEnd w:id="1"/>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Cada mL da solução contém:</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glicose anidra*</w:t>
      </w:r>
      <w:r w:rsidRPr="00943086">
        <w:rPr>
          <w:rFonts w:ascii="Arial" w:eastAsia="Times New Roman" w:hAnsi="Arial" w:cs="Arial"/>
          <w:sz w:val="20"/>
          <w:szCs w:val="20"/>
        </w:rPr>
        <w:tab/>
        <w:t>50 mg *</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*Equivalente a 55 mg de glicose monoidratada</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Conteúdo calórico</w:t>
      </w:r>
      <w:r w:rsidRPr="00943086">
        <w:rPr>
          <w:rFonts w:ascii="Arial" w:eastAsia="Times New Roman" w:hAnsi="Arial" w:cs="Arial"/>
          <w:sz w:val="20"/>
          <w:szCs w:val="20"/>
        </w:rPr>
        <w:tab/>
        <w:t>170 Kcal/L</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OSMOLARIDADE:</w:t>
      </w:r>
      <w:r w:rsidRPr="00943086">
        <w:rPr>
          <w:rFonts w:ascii="Arial" w:eastAsia="Times New Roman" w:hAnsi="Arial" w:cs="Arial"/>
          <w:sz w:val="20"/>
          <w:szCs w:val="20"/>
        </w:rPr>
        <w:tab/>
        <w:t>252 mOsm/L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3,5 – 6,5</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Glicose 10%</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Cada mL da solução contém:</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glicose anidra* </w:t>
      </w:r>
      <w:r w:rsidRPr="00943086">
        <w:rPr>
          <w:rFonts w:ascii="Arial" w:eastAsia="Times New Roman" w:hAnsi="Arial" w:cs="Arial"/>
          <w:sz w:val="20"/>
          <w:szCs w:val="20"/>
        </w:rPr>
        <w:tab/>
        <w:t>100 mg *</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*Equivalente a 110 mg de glicose monoidratada</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Conteúdo calórico</w:t>
      </w:r>
      <w:r w:rsidRPr="00943086">
        <w:rPr>
          <w:rFonts w:ascii="Arial" w:eastAsia="Times New Roman" w:hAnsi="Arial" w:cs="Arial"/>
          <w:sz w:val="20"/>
          <w:szCs w:val="20"/>
        </w:rPr>
        <w:tab/>
        <w:t>340 Kcal/L</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OSMOLARIDADE:</w:t>
      </w:r>
      <w:r w:rsidRPr="00943086">
        <w:rPr>
          <w:rFonts w:ascii="Arial" w:eastAsia="Times New Roman" w:hAnsi="Arial" w:cs="Arial"/>
          <w:sz w:val="20"/>
          <w:szCs w:val="20"/>
        </w:rPr>
        <w:tab/>
        <w:t>505 mOsm/L</w:t>
      </w:r>
    </w:p>
    <w:p w:rsidR="00277596" w:rsidRPr="00943086" w:rsidRDefault="0027759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3,5 – 6,5</w:t>
      </w:r>
    </w:p>
    <w:p w:rsidR="00277596" w:rsidRPr="00943086" w:rsidRDefault="00277596" w:rsidP="00A44880">
      <w:pPr>
        <w:tabs>
          <w:tab w:val="left" w:leader="dot" w:pos="6237"/>
        </w:tabs>
        <w:spacing w:after="0" w:line="240" w:lineRule="auto"/>
        <w:rPr>
          <w:rFonts w:ascii="Arial" w:eastAsia="Times New Roman" w:hAnsi="Arial" w:cs="Arial"/>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AO PACIENTE</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PARA QUE ESTE MEDICAMENTO É INDICADO?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injetáveis de glicose nas concentrações de 5% e 10% são indicadas como fonte de água, calorias e diurese osmótica, em casos de desidratação, reposição calórica, nas hipoglicemias e como veículo para diluição de medicamentos compatíveis.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de glicose 5% é frequentemente a concentração empregada quando ocorre perda de líquido. Já as soluções de glicose de concentrações mais elevadas, como a glicose 10são usadas geralmente como uma fonte de carboidratos.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COMO ESTE MEDICAMENTO FUNCIONA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injetáveis de glicose são usadas no restabelecimento de fluido e suprimento calórico.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 glicose é um nutriente facilmente metabolizado pelo organismo para fornecimento de energia, dispensando em alguns casos o uso de lipídios e proteínas como fontes de energia. A solução de glicose é útil como fonte de água e calorias</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glicose é a principal fonte de energia no metabolismo celular. </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QUANDO NÃO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de glicose sem eletrólitos não devem ser administradas no mesmo momento em que se administra sangue devido à possibilidade de coagulação.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uso da solução de glicose é contraindicado nas seguintes situações: hiper-hidratação, hiperglicemia </w:t>
      </w:r>
      <w:r w:rsidRPr="00943086">
        <w:rPr>
          <w:rFonts w:ascii="Arial" w:eastAsia="Times New Roman" w:hAnsi="Arial" w:cs="Arial"/>
          <w:color w:val="0070C0"/>
          <w:sz w:val="20"/>
          <w:szCs w:val="20"/>
        </w:rPr>
        <w:t>(elevação nos níveis de glicose)</w:t>
      </w:r>
      <w:r w:rsidRPr="00943086">
        <w:rPr>
          <w:rFonts w:ascii="Arial" w:eastAsia="Times New Roman" w:hAnsi="Arial" w:cs="Arial"/>
          <w:sz w:val="20"/>
          <w:szCs w:val="20"/>
        </w:rPr>
        <w:t xml:space="preserve">, diabetes, acidose, desidratação hipotônica e hipocalemia </w:t>
      </w:r>
      <w:r w:rsidRPr="00943086">
        <w:rPr>
          <w:rFonts w:ascii="Arial" w:eastAsia="Times New Roman" w:hAnsi="Arial" w:cs="Arial"/>
          <w:color w:val="0070C0"/>
          <w:sz w:val="20"/>
          <w:szCs w:val="20"/>
        </w:rPr>
        <w:t>(redução de cálcio no organismo).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uso de solução de glicose hipertônica (concentração acima de 5% de glicose) é contraindicado em pacientes com hemorragia intracraniana ou intraespinhal, </w:t>
      </w:r>
      <w:r w:rsidRPr="00943086">
        <w:rPr>
          <w:rFonts w:ascii="Arial" w:eastAsia="Times New Roman" w:hAnsi="Arial" w:cs="Arial"/>
          <w:i/>
          <w:sz w:val="20"/>
          <w:szCs w:val="20"/>
        </w:rPr>
        <w:t>delirium tremens</w:t>
      </w:r>
      <w:r w:rsidRPr="00943086">
        <w:rPr>
          <w:rFonts w:ascii="Arial" w:eastAsia="Times New Roman" w:hAnsi="Arial" w:cs="Arial"/>
          <w:sz w:val="20"/>
          <w:szCs w:val="20"/>
        </w:rPr>
        <w:t xml:space="preserve"> em pacientes desidratados, síndrome de má absorção glicose-galactose e aos pacientes com hipersensibilidade aos produtos do milho.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O QUE DEVO SABER ANTES DE USAR ESTE MEDICAMENTO?</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Deve-se considerar para fins de administração, dados clínicos e laboratoriais, como níveis glicêmicos </w:t>
      </w:r>
      <w:r w:rsidRPr="00943086">
        <w:rPr>
          <w:rFonts w:ascii="Arial" w:eastAsia="Times New Roman" w:hAnsi="Arial" w:cs="Arial"/>
          <w:color w:val="0070C0"/>
          <w:sz w:val="20"/>
          <w:szCs w:val="20"/>
        </w:rPr>
        <w:t xml:space="preserve">(quantidade de glicose no sangue) </w:t>
      </w:r>
      <w:r w:rsidRPr="00943086">
        <w:rPr>
          <w:rFonts w:ascii="Arial" w:eastAsia="Times New Roman" w:hAnsi="Arial" w:cs="Arial"/>
          <w:sz w:val="20"/>
          <w:szCs w:val="20"/>
        </w:rPr>
        <w:t xml:space="preserve">e glicosúria </w:t>
      </w:r>
      <w:r w:rsidRPr="00943086">
        <w:rPr>
          <w:rFonts w:ascii="Arial" w:eastAsia="Times New Roman" w:hAnsi="Arial" w:cs="Arial"/>
          <w:color w:val="0070C0"/>
          <w:sz w:val="20"/>
          <w:szCs w:val="20"/>
        </w:rPr>
        <w:t>(perda de glicose na urina)</w:t>
      </w:r>
      <w:r w:rsidRPr="00943086">
        <w:rPr>
          <w:rFonts w:ascii="Arial" w:eastAsia="Times New Roman" w:hAnsi="Arial" w:cs="Arial"/>
          <w:sz w:val="20"/>
          <w:szCs w:val="20"/>
        </w:rPr>
        <w:t xml:space="preserve">. Outro aspecto refere-se à suspensão abrupta de tratamentos prolongados, condição em que se elevam os níveis de insulina circulante, podendo desencadear uma hipoglicemia </w:t>
      </w:r>
      <w:r w:rsidRPr="00943086">
        <w:rPr>
          <w:rFonts w:ascii="Arial" w:eastAsia="Times New Roman" w:hAnsi="Arial" w:cs="Arial"/>
          <w:color w:val="0070C0"/>
          <w:sz w:val="20"/>
          <w:szCs w:val="20"/>
        </w:rPr>
        <w:t xml:space="preserve">(diminuição dos níveis de glicose) </w:t>
      </w:r>
      <w:r w:rsidRPr="00943086">
        <w:rPr>
          <w:rFonts w:ascii="Arial" w:eastAsia="Times New Roman" w:hAnsi="Arial" w:cs="Arial"/>
          <w:sz w:val="20"/>
          <w:szCs w:val="20"/>
        </w:rPr>
        <w:t xml:space="preserve">momentânea pós-suspensão. Deve-se ter cuidado também com a administração prolongada ou a infusão rápida de grandes volumes de soluções isosmóticas, devido a possível ocorrência de edema pulmonar, hipopotassemia </w:t>
      </w:r>
      <w:r w:rsidRPr="00943086">
        <w:rPr>
          <w:rFonts w:ascii="Arial" w:eastAsia="Times New Roman" w:hAnsi="Arial" w:cs="Arial"/>
          <w:color w:val="0070C0"/>
          <w:sz w:val="20"/>
          <w:szCs w:val="20"/>
        </w:rPr>
        <w:t>(diminuição dos níveis de potássio)</w:t>
      </w:r>
      <w:r w:rsidRPr="00943086">
        <w:rPr>
          <w:rFonts w:ascii="Arial" w:eastAsia="Times New Roman" w:hAnsi="Arial" w:cs="Arial"/>
          <w:sz w:val="20"/>
          <w:szCs w:val="20"/>
        </w:rPr>
        <w:t>, hiper-hidratação e intoxicação hídrica, ocasionados pelo aumento do volume do líquido extracelular. A monitoração frequente de concentrações de glicose, de eletrólitos particularmente de potássio no plasma faz-se necessário antes, durante e após a administração da solução de glicose.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de glicose não deve ser usada como diluente para o sangue, pois causa aglutinação dos eritrócitos (glóbulos vermelhos) e, provavelmente, hemólise </w:t>
      </w:r>
      <w:r w:rsidRPr="00943086">
        <w:rPr>
          <w:rFonts w:ascii="Arial" w:eastAsia="Times New Roman" w:hAnsi="Arial" w:cs="Arial"/>
          <w:color w:val="0070C0"/>
          <w:sz w:val="20"/>
          <w:szCs w:val="20"/>
        </w:rPr>
        <w:t xml:space="preserve">(rompimento de glóbulos vermelhos). </w:t>
      </w:r>
      <w:r w:rsidRPr="00943086">
        <w:rPr>
          <w:rFonts w:ascii="Arial" w:eastAsia="Times New Roman" w:hAnsi="Arial" w:cs="Arial"/>
          <w:sz w:val="20"/>
          <w:szCs w:val="20"/>
        </w:rPr>
        <w:t>Da mesma maneira, as soluções de glicose sem eletrólitos não devem ser administradas no mesmo momento em que se administra sangue devido da possibilidade de coagulação.</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monitoração frequente de concentrações de glicose no plasma é necessária quando a glicose intravenosa é administrada em crianças, particularmente nos recém-nascidos e nas crianças com baixo peso ao nascer devido ao risco aumentado de hiperglicemia/hipoglicemia. A administração excessiva ou rápida da solução de glicose neste tipo de paciente pode causar aumento da osmolaridade do soro e uma possível hemorragia intracerebral.</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Agir com precaução no fornecimento de carboidratos na presença de acidose por lactato, e também nos pacientes com hipervolemia, insuficiência renal, obstrução do intervalo urinário ou descompensação cardíaca eminente.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As soluções injetáveis de glicose devem ser usadas com cuidado em pacientes com </w:t>
      </w:r>
      <w:r w:rsidRPr="00943086">
        <w:rPr>
          <w:rFonts w:ascii="Arial" w:eastAsia="Times New Roman" w:hAnsi="Arial" w:cs="Arial"/>
          <w:i/>
          <w:sz w:val="20"/>
          <w:szCs w:val="20"/>
        </w:rPr>
        <w:t>Diabetes mellitus</w:t>
      </w:r>
      <w:r w:rsidRPr="00943086">
        <w:rPr>
          <w:rFonts w:ascii="Arial" w:eastAsia="Times New Roman" w:hAnsi="Arial" w:cs="Arial"/>
          <w:sz w:val="20"/>
          <w:szCs w:val="20"/>
        </w:rPr>
        <w:t xml:space="preserve"> subclínica ou evidente, ou intolerância a carboidratos, bem como em lactentes de mães diabéticas.</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de soluções de glicose deve ser realizada com cautela em pacientes diabéticos, pois uma infusão rápida pode causar hiperglicemia, assim como em pacientes mal nutridos com deficiência de tiamina, intolerância a carboidratos, septicemia (presença de bactérias no sangue). A administração intravenosa da glicose aos pacientes com deficiência de tiamina e outras vitaminas do complexo B pode precipitar o desenvolvimento da encefalopatia de Wernicke.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As soluções de glicose não devem ser administradas em pacientes com insuficiência renal (falência dos rins) e após ataque isquêmico.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 idosos e em outros grupos de risco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Um estudo realizado em mulheres saudáveis, que se encontravam em estágio final de gestação, verificou que a administração de 100 g de glicose uma hora antes do fim da gestação, não provocou nenhum efeito adverso nos níveis ácido-base do feto. Os fetos com malformação foram excluídos. Entretanto, os autores advertiram que, em concentrações de glicose mais elevadas na mãe (como pode ser encontrado em grávidas diabéticas), mudanças consistentes na acidose metabólica fetal, podem ocorrer, e que o teste da tolerância da glicose pode também ser perigoso aos fetos com retardo do crescimento.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cuidado deve ser exercitado no tratamento dos recém-nascidos, especialmente os prematuros, nos quais a função renal pode estar imatura e a habilidade de eliminas cargas do líquido e do soluto pode estar limitada.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idosos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geral, a seleção da dose para um paciente idoso deverá ser mais criteriosa. Sabe-se que a glicose é eliminada substancialmente pelos rins, e o risco de reações tóxicas das soluções de glicose pode ser maior nos pacientes com função renal comprometida. Os pacientes idosos são mais prováveis de ter a função renal diminuída, por isso, cuidado deve ser tomado na seleção da dose, e pode ser útil monitorar a função renal.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Interações medicamentosas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 xml:space="preserve">Não são conhecidas interações medicamentosas até o momento. Para minimizar o risco de possíveis incompatibilidades da mistura das soluções de glicose com outras medicações que possam ser prescritas, deve ser verificada a presença de turbidez ou precipitação imediatamente após a mistura, antes e durante a administração. Em caso de dúvida, consulte um farmacêutico. </w:t>
      </w:r>
    </w:p>
    <w:p w:rsidR="00A44880" w:rsidRDefault="00A44880"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ou cirurgião-dentista se você está fazendo uso de algum outro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color w:val="0070C0"/>
          <w:sz w:val="20"/>
          <w:szCs w:val="20"/>
        </w:rPr>
        <w:t>Não use medicamento sem o conhecimento do seu médico. Pode ser perigoso para a sua saúde.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ONDE, COMO E POR QUANTO TEMPO POSSO GUARDAR ESTE MEDICAMENTO?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Aspecto: solução injetável, límpida, estéril e apirogênica.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lastRenderedPageBreak/>
        <w:t xml:space="preserve">Antes de usar, observe o aspecto do medicamento. Caso ele esteja no prazo de validade e você observe alguma mudança no aspecto, consulte o farmacêutico para saber se poderá utilizá-lo. </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COMO DEVO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1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1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1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277596" w:rsidRPr="00943086" w:rsidRDefault="00277596" w:rsidP="00A44880">
      <w:pPr>
        <w:numPr>
          <w:ilvl w:val="0"/>
          <w:numId w:val="1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1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15"/>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5"/>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1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1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1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Posologia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dose de glicose é variável e dependente das necessidades do paciente. As concentrações de glicose no plasma devem ser monitoradas, a taxa máxima que pode ser infundida sem causar glicosúria </w:t>
      </w:r>
      <w:r w:rsidRPr="00943086">
        <w:rPr>
          <w:rFonts w:ascii="Arial" w:eastAsia="Times New Roman" w:hAnsi="Arial" w:cs="Arial"/>
          <w:color w:val="0070C0"/>
          <w:sz w:val="20"/>
          <w:szCs w:val="20"/>
        </w:rPr>
        <w:t>(perda de glicose na urina)</w:t>
      </w:r>
      <w:r w:rsidRPr="00943086">
        <w:rPr>
          <w:rFonts w:ascii="Arial" w:eastAsia="Times New Roman" w:hAnsi="Arial" w:cs="Arial"/>
          <w:sz w:val="20"/>
          <w:szCs w:val="20"/>
        </w:rPr>
        <w:t xml:space="preserve"> é 0,5g/kg de peso corporal/hora. No entanto, o ideal é que a solução de glicose intravenosa seja fornecida em uma taxa de aproximadamente 6 a 7mg/kg/minuto.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uso da solução de glicose é indicado para correção de hipoglicemia infantil, podendo ser utilizada em nutrição parenteral de crianças.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dose e a taxa de infusão intravenosa de glicose devem ser selecionadas com cuidado em pacientes pediátricos, particularmente nos  recém-nascidos e nas crianças com baixo peso ao nascer porque aumenta o risco de hiperglicemia/hipoglicemia.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de glicose 5% pode ser administrada em pacientes diabéticos, mesmo em coma, porém, é fundamental o controle adequado da cetose e, se necessário, deve-se recorrer </w:t>
      </w:r>
      <w:r w:rsidR="00A44880" w:rsidRPr="00943086">
        <w:rPr>
          <w:rFonts w:ascii="Arial" w:eastAsia="Times New Roman" w:hAnsi="Arial" w:cs="Arial"/>
          <w:sz w:val="20"/>
          <w:szCs w:val="20"/>
        </w:rPr>
        <w:t>à</w:t>
      </w:r>
      <w:r w:rsidRPr="00943086">
        <w:rPr>
          <w:rFonts w:ascii="Arial" w:eastAsia="Times New Roman" w:hAnsi="Arial" w:cs="Arial"/>
          <w:sz w:val="20"/>
          <w:szCs w:val="20"/>
        </w:rPr>
        <w:t xml:space="preserve"> administração de insulina.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avaliação clínica e as determinações laboratoriais periódicas são necessárias para monitorar mudanças em concentrações da glicose e do eletrólito do sangue, e o balanço do líquido e de eletrólitos durante a terapia parenteral prolongada ou sempre que a condição do paciente permitir tal avaliação.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Siga a orientação de seu médico, respeitando sempre os horários, as doses e a duração do tratamento. Não interrompa o tratamento sem o conhecimento do seu médico.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O QUE DEVO FAZER QUANDO ME ESQUECER DE USAR ESTE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 xml:space="preserve">A utilização deste medicamento ocorrerá em ambiente hospitalar, orientado e executado por profissionais especializados e não dependerá da conduta do paciente. </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dúvidas, procure orientação do farmacêutico ou de seu médico ou cirurgião-dentista.</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QUAIS OS MALES QUE ESTE MEDICAMENTO PODE ME CAUSAR?</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 xml:space="preserve">As reações adversas podem ocorrer devido à solução ou à técnica de administração e incluem febre, infecção no ponto de injeção, trombose venosa ou flebite </w:t>
      </w:r>
      <w:r w:rsidRPr="00943086">
        <w:rPr>
          <w:rFonts w:ascii="Arial" w:eastAsia="Times New Roman" w:hAnsi="Arial" w:cs="Arial"/>
          <w:color w:val="0070C0"/>
          <w:sz w:val="20"/>
          <w:szCs w:val="20"/>
        </w:rPr>
        <w:t>(inflamação)</w:t>
      </w:r>
      <w:r w:rsidRPr="00943086">
        <w:rPr>
          <w:rFonts w:ascii="Arial" w:eastAsia="Times New Roman" w:hAnsi="Arial" w:cs="Arial"/>
          <w:sz w:val="20"/>
          <w:szCs w:val="20"/>
        </w:rPr>
        <w:t xml:space="preserve"> </w:t>
      </w:r>
      <w:r w:rsidRPr="00943086">
        <w:rPr>
          <w:rFonts w:ascii="Arial" w:eastAsia="Times New Roman" w:hAnsi="Arial" w:cs="Arial"/>
          <w:color w:val="000000"/>
          <w:sz w:val="20"/>
          <w:szCs w:val="20"/>
        </w:rPr>
        <w:t xml:space="preserve">irradiando-se a partir do ponto de injeção, extravasamento e hipervolemia </w:t>
      </w:r>
      <w:r w:rsidRPr="00943086">
        <w:rPr>
          <w:rFonts w:ascii="Arial" w:eastAsia="Times New Roman" w:hAnsi="Arial" w:cs="Arial"/>
          <w:color w:val="0070C0"/>
          <w:sz w:val="20"/>
          <w:szCs w:val="20"/>
        </w:rPr>
        <w:t>(redução do volume de sangue)</w:t>
      </w:r>
      <w:r w:rsidRPr="00943086">
        <w:rPr>
          <w:rFonts w:ascii="Arial" w:eastAsia="Times New Roman" w:hAnsi="Arial" w:cs="Arial"/>
          <w:color w:val="000000"/>
          <w:sz w:val="20"/>
          <w:szCs w:val="20"/>
        </w:rPr>
        <w:t xml:space="preserve">. Se ocorrer reação adversa, suspender a infusão, avaliar o paciente, aplicar terapêutica corretiva apropriada e guardar o restante da solução para posterior investigação, se necessário. Algumas destas reações podem ser devido aos produtos de degradação presentes após autoclavação. A infusão intravenosa pode conduzir ao desenvolvimento de distúrbios líquidos e eletrólitos incluindo a hipocalemia </w:t>
      </w:r>
      <w:r w:rsidRPr="00943086">
        <w:rPr>
          <w:rFonts w:ascii="Arial" w:eastAsia="Times New Roman" w:hAnsi="Arial" w:cs="Arial"/>
          <w:color w:val="0070C0"/>
          <w:sz w:val="20"/>
          <w:szCs w:val="20"/>
        </w:rPr>
        <w:t>(redução de potássio no sangue)</w:t>
      </w:r>
      <w:r w:rsidRPr="00943086">
        <w:rPr>
          <w:rFonts w:ascii="Arial" w:eastAsia="Times New Roman" w:hAnsi="Arial" w:cs="Arial"/>
          <w:color w:val="000000"/>
          <w:sz w:val="20"/>
          <w:szCs w:val="20"/>
        </w:rPr>
        <w:t xml:space="preserve">, </w:t>
      </w:r>
      <w:r w:rsidR="00A44880">
        <w:rPr>
          <w:rFonts w:ascii="Arial" w:eastAsia="Times New Roman" w:hAnsi="Arial" w:cs="Arial"/>
          <w:color w:val="000000"/>
          <w:sz w:val="20"/>
          <w:szCs w:val="20"/>
        </w:rPr>
        <w:t>a</w:t>
      </w:r>
      <w:r w:rsidRPr="00943086">
        <w:rPr>
          <w:rFonts w:ascii="Arial" w:eastAsia="Times New Roman" w:hAnsi="Arial" w:cs="Arial"/>
          <w:color w:val="000000"/>
          <w:sz w:val="20"/>
          <w:szCs w:val="20"/>
        </w:rPr>
        <w:t xml:space="preserve"> hipomagnesemia (redução de magnésio no sangue), e a hipofosfatemia </w:t>
      </w:r>
      <w:r w:rsidRPr="00943086">
        <w:rPr>
          <w:rFonts w:ascii="Arial" w:eastAsia="Times New Roman" w:hAnsi="Arial" w:cs="Arial"/>
          <w:color w:val="0070C0"/>
          <w:sz w:val="20"/>
          <w:szCs w:val="20"/>
        </w:rPr>
        <w:t>(redução de fósforo no sangue).</w:t>
      </w:r>
    </w:p>
    <w:p w:rsidR="00277596" w:rsidRPr="00943086" w:rsidRDefault="00277596" w:rsidP="00A44880">
      <w:pPr>
        <w:shd w:val="clear" w:color="auto" w:fill="FFFFFF"/>
        <w:spacing w:after="0" w:line="240" w:lineRule="auto"/>
        <w:jc w:val="both"/>
        <w:rPr>
          <w:rFonts w:ascii="Arial" w:eastAsia="Times New Roman" w:hAnsi="Arial" w:cs="Arial"/>
          <w:b/>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cirurgião-dentista ou farmacêutico o aparecimento de reações indesejáveis pelo uso do medicamento. Informe também à empresa através de seu serviço de atendimento.</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O QUE FAZER SE ALGUÉM USAR UMA QUANTIDADE MAIOR QUE A INDICADA DESTE MEDICAMENTO?</w:t>
      </w: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infusão de grandes volumes da solução de glicose 5% e 10% pode causar hipervolemia</w:t>
      </w:r>
      <w:r w:rsidRPr="00943086">
        <w:rPr>
          <w:rFonts w:ascii="Arial" w:eastAsia="Times New Roman" w:hAnsi="Arial" w:cs="Arial"/>
          <w:color w:val="0070C0"/>
          <w:sz w:val="20"/>
          <w:szCs w:val="20"/>
        </w:rPr>
        <w:t>(redução do volume de sangue)</w:t>
      </w:r>
      <w:r w:rsidRPr="00943086">
        <w:rPr>
          <w:rFonts w:ascii="Arial" w:eastAsia="Times New Roman" w:hAnsi="Arial" w:cs="Arial"/>
          <w:sz w:val="20"/>
          <w:szCs w:val="20"/>
        </w:rPr>
        <w:t xml:space="preserve">, resultando em diluições eletrolíticas do soro, estados congestivos e edemas pulmonares. A infusão muito rápida de glicose pode ocasionar distúrbios neurológicos como depressão e coma, devidos aos fenômenos de hiperosmolaridade, principalmente em portadores de nefropatias </w:t>
      </w:r>
      <w:r w:rsidRPr="00943086">
        <w:rPr>
          <w:rFonts w:ascii="Arial" w:eastAsia="Times New Roman" w:hAnsi="Arial" w:cs="Arial"/>
          <w:color w:val="0070C0"/>
          <w:sz w:val="20"/>
          <w:szCs w:val="20"/>
        </w:rPr>
        <w:t xml:space="preserve">(insuficiência renal) </w:t>
      </w:r>
      <w:r w:rsidRPr="00943086">
        <w:rPr>
          <w:rFonts w:ascii="Arial" w:eastAsia="Times New Roman" w:hAnsi="Arial" w:cs="Arial"/>
          <w:sz w:val="20"/>
          <w:szCs w:val="20"/>
        </w:rPr>
        <w:t>crônicas. Nestes casos, a infusão deve ser interrompida e a terapia de apoio deve ser instalada.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Nas doses usuais indicadas pelo médico não há relatos de superdosagem, exceto em pacientes diabéticos com intolerância a glicose.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Num evento de sobrecarga de fluidos ou solutos durante a terapia parenteral, reavalie as condições do paciente e institua o tratamento corretivo apropriado.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uso de grande quantidade deste medicamento, procure rapidamente socorro médico e leve a embalagem ou bula do medicamento, se possível. Ligue para 0800 722 6001, se você precisar de mais orientações.</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color w:val="0070C0"/>
          <w:sz w:val="20"/>
          <w:szCs w:val="20"/>
        </w:rPr>
        <w:t>INFORMAÇÕES TÉCNICAS AOS PROFISSIONAIS DE SAÚDE</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INDICAÇÕES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injetáveis de glicose nas concentrações de 5% e 10% são indicadas como fonte de água, calorias e diurese osmótica. As soluções de glicose de 5 a 10% são indicadas em casos de desidratação, reposição calórica, nas hipoglicemias e como veículo para diluição de medicamentos compatíveis.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glicose 5% é frequentemente a concentração empregada na depleção de fluido, sendo usualmente administrada através de uma veia periférica. Já as soluções de glicose de concentrações mais elevadas, como a glicose 10%, por serem hiperosmóticas, são usadas geralmente como uma fonte de carboidratos. Desta maneira, a glicose é a fonte preferida de carboidratos em regimes parenterais de nutrição, sendo frequentemente usada também em soluções de reidratação para prevenção e/ou tratamento da desidratação, ocasionada pela diarreia.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CARACTERÍSTICAS FARMACOLÓGICAS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injetáveis de glicose são estéreis e apirogênicas e usadas no restabelecimento de fluido e suprimento calórico.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glicose é um nutriente facilmente metabolizado pelo organismo para fornecimento de energia, dispensando em alguns casos o uso de lipídios e proteínas como fontes de energia, evitando, assim, acidose e cetose resultantes de seus metabolismos. A solução de glicose é útil como fonte de água e calorias e é capaz de induzir diurese dependendo das condições clínicas do paciente. As soluções de glicose em concentrações isotônicas (solução parenteral de glicose 5%) são adequadas para manutenção das necessidades de água quando o sódio não é necessário ou deve ser evitado.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glicose é metabolizada através do ácido pirúvico ou lático em dióxido de carbono e água com liberação de energia. A glicose é usada, distribuída e estocada nos tecidos. Todas as células do corpo são capazes de oxidar a glicose, sendo a mesma a principal fonte de energia no metabolismo celular. Uma vez dentro da célula, a glicose é prontamente fosforilada, formando a glicose-6-fosfato, que logo se polimeriza em glicogênio, ou é catabolizada. A glicose pode ainda ser convertida em gordura, através da AcetilCoA. Requer, por isso, constante equilíbrio entre as necessidades metabólicas do organismo e a sua oferta.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glicose atinge o seu pico plasmático 40 minutos após sua administração em pacientes hipoglicêmicos.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CONTRAINDICAÇÕES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de glicose sem eletrólitos não devem ser administradas simultaneamente a infusão de sangue devido à possibilidade de coagulação.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uso da solução de glicose é contraindicado nas seguintes situações: hiper-hidratação, hiperglicemia, diabetes, acidose, desidratação hipotônica e hipocalemia.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uso de solução de glicose hipertônica (concentração acima de 5% de glicose) é contra indicado em pacientes com hemorragia intracraniana ou intraespinhal, </w:t>
      </w:r>
      <w:r w:rsidRPr="00943086">
        <w:rPr>
          <w:rFonts w:ascii="Arial" w:eastAsia="Times New Roman" w:hAnsi="Arial" w:cs="Arial"/>
          <w:i/>
          <w:sz w:val="20"/>
          <w:szCs w:val="20"/>
        </w:rPr>
        <w:t>delirium tremens</w:t>
      </w:r>
      <w:r w:rsidRPr="00943086">
        <w:rPr>
          <w:rFonts w:ascii="Arial" w:eastAsia="Times New Roman" w:hAnsi="Arial" w:cs="Arial"/>
          <w:sz w:val="20"/>
          <w:szCs w:val="20"/>
        </w:rPr>
        <w:t xml:space="preserve"> em pacientes desidratados, síndrome de má absorção glicose-galactose e aos pacientes com hipersensibilidade aos produtos do milho.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ADVERTÊNCIAS E PRECAUÇÕES</w:t>
      </w:r>
    </w:p>
    <w:p w:rsidR="00277596" w:rsidRPr="00943086" w:rsidRDefault="00277596" w:rsidP="00A44880">
      <w:pPr>
        <w:spacing w:after="0" w:line="240" w:lineRule="auto"/>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Deve considerar para fins de administração, dados clínicos e laboratoriais, como níveis glicêmicos e glicosúria. Outro aspecto refere-se à suspensão abrupta de tratamentos prolongados, condição em que se elevam os níveis de insulina circulante, podendo desencadear uma hipoglicemia momentânea pós-suspensão. Deve ter cuidado também com a administração prolongada ou a infusão rápida de grandes volumes de soluções isosmóticas, devido a possível ocorrência de edema pulmonar, hipopotassemia, hiper-hidratação e intoxicação hídrica, ocasionados pelo aumento do volume do líquido extracelular. A monitoração frequente de concentrações de glicose, de eletrólitos particularmente de potássio no plasma faz-se necessário antes, durante e após a administração da solução de glicose.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glicose não deve ser usada como solubilizante para o sangue, pois causa aglutinação dos eritrócitos e, provavelmente, hemólise. Da mesma maneira, as soluções de glicose sem eletrólitos não devem ser administradas simultaneamente a infusão de sangue devido da possibilidade de coagulação.</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monitoração frequente de concentrações de glicose no plasma é necessária quando a glicose intravenosa é administrada em pacientes pediátricos, particularmente nos neonatos e nas crianças com baixo peso ao nascer devido ao risco aumentado de hiperglicemia/hipoglicemia. </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excessiva ou rápida da solução de glicose neste tipo de paciente pode causar aumento da osmolaridade do soro e uma possível hemorragia intracerebral.</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Agir com precaução no fornecimento de carboidratos na presença de acidose por lactato, e também nos pacientes com hipervolemia, insuficiência renal, obstrução do intervalo urinário ou descompensação cardíaca eminente.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injetáveis de glicose devem ser usadas com cuidado em pacientes com Diabetes mellitus subclínica ou evidente, ou intolerância a carboidratos, bem como em lactentes de mães diabéticas.</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de soluções de glicose deve ser realizada com cautela em pacientes diabéticos, pois uma infusão rápida pode causar hiperglicemia, assim como em pacientes mal nutridos com deficiência de tiamina, intolerância a carboidratos, septicemia. A administração intravenosa da glicose aos pacientes com deficiência de tiamina e outras vitaminas do complexo B pode precipitar o desenvolvimento da encefalopatia de Wernicke.</w:t>
      </w:r>
    </w:p>
    <w:p w:rsidR="00277596" w:rsidRPr="00943086" w:rsidRDefault="00277596" w:rsidP="00A44880">
      <w:pPr>
        <w:shd w:val="clear" w:color="auto" w:fill="FFFFFF"/>
        <w:spacing w:after="0" w:line="240" w:lineRule="auto"/>
        <w:jc w:val="both"/>
        <w:rPr>
          <w:rFonts w:ascii="Arial" w:eastAsia="Times New Roman" w:hAnsi="Arial" w:cs="Arial"/>
          <w:sz w:val="20"/>
          <w:szCs w:val="20"/>
        </w:rPr>
      </w:pPr>
    </w:p>
    <w:p w:rsidR="00277596" w:rsidRPr="00943086" w:rsidRDefault="0027759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soluções de glicose não devem ser administradas em pacientes com insuficiência renal e após ataque isquêmico.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autoSpaceDE w:val="0"/>
        <w:autoSpaceDN w:val="0"/>
        <w:adjustRightInd w:val="0"/>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Gravidez: categoria C.</w:t>
      </w:r>
      <w:r w:rsidRPr="00943086">
        <w:rPr>
          <w:rFonts w:ascii="Arial" w:eastAsia="Times New Roman" w:hAnsi="Arial" w:cs="Arial"/>
          <w:sz w:val="20"/>
          <w:szCs w:val="20"/>
        </w:rPr>
        <w:t xml:space="preserve"> Não foram efetuados estudos de reprodução animal com solução de glicose 5% e 10%. Também não se sabe se a solução de glicose 5% e 10% pode causar dano ao feto quando administrada a uma mulher grávida. Administrar somente se claramente necessário.</w:t>
      </w:r>
    </w:p>
    <w:p w:rsidR="00277596" w:rsidRPr="00943086" w:rsidRDefault="00277596" w:rsidP="00A44880">
      <w:pPr>
        <w:autoSpaceDE w:val="0"/>
        <w:autoSpaceDN w:val="0"/>
        <w:adjustRightInd w:val="0"/>
        <w:spacing w:after="0" w:line="240" w:lineRule="auto"/>
        <w:jc w:val="both"/>
        <w:rPr>
          <w:rFonts w:ascii="Arial" w:eastAsia="Times New Roman" w:hAnsi="Arial" w:cs="Arial"/>
          <w:sz w:val="20"/>
          <w:szCs w:val="20"/>
        </w:rPr>
      </w:pPr>
    </w:p>
    <w:p w:rsidR="00277596" w:rsidRPr="00943086" w:rsidRDefault="00277596" w:rsidP="00A44880">
      <w:pPr>
        <w:autoSpaceDE w:val="0"/>
        <w:autoSpaceDN w:val="0"/>
        <w:adjustRightInd w:val="0"/>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Estudos verificaram que quando administrada durante o trabalho de parto, a carga de glicose da mãe pode conduzir no feto, à hiperglicemia, à hiperinsulinemia, e à acidose fetal, com hipoglicemia neonatal subsequente e icterícia. Outros estudos não encontraram nenhuma evidência de tal efeito, especialmente se o feto é bem oxigenado, e relataram que o número dos pacientes incluídos em tais relatórios foi frequentemente pequeno e os critérios de seleção não homogêneos.</w:t>
      </w:r>
    </w:p>
    <w:p w:rsidR="00277596" w:rsidRPr="00943086" w:rsidRDefault="00277596" w:rsidP="00A44880">
      <w:pPr>
        <w:autoSpaceDE w:val="0"/>
        <w:autoSpaceDN w:val="0"/>
        <w:adjustRightInd w:val="0"/>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 geriátrico e em outros grupos de risco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estudo placebo-controlado realizado em mulheres saudáveis, que se encontravam em estágio final de gestação, verificou-se que a administração de 100 g de glicose uma hora antes do fim da gestação, não provocou nenhum efeito adverso nos níveis ácido-base do feto. Os fetos com malformação foram excluídos. Entretanto, os autores advertiram que, em concentrações de glicose mais elevadas na mãe (como pode ser encontrado em grávidas diabéticas), mudanças consistentes na acidose metabólica fetal, podem ocorrer, e que o teste da tolerância da glicose pode também ser perigoso aos fetos com retardo do crescimento.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O cuidado deve ser exercitado no tratamento dos neonatos, especialmente os neonatos precoces, cuja função renal pode estar imatura e cuja habilidade de excretar cargas do líquido e do soluto pode estar limitada.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geriátrico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geral, a seleção da dose para um paciente idoso deverá ser mais criteriosa. Sabe-se que estas drogas são excretadas substancialmente pelos rins, e o risco de reações tóxicas das soluções de glicose pode ser maior nos pacientes com função renal comprometida. Os pacientes idosos são mais prováveis de ter a função renal diminuída, por isso, cuidado deve ser tomado na seleção da dose, e pode ser útil monitorar a função renal.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INTERAÇÕES MEDICAMENTOSAS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Não são conhecidas interações medicamentosas até o momento.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Para minimizar o risco de possíveis incompatibilidades da mistura das soluções de glicose com outras medicações que possam ser prescritas, deve ser verificada a presença de turbidez ou precipitação imediatamente após a mistura, antes e durante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caso de dúvida, consulte um farmacêutico.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CUIDADOS DE ARMAZENAMENTO DO MEDICAMENTO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Prazo de validade:</w:t>
      </w:r>
      <w:r w:rsidRPr="00943086">
        <w:rPr>
          <w:rFonts w:ascii="Arial" w:eastAsia="Times New Roman" w:hAnsi="Arial" w:cs="Arial"/>
          <w:color w:val="FF0000"/>
          <w:sz w:val="20"/>
          <w:szCs w:val="20"/>
        </w:rPr>
        <w:t xml:space="preserve"> XX </w:t>
      </w:r>
      <w:r w:rsidRPr="00943086">
        <w:rPr>
          <w:rFonts w:ascii="Arial" w:eastAsia="Times New Roman" w:hAnsi="Arial" w:cs="Arial"/>
          <w:sz w:val="20"/>
          <w:szCs w:val="20"/>
        </w:rPr>
        <w:t>meses após a Data de Fabricação.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Solução injetável, límpida, estéril e apirogênica.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w:t>
      </w:r>
    </w:p>
    <w:p w:rsidR="00277596" w:rsidRPr="00943086" w:rsidRDefault="00277596" w:rsidP="00A44880">
      <w:pPr>
        <w:spacing w:after="0" w:line="240" w:lineRule="auto"/>
        <w:jc w:val="both"/>
        <w:rPr>
          <w:rFonts w:ascii="Arial" w:eastAsia="Times New Roman" w:hAnsi="Arial" w:cs="Arial"/>
          <w:b/>
          <w:color w:val="0070C0"/>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POSOLOGIA E MODO DE USAR</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277596" w:rsidRPr="00943086" w:rsidRDefault="00277596" w:rsidP="00A44880">
      <w:pPr>
        <w:spacing w:after="0" w:line="240" w:lineRule="auto"/>
        <w:jc w:val="both"/>
        <w:rPr>
          <w:rFonts w:ascii="Arial" w:eastAsia="Times New Roman" w:hAnsi="Arial" w:cs="Arial"/>
          <w:i/>
          <w:color w:val="808080"/>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277596" w:rsidRPr="00943086" w:rsidRDefault="00277596" w:rsidP="00A44880">
      <w:pPr>
        <w:spacing w:after="0" w:line="240" w:lineRule="auto"/>
        <w:jc w:val="both"/>
        <w:rPr>
          <w:rFonts w:ascii="Arial" w:eastAsia="Times New Roman" w:hAnsi="Arial" w:cs="Arial"/>
          <w:b/>
          <w:i/>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277596" w:rsidRPr="00943086" w:rsidRDefault="00277596" w:rsidP="00A44880">
      <w:pPr>
        <w:spacing w:after="0" w:line="240" w:lineRule="auto"/>
        <w:jc w:val="both"/>
        <w:rPr>
          <w:rFonts w:ascii="Arial" w:eastAsia="Times New Roman" w:hAnsi="Arial" w:cs="Arial"/>
          <w:i/>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Se for necessária medicação suplementar, seguir as instruções descritas a seguir antes de preparar a solução para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277596" w:rsidRPr="00943086" w:rsidRDefault="00277596" w:rsidP="00A44880">
      <w:pPr>
        <w:numPr>
          <w:ilvl w:val="0"/>
          <w:numId w:val="1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277596" w:rsidRPr="00943086" w:rsidRDefault="00277596" w:rsidP="00A44880">
      <w:pPr>
        <w:numPr>
          <w:ilvl w:val="0"/>
          <w:numId w:val="1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277596" w:rsidRPr="00943086" w:rsidRDefault="00277596" w:rsidP="00A44880">
      <w:pPr>
        <w:numPr>
          <w:ilvl w:val="0"/>
          <w:numId w:val="1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277596" w:rsidRPr="00943086" w:rsidRDefault="00277596" w:rsidP="00A44880">
      <w:pPr>
        <w:numPr>
          <w:ilvl w:val="0"/>
          <w:numId w:val="1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277596" w:rsidRPr="00943086" w:rsidRDefault="00277596" w:rsidP="00A44880">
      <w:pPr>
        <w:spacing w:after="0" w:line="240" w:lineRule="auto"/>
        <w:ind w:firstLine="708"/>
        <w:jc w:val="both"/>
        <w:rPr>
          <w:rFonts w:ascii="Arial" w:eastAsia="Times New Roman" w:hAnsi="Arial" w:cs="Arial"/>
          <w:sz w:val="20"/>
          <w:szCs w:val="20"/>
          <w:u w:val="single"/>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277596" w:rsidRPr="00943086" w:rsidRDefault="00277596" w:rsidP="00A44880">
      <w:pPr>
        <w:spacing w:after="0" w:line="240" w:lineRule="auto"/>
        <w:ind w:firstLine="708"/>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277596" w:rsidRPr="00943086" w:rsidRDefault="00277596" w:rsidP="00A44880">
      <w:pPr>
        <w:numPr>
          <w:ilvl w:val="0"/>
          <w:numId w:val="1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277596" w:rsidRPr="00943086" w:rsidRDefault="00277596" w:rsidP="00A44880">
      <w:pPr>
        <w:numPr>
          <w:ilvl w:val="0"/>
          <w:numId w:val="18"/>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8"/>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277596" w:rsidRPr="00943086" w:rsidRDefault="00277596" w:rsidP="00A44880">
      <w:pPr>
        <w:spacing w:after="0" w:line="240" w:lineRule="auto"/>
        <w:jc w:val="both"/>
        <w:rPr>
          <w:rFonts w:ascii="Arial" w:eastAsia="Times New Roman" w:hAnsi="Arial" w:cs="Arial"/>
          <w:sz w:val="20"/>
          <w:szCs w:val="20"/>
          <w:u w:val="single"/>
        </w:rPr>
      </w:pPr>
    </w:p>
    <w:p w:rsidR="00277596" w:rsidRPr="00943086" w:rsidRDefault="00277596" w:rsidP="00A44880">
      <w:pPr>
        <w:numPr>
          <w:ilvl w:val="0"/>
          <w:numId w:val="1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277596" w:rsidRPr="00943086" w:rsidRDefault="00277596" w:rsidP="00A44880">
      <w:pPr>
        <w:numPr>
          <w:ilvl w:val="0"/>
          <w:numId w:val="1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277596" w:rsidRPr="00943086" w:rsidRDefault="00277596" w:rsidP="00A44880">
      <w:pPr>
        <w:numPr>
          <w:ilvl w:val="0"/>
          <w:numId w:val="1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277596" w:rsidRPr="00943086" w:rsidRDefault="00277596" w:rsidP="00A44880">
      <w:pPr>
        <w:numPr>
          <w:ilvl w:val="0"/>
          <w:numId w:val="1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277596" w:rsidRPr="00943086" w:rsidRDefault="00277596" w:rsidP="00A44880">
      <w:pPr>
        <w:numPr>
          <w:ilvl w:val="0"/>
          <w:numId w:val="1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Posologia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dose de glicose é variável e dependente das necessidades do paciente. As concentrações de glicose no plasma devem ser monitoradas, a taxa máxima que pode ser infundida sem causar glicosúria é 0,5g/kg de peso corporal/hora. No entanto, o ideal é que a solução de glicose intravenosa seja fornecida em uma taxa de aproximadamente 6 a 7mg/kg/minuto.</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uso da solução de glicose é indicado para correção de hipoglicemia infantil, podendo ser utilizada em nutrição parenteral de crianças.</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dose e a taxa de infusão intravenosa de glicose devem ser selecionadas com cuidado em pacientes pediátricos, particularmente nos neonatos e nas crianças com baixo peso ao nascer porque aumenta o risco de hiperglicemia/hipoglicemia.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de glicose 5% pode ser administrada em pacientes diabéticos, mesmo em coma, porém, é fundamental o controle adequado da cetose e, se necessário, deve-se recorrer </w:t>
      </w:r>
      <w:r w:rsidR="00A44880" w:rsidRPr="00943086">
        <w:rPr>
          <w:rFonts w:ascii="Arial" w:eastAsia="Times New Roman" w:hAnsi="Arial" w:cs="Arial"/>
          <w:sz w:val="20"/>
          <w:szCs w:val="20"/>
        </w:rPr>
        <w:t>à</w:t>
      </w:r>
      <w:r w:rsidRPr="00943086">
        <w:rPr>
          <w:rFonts w:ascii="Arial" w:eastAsia="Times New Roman" w:hAnsi="Arial" w:cs="Arial"/>
          <w:sz w:val="20"/>
          <w:szCs w:val="20"/>
        </w:rPr>
        <w:t xml:space="preserve"> administração de insulina.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avaliação clínica e as determinações laboratoriais periódicas são necessárias para monitorar mudanças em concentrações da glicose e do eletrólito do sangue, e o balanço do líquido e de eletrólitos durante a terapia parenteral prolongada ou sempre que a condição do paciente permitir tal avaliação.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REAÇÕES ADVERSAS</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As reações adversas podem ocorrer devido à solução ou à técnica de administração e incluem resposta febril, infecção no ponto de injeção, trombose venosa ou flebite irradiando-se a partir do ponto de injeção, extravasamento e hipervolemia. Se ocorrer reação adversa, suspender a infusão, avaliar o paciente, aplicar terapêutica corretiva apropriada e guardar o restante da solução para posterior investigação, se necessário. Algumas destas reações podem ser devido aos produtos de degradação presentes após autoclavação. A infusão intravenosa pode conduzir ao desenvolvimento de distúrbios líquidos e eletrólitos incluindo a hipocalemia, o hipomagnesemia, e a hipofosfatemia.</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color w:val="0070C0"/>
          <w:sz w:val="20"/>
          <w:szCs w:val="20"/>
        </w:rPr>
        <w:t xml:space="preserve">Em casos de eventos adversos, notifique ao Sistema de Notificações em Vigilância Sanitária - NOTIVISA, disponível em </w:t>
      </w:r>
      <w:hyperlink r:id="rId9" w:history="1">
        <w:r w:rsidRPr="00943086">
          <w:rPr>
            <w:rFonts w:ascii="Arial" w:eastAsia="Times New Roman" w:hAnsi="Arial" w:cs="Arial"/>
            <w:color w:val="0070C0"/>
            <w:sz w:val="20"/>
            <w:szCs w:val="20"/>
            <w:u w:val="single"/>
          </w:rPr>
          <w:t>http://www.anvisa.gov.br/hotsite/notivisa/index.htm</w:t>
        </w:r>
      </w:hyperlink>
      <w:r w:rsidRPr="00943086">
        <w:rPr>
          <w:rFonts w:ascii="Arial" w:eastAsia="Times New Roman" w:hAnsi="Arial" w:cs="Arial"/>
          <w:color w:val="0070C0"/>
          <w:sz w:val="20"/>
          <w:szCs w:val="20"/>
        </w:rPr>
        <w:t>, ou para a Vigilância Sanitária Estadual ou Municipal.</w:t>
      </w:r>
    </w:p>
    <w:p w:rsidR="00277596" w:rsidRPr="00943086" w:rsidRDefault="00277596" w:rsidP="00A44880">
      <w:pPr>
        <w:shd w:val="clear" w:color="auto" w:fill="FFFFFF"/>
        <w:spacing w:after="0" w:line="240" w:lineRule="auto"/>
        <w:jc w:val="both"/>
        <w:rPr>
          <w:rFonts w:ascii="Arial" w:eastAsia="Times New Roman" w:hAnsi="Arial" w:cs="Arial"/>
          <w:color w:val="000000"/>
          <w:sz w:val="20"/>
          <w:szCs w:val="20"/>
        </w:rPr>
      </w:pP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S</w:t>
      </w:r>
      <w:r w:rsidRPr="00943086">
        <w:rPr>
          <w:rFonts w:ascii="Arial" w:eastAsia="Times New Roman" w:hAnsi="Arial" w:cs="Arial"/>
          <w:b/>
          <w:sz w:val="20"/>
          <w:szCs w:val="20"/>
        </w:rPr>
        <w:t>UPERDOSE</w:t>
      </w:r>
    </w:p>
    <w:p w:rsidR="00277596" w:rsidRPr="00943086" w:rsidRDefault="00277596" w:rsidP="00A44880">
      <w:pPr>
        <w:shd w:val="clear" w:color="auto" w:fill="FFFFFF"/>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infusão de grandes volumes da solução de glicose 5% e 10% pode causar hipervolemia, resultando em diluições eletrolíticas do soro, estados congestivos e edemas pulmonares.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infusão muito rápida de glicose pode ocasionar distúrbios neurológicos como depressão e coma, devidos aos fenômenos de hiperosmolaridade, principalmente em portadores de nefropatias crônicas. Nestes casos, a infusão deve ser interrompida e a terapia de apoio deve ser instalada.</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Nas doses usuais indicadas pelo médico não há relatos de superdosagem, exceto em pacientes diabéticos com intolerância a glicose. </w:t>
      </w:r>
    </w:p>
    <w:p w:rsidR="00277596" w:rsidRPr="00943086" w:rsidRDefault="00277596" w:rsidP="00A44880">
      <w:pPr>
        <w:spacing w:after="0" w:line="240" w:lineRule="auto"/>
        <w:jc w:val="both"/>
        <w:rPr>
          <w:rFonts w:ascii="Arial" w:eastAsia="Times New Roman" w:hAnsi="Arial" w:cs="Arial"/>
          <w:sz w:val="20"/>
          <w:szCs w:val="20"/>
        </w:rPr>
      </w:pPr>
    </w:p>
    <w:p w:rsidR="00277596" w:rsidRPr="00943086" w:rsidRDefault="0027759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Num evento de sobrecarga de fluidos ou solutos durante a terapia parenteral, reavalie as condições do paciente e institua o tratamento corretivo apropriado.</w:t>
      </w:r>
    </w:p>
    <w:p w:rsidR="00277596" w:rsidRPr="00943086" w:rsidRDefault="00277596" w:rsidP="00A44880">
      <w:pPr>
        <w:spacing w:after="0" w:line="240" w:lineRule="auto"/>
        <w:jc w:val="both"/>
        <w:rPr>
          <w:rFonts w:ascii="Arial" w:eastAsia="Times New Roman" w:hAnsi="Arial" w:cs="Arial"/>
          <w:b/>
          <w:sz w:val="20"/>
          <w:szCs w:val="20"/>
        </w:rPr>
      </w:pPr>
    </w:p>
    <w:p w:rsidR="00277596" w:rsidRPr="00943086" w:rsidRDefault="0027759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intoxicação ligue para 0800 722 6001, se você precisar de mais orientações.</w:t>
      </w:r>
    </w:p>
    <w:p w:rsidR="00277596" w:rsidRPr="00943086" w:rsidRDefault="00277596" w:rsidP="00A44880">
      <w:pPr>
        <w:spacing w:after="0" w:line="240" w:lineRule="auto"/>
        <w:rPr>
          <w:rFonts w:ascii="Arial" w:eastAsia="Times New Roman" w:hAnsi="Arial" w:cs="Arial"/>
          <w:b/>
          <w:color w:val="0070C0"/>
          <w:sz w:val="20"/>
          <w:szCs w:val="20"/>
        </w:rPr>
      </w:pPr>
    </w:p>
    <w:p w:rsidR="002E304F" w:rsidRPr="00943086" w:rsidRDefault="002E304F" w:rsidP="00A44880">
      <w:pPr>
        <w:spacing w:after="0" w:line="240" w:lineRule="auto"/>
        <w:rPr>
          <w:rFonts w:ascii="Arial" w:eastAsia="Times New Roman" w:hAnsi="Arial" w:cs="Arial"/>
          <w:b/>
          <w:color w:val="0070C0"/>
          <w:sz w:val="20"/>
          <w:szCs w:val="20"/>
        </w:rPr>
      </w:pPr>
      <w:r>
        <w:rPr>
          <w:rFonts w:ascii="Arial" w:eastAsia="Times New Roman" w:hAnsi="Arial" w:cs="Arial"/>
          <w:b/>
          <w:color w:val="0070C0"/>
          <w:sz w:val="20"/>
          <w:szCs w:val="20"/>
        </w:rPr>
        <w:t>DIZERES LEGAIS</w:t>
      </w:r>
    </w:p>
    <w:p w:rsidR="002E304F" w:rsidRDefault="002E304F"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M.S. nº: X.XXXX.XXXX.XXX-X</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Responsável Técnico: XXXXXX CRF/XX:</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Fabricado por: </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Nome completo e Endereço do Fabricante </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Registrado por:</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Nome completo e Endereço do Titular do registro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Cadastro Nacional de Pessoa Jurídica, CNPJ.</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Indústria Brasileira </w:t>
      </w:r>
      <w:r w:rsidRPr="00943086">
        <w:rPr>
          <w:rFonts w:ascii="Arial" w:eastAsia="Times New Roman" w:hAnsi="Arial" w:cs="Arial"/>
          <w:i/>
          <w:color w:val="0070C0"/>
          <w:sz w:val="20"/>
          <w:szCs w:val="20"/>
        </w:rPr>
        <w:t>(se for o caso).</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Telefone do Serviço de Atendimento ao Consumidor da empresa – SAC</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Uso restrito a hospitais.</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Venda sob prescrição médica.</w:t>
      </w: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Venda proibida ao comércio. </w:t>
      </w:r>
      <w:r w:rsidRPr="00943086">
        <w:rPr>
          <w:rFonts w:ascii="Arial" w:eastAsia="Times New Roman" w:hAnsi="Arial" w:cs="Arial"/>
          <w:i/>
          <w:color w:val="0070C0"/>
          <w:sz w:val="20"/>
          <w:szCs w:val="20"/>
        </w:rPr>
        <w:t>(somente para os medicamentos com destinação institucional).</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Esta bula foi atualizada conforme Bula Padrão aprovada pela Anvisa em dia/mês/ano.</w:t>
      </w:r>
    </w:p>
    <w:p w:rsidR="00277596" w:rsidRPr="00943086" w:rsidRDefault="00277596" w:rsidP="00A44880">
      <w:pPr>
        <w:spacing w:after="0" w:line="240" w:lineRule="auto"/>
        <w:rPr>
          <w:rFonts w:ascii="Arial" w:eastAsia="Times New Roman" w:hAnsi="Arial" w:cs="Arial"/>
          <w:b/>
          <w:color w:val="0070C0"/>
          <w:sz w:val="20"/>
          <w:szCs w:val="20"/>
        </w:rPr>
      </w:pPr>
    </w:p>
    <w:p w:rsidR="00277596" w:rsidRPr="00943086" w:rsidRDefault="0027759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noProof/>
          <w:color w:val="0070C0"/>
          <w:sz w:val="20"/>
          <w:szCs w:val="20"/>
        </w:rPr>
        <w:drawing>
          <wp:inline distT="0" distB="0" distL="0" distR="0" wp14:anchorId="3D7CF860" wp14:editId="7E514DF8">
            <wp:extent cx="368300" cy="36195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277596" w:rsidRPr="00943086" w:rsidRDefault="00277596" w:rsidP="00A44880">
      <w:pPr>
        <w:spacing w:after="0" w:line="240" w:lineRule="auto"/>
        <w:rPr>
          <w:rFonts w:ascii="Arial" w:eastAsia="Times New Roman" w:hAnsi="Arial" w:cs="Arial"/>
          <w:b/>
          <w:color w:val="0070C0"/>
          <w:sz w:val="20"/>
          <w:szCs w:val="20"/>
        </w:rPr>
      </w:pPr>
    </w:p>
    <w:p w:rsidR="004962A5" w:rsidRDefault="004962A5">
      <w:pPr>
        <w:rPr>
          <w:rFonts w:ascii="Arial" w:eastAsia="Times New Roman" w:hAnsi="Arial" w:cs="Arial"/>
          <w:b/>
          <w:sz w:val="20"/>
          <w:szCs w:val="20"/>
          <w:u w:val="single"/>
        </w:rPr>
      </w:pPr>
      <w:r>
        <w:rPr>
          <w:rFonts w:ascii="Arial" w:eastAsia="Times New Roman" w:hAnsi="Arial" w:cs="Arial"/>
          <w:b/>
          <w:sz w:val="20"/>
          <w:szCs w:val="20"/>
          <w:u w:val="single"/>
        </w:rPr>
        <w:br w:type="page"/>
      </w:r>
    </w:p>
    <w:p w:rsidR="00B47FB1" w:rsidRPr="002E304F" w:rsidRDefault="007A1948" w:rsidP="00A44880">
      <w:pPr>
        <w:spacing w:after="0" w:line="240" w:lineRule="auto"/>
        <w:rPr>
          <w:rFonts w:ascii="Arial" w:eastAsia="Times New Roman" w:hAnsi="Arial" w:cs="Arial"/>
          <w:b/>
          <w:sz w:val="20"/>
          <w:szCs w:val="20"/>
          <w:u w:val="single"/>
        </w:rPr>
      </w:pPr>
      <w:r w:rsidRPr="002E304F">
        <w:rPr>
          <w:rFonts w:ascii="Arial" w:eastAsia="Times New Roman" w:hAnsi="Arial" w:cs="Arial"/>
          <w:b/>
          <w:sz w:val="20"/>
          <w:szCs w:val="20"/>
          <w:u w:val="single"/>
        </w:rPr>
        <w:lastRenderedPageBreak/>
        <w:t xml:space="preserve">SOLUÇÃO DE </w:t>
      </w:r>
      <w:r w:rsidR="00B47FB1" w:rsidRPr="002E304F">
        <w:rPr>
          <w:rFonts w:ascii="Arial" w:eastAsia="Times New Roman" w:hAnsi="Arial" w:cs="Arial"/>
          <w:b/>
          <w:sz w:val="20"/>
          <w:szCs w:val="20"/>
          <w:u w:val="single"/>
        </w:rPr>
        <w:t>MANITOL 20%</w:t>
      </w:r>
    </w:p>
    <w:p w:rsidR="00277596" w:rsidRPr="00943086" w:rsidRDefault="00277596" w:rsidP="00A44880">
      <w:pPr>
        <w:autoSpaceDE w:val="0"/>
        <w:autoSpaceDN w:val="0"/>
        <w:adjustRightInd w:val="0"/>
        <w:spacing w:after="0" w:line="240" w:lineRule="auto"/>
        <w:jc w:val="both"/>
        <w:rPr>
          <w:rFonts w:ascii="Arial" w:hAnsi="Arial" w:cs="Arial"/>
          <w:color w:val="000000"/>
          <w:sz w:val="20"/>
          <w:szCs w:val="20"/>
        </w:rPr>
      </w:pPr>
    </w:p>
    <w:p w:rsidR="007A1948" w:rsidRPr="007A1948" w:rsidRDefault="007A1948" w:rsidP="00A44880">
      <w:pPr>
        <w:spacing w:after="0" w:line="240" w:lineRule="auto"/>
        <w:rPr>
          <w:rFonts w:ascii="Arial" w:eastAsia="Times New Roman" w:hAnsi="Arial" w:cs="Arial"/>
          <w:b/>
          <w:color w:val="FF0000"/>
          <w:sz w:val="20"/>
          <w:szCs w:val="20"/>
          <w:u w:val="single"/>
        </w:rPr>
      </w:pPr>
      <w:r w:rsidRPr="007A1948">
        <w:rPr>
          <w:rFonts w:ascii="Arial" w:eastAsia="Times New Roman" w:hAnsi="Arial" w:cs="Arial"/>
          <w:b/>
          <w:color w:val="FF0000"/>
          <w:sz w:val="20"/>
          <w:szCs w:val="20"/>
        </w:rPr>
        <w:t>NOME DO PRODUTO</w:t>
      </w: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SOLUÇÃO DE MANITOL 20%</w:t>
      </w:r>
    </w:p>
    <w:p w:rsidR="007A1948" w:rsidRPr="007A1948" w:rsidRDefault="007A1948" w:rsidP="00A44880">
      <w:pPr>
        <w:spacing w:after="0" w:line="240" w:lineRule="auto"/>
        <w:jc w:val="both"/>
        <w:rPr>
          <w:rFonts w:ascii="Arial" w:eastAsia="Times New Roman" w:hAnsi="Arial" w:cs="Arial"/>
          <w:b/>
          <w:sz w:val="20"/>
          <w:szCs w:val="20"/>
          <w:u w:val="single"/>
        </w:rPr>
      </w:pPr>
    </w:p>
    <w:p w:rsidR="007A1948" w:rsidRPr="007A1948" w:rsidRDefault="007A1948" w:rsidP="00A44880">
      <w:pPr>
        <w:spacing w:after="0" w:line="240" w:lineRule="auto"/>
        <w:rPr>
          <w:rFonts w:ascii="Arial" w:eastAsia="Times New Roman" w:hAnsi="Arial" w:cs="Arial"/>
          <w:b/>
          <w:sz w:val="20"/>
          <w:szCs w:val="20"/>
        </w:rPr>
      </w:pPr>
      <w:r w:rsidRPr="007A1948">
        <w:rPr>
          <w:rFonts w:ascii="Arial" w:eastAsia="Times New Roman" w:hAnsi="Arial" w:cs="Arial"/>
          <w:b/>
          <w:sz w:val="20"/>
          <w:szCs w:val="20"/>
        </w:rPr>
        <w:t>APRESENTAÇÃO</w:t>
      </w:r>
    </w:p>
    <w:p w:rsidR="007A1948" w:rsidRPr="007A1948" w:rsidRDefault="007A1948" w:rsidP="00A44880">
      <w:pPr>
        <w:spacing w:after="0" w:line="240" w:lineRule="auto"/>
        <w:rPr>
          <w:rFonts w:ascii="Arial" w:eastAsia="Times New Roman" w:hAnsi="Arial" w:cs="Arial"/>
          <w:sz w:val="20"/>
          <w:szCs w:val="20"/>
        </w:rPr>
      </w:pPr>
      <w:r w:rsidRPr="007A1948">
        <w:rPr>
          <w:rFonts w:ascii="Arial" w:eastAsia="Times New Roman" w:hAnsi="Arial" w:cs="Arial"/>
          <w:sz w:val="20"/>
          <w:szCs w:val="20"/>
        </w:rPr>
        <w:t>Solução injetável, límpida e hipotônica, estéril e apirogênica.</w:t>
      </w:r>
    </w:p>
    <w:p w:rsidR="007A1948" w:rsidRPr="007A1948" w:rsidRDefault="007A1948" w:rsidP="00A44880">
      <w:pPr>
        <w:spacing w:after="0" w:line="240" w:lineRule="auto"/>
        <w:rPr>
          <w:rFonts w:ascii="Arial" w:eastAsia="Times New Roman" w:hAnsi="Arial" w:cs="Arial"/>
          <w:sz w:val="20"/>
          <w:szCs w:val="20"/>
        </w:rPr>
      </w:pPr>
      <w:r w:rsidRPr="007A1948">
        <w:rPr>
          <w:rFonts w:ascii="Arial" w:eastAsia="Times New Roman" w:hAnsi="Arial" w:cs="Arial"/>
          <w:sz w:val="20"/>
          <w:szCs w:val="20"/>
        </w:rPr>
        <w:t xml:space="preserve">Apresentações: Frascos, ampolas e bolsas </w:t>
      </w:r>
      <w:r w:rsidRPr="007A1948">
        <w:rPr>
          <w:rFonts w:ascii="Arial" w:eastAsia="Times New Roman" w:hAnsi="Arial" w:cs="Arial"/>
          <w:color w:val="FF0000"/>
          <w:sz w:val="20"/>
          <w:szCs w:val="20"/>
        </w:rPr>
        <w:t>XX</w:t>
      </w:r>
      <w:r w:rsidRPr="007A1948">
        <w:rPr>
          <w:rFonts w:ascii="Arial" w:eastAsia="Times New Roman" w:hAnsi="Arial" w:cs="Arial"/>
          <w:sz w:val="20"/>
          <w:szCs w:val="20"/>
        </w:rPr>
        <w:t xml:space="preserve"> mL.</w:t>
      </w:r>
    </w:p>
    <w:p w:rsidR="007A1948" w:rsidRPr="007A1948" w:rsidRDefault="007A1948" w:rsidP="00A44880">
      <w:pPr>
        <w:spacing w:after="0" w:line="240" w:lineRule="auto"/>
        <w:rPr>
          <w:rFonts w:ascii="Arial" w:eastAsia="Times New Roman" w:hAnsi="Arial" w:cs="Arial"/>
          <w:i/>
          <w:color w:val="808080"/>
          <w:sz w:val="20"/>
          <w:szCs w:val="20"/>
        </w:rPr>
      </w:pPr>
      <w:r w:rsidRPr="007A1948">
        <w:rPr>
          <w:rFonts w:ascii="Arial" w:eastAsia="Times New Roman" w:hAnsi="Arial" w:cs="Arial"/>
          <w:i/>
          <w:color w:val="808080"/>
          <w:sz w:val="20"/>
          <w:szCs w:val="20"/>
        </w:rPr>
        <w:t>(inserir apenas apresentações comercializadas)</w:t>
      </w:r>
    </w:p>
    <w:p w:rsidR="007A1948" w:rsidRPr="007A1948" w:rsidRDefault="007A1948" w:rsidP="00A44880">
      <w:pPr>
        <w:spacing w:after="0" w:line="240" w:lineRule="auto"/>
        <w:rPr>
          <w:rFonts w:ascii="Arial" w:eastAsia="Times New Roman" w:hAnsi="Arial" w:cs="Arial"/>
          <w:sz w:val="20"/>
          <w:szCs w:val="20"/>
        </w:rPr>
      </w:pPr>
    </w:p>
    <w:p w:rsidR="007A1948" w:rsidRPr="007A1948" w:rsidRDefault="007A1948" w:rsidP="00A44880">
      <w:pPr>
        <w:spacing w:after="0" w:line="240" w:lineRule="auto"/>
        <w:rPr>
          <w:rFonts w:ascii="Arial" w:eastAsia="Times New Roman" w:hAnsi="Arial" w:cs="Arial"/>
          <w:b/>
          <w:sz w:val="20"/>
          <w:szCs w:val="20"/>
        </w:rPr>
      </w:pPr>
      <w:r w:rsidRPr="007A1948">
        <w:rPr>
          <w:rFonts w:ascii="Arial" w:eastAsia="Times New Roman" w:hAnsi="Arial" w:cs="Arial"/>
          <w:b/>
          <w:sz w:val="20"/>
          <w:szCs w:val="20"/>
        </w:rPr>
        <w:t>USO INTRAVENOSO E INDIVIDUALIZADO</w:t>
      </w:r>
    </w:p>
    <w:p w:rsidR="007A1948" w:rsidRPr="007A1948" w:rsidRDefault="007A1948" w:rsidP="00A44880">
      <w:pPr>
        <w:spacing w:after="0" w:line="240" w:lineRule="auto"/>
        <w:rPr>
          <w:rFonts w:ascii="Arial" w:eastAsia="Times New Roman" w:hAnsi="Arial" w:cs="Arial"/>
          <w:b/>
          <w:sz w:val="20"/>
          <w:szCs w:val="20"/>
        </w:rPr>
      </w:pPr>
    </w:p>
    <w:p w:rsidR="007A1948" w:rsidRPr="007A1948" w:rsidRDefault="007A1948" w:rsidP="00A44880">
      <w:pPr>
        <w:spacing w:after="0" w:line="240" w:lineRule="auto"/>
        <w:rPr>
          <w:rFonts w:ascii="Arial" w:eastAsia="Times New Roman" w:hAnsi="Arial" w:cs="Arial"/>
          <w:b/>
          <w:sz w:val="20"/>
          <w:szCs w:val="20"/>
        </w:rPr>
      </w:pPr>
      <w:r w:rsidRPr="007A1948">
        <w:rPr>
          <w:rFonts w:ascii="Arial" w:eastAsia="Times New Roman" w:hAnsi="Arial" w:cs="Arial"/>
          <w:b/>
          <w:sz w:val="20"/>
          <w:szCs w:val="20"/>
        </w:rPr>
        <w:t>USO ADULTO E PEDIÁTRICO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rPr>
          <w:rFonts w:ascii="Arial" w:eastAsia="Times New Roman" w:hAnsi="Arial" w:cs="Arial"/>
          <w:b/>
          <w:sz w:val="20"/>
          <w:szCs w:val="20"/>
        </w:rPr>
      </w:pPr>
      <w:r w:rsidRPr="007A1948">
        <w:rPr>
          <w:rFonts w:ascii="Arial" w:eastAsia="Times New Roman" w:hAnsi="Arial" w:cs="Arial"/>
          <w:b/>
          <w:sz w:val="20"/>
          <w:szCs w:val="20"/>
        </w:rPr>
        <w:t>COMPOSIÇÃO:</w:t>
      </w:r>
    </w:p>
    <w:p w:rsidR="007A1948" w:rsidRPr="007A1948" w:rsidRDefault="007A1948" w:rsidP="00A44880">
      <w:pPr>
        <w:spacing w:after="0" w:line="240" w:lineRule="auto"/>
        <w:rPr>
          <w:rFonts w:ascii="Arial" w:eastAsia="Times New Roman" w:hAnsi="Arial" w:cs="Arial"/>
          <w:sz w:val="20"/>
          <w:szCs w:val="20"/>
        </w:rPr>
      </w:pPr>
      <w:r w:rsidRPr="007A1948">
        <w:rPr>
          <w:rFonts w:ascii="Arial" w:eastAsia="Times New Roman" w:hAnsi="Arial" w:cs="Arial"/>
          <w:sz w:val="20"/>
          <w:szCs w:val="20"/>
        </w:rPr>
        <w:t>Cada mL da solução contém:</w:t>
      </w:r>
    </w:p>
    <w:p w:rsidR="007A1948" w:rsidRPr="007A1948" w:rsidRDefault="007A1948" w:rsidP="00A44880">
      <w:pPr>
        <w:tabs>
          <w:tab w:val="left" w:leader="dot" w:pos="6237"/>
        </w:tabs>
        <w:spacing w:after="0" w:line="240" w:lineRule="auto"/>
        <w:rPr>
          <w:rFonts w:ascii="Arial" w:eastAsia="Times New Roman" w:hAnsi="Arial" w:cs="Arial"/>
          <w:sz w:val="20"/>
          <w:szCs w:val="20"/>
        </w:rPr>
      </w:pPr>
      <w:r w:rsidRPr="007A1948">
        <w:rPr>
          <w:rFonts w:ascii="Arial" w:eastAsia="Times New Roman" w:hAnsi="Arial" w:cs="Arial"/>
          <w:sz w:val="20"/>
          <w:szCs w:val="20"/>
        </w:rPr>
        <w:t>manitol</w:t>
      </w:r>
      <w:r w:rsidRPr="007A1948">
        <w:rPr>
          <w:rFonts w:ascii="Arial" w:eastAsia="Times New Roman" w:hAnsi="Arial" w:cs="Arial"/>
          <w:sz w:val="20"/>
          <w:szCs w:val="20"/>
        </w:rPr>
        <w:tab/>
        <w:t>200 mg</w:t>
      </w:r>
    </w:p>
    <w:p w:rsidR="007A1948" w:rsidRPr="007A1948" w:rsidRDefault="007A1948" w:rsidP="00A44880">
      <w:pPr>
        <w:tabs>
          <w:tab w:val="left" w:leader="dot" w:pos="6237"/>
        </w:tabs>
        <w:spacing w:after="0" w:line="240" w:lineRule="auto"/>
        <w:rPr>
          <w:rFonts w:ascii="Arial" w:eastAsia="Times New Roman" w:hAnsi="Arial" w:cs="Arial"/>
          <w:sz w:val="20"/>
          <w:szCs w:val="20"/>
        </w:rPr>
      </w:pPr>
      <w:r w:rsidRPr="007A1948">
        <w:rPr>
          <w:rFonts w:ascii="Arial" w:eastAsia="Times New Roman" w:hAnsi="Arial" w:cs="Arial"/>
          <w:sz w:val="20"/>
          <w:szCs w:val="20"/>
        </w:rPr>
        <w:t>água para injeção q.s.p</w:t>
      </w:r>
      <w:r w:rsidRPr="007A1948">
        <w:rPr>
          <w:rFonts w:ascii="Arial" w:eastAsia="Times New Roman" w:hAnsi="Arial" w:cs="Arial"/>
          <w:sz w:val="20"/>
          <w:szCs w:val="20"/>
        </w:rPr>
        <w:tab/>
        <w:t>1 mL</w:t>
      </w:r>
    </w:p>
    <w:p w:rsidR="007A1948" w:rsidRPr="007A1948" w:rsidRDefault="007A1948" w:rsidP="00A44880">
      <w:pPr>
        <w:spacing w:after="0" w:line="240" w:lineRule="auto"/>
        <w:jc w:val="both"/>
        <w:rPr>
          <w:rFonts w:ascii="Arial" w:eastAsia="Times New Roman" w:hAnsi="Arial" w:cs="Arial"/>
          <w:b/>
          <w:i/>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 xml:space="preserve">INFORMAÇÕES AO PACIENTE </w:t>
      </w:r>
    </w:p>
    <w:p w:rsidR="007A1948" w:rsidRPr="00943086"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1. PARA QUE ESTE MEDICAMENTO É INDICADO?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é indicada para a promoção da diurese (eliminação de urina), na prevenção da falência renal aguda (parada de funcionamento dos rins)  durante cirurgias cardiovasculares e/ou após trauma; redução da pressão intracraniana (cerebral) e tratamento do edema cerebral; redução da pressão intraocular elevada quando esta não pode reduzida por outros meios; ataque de glaucoma; promoção da excreção urinária de substâncias tóxicas; edema cerebral de origem cardíaca (do coração) e renal (dos rins).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2. COMO ESTE MEDICAMENTO FUNCIONA?</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20% aumenta a produção de urina de forma acentuada. O manitol é um diurético osmótico eliminado pelos rins. Essa ação é o fundamento para o papel do manitol na redução da pressão intracraniana (pressão dos líquidos no cérebro), do edema intracraniano (</w:t>
      </w:r>
      <w:r w:rsidR="00C4118F">
        <w:rPr>
          <w:rFonts w:ascii="Arial" w:eastAsia="Times New Roman" w:hAnsi="Arial" w:cs="Arial"/>
          <w:sz w:val="20"/>
          <w:szCs w:val="20"/>
        </w:rPr>
        <w:t>aumento da pressão no cérebro</w:t>
      </w:r>
      <w:r w:rsidRPr="007A1948">
        <w:rPr>
          <w:rFonts w:ascii="Arial" w:eastAsia="Times New Roman" w:hAnsi="Arial" w:cs="Arial"/>
          <w:sz w:val="20"/>
          <w:szCs w:val="20"/>
        </w:rPr>
        <w:t xml:space="preserve">) e da pressão intraocular elevada. </w:t>
      </w:r>
    </w:p>
    <w:p w:rsidR="007A1948" w:rsidRPr="007A1948" w:rsidRDefault="007A1948" w:rsidP="00A44880">
      <w:pPr>
        <w:spacing w:after="0" w:line="240" w:lineRule="auto"/>
        <w:jc w:val="both"/>
        <w:rPr>
          <w:rFonts w:ascii="Arial" w:eastAsia="Times New Roman" w:hAnsi="Arial" w:cs="Arial"/>
          <w:b/>
          <w:sz w:val="20"/>
          <w:szCs w:val="20"/>
        </w:rPr>
      </w:pPr>
      <w:bookmarkStart w:id="2" w:name="s00138816"/>
      <w:bookmarkStart w:id="3" w:name="s00138817"/>
      <w:bookmarkStart w:id="4" w:name="s00138818"/>
      <w:bookmarkStart w:id="5" w:name="s00138819"/>
      <w:bookmarkStart w:id="6" w:name="s00138820"/>
      <w:bookmarkEnd w:id="2"/>
      <w:bookmarkEnd w:id="3"/>
      <w:bookmarkEnd w:id="4"/>
      <w:bookmarkEnd w:id="5"/>
      <w:bookmarkEnd w:id="6"/>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3. QUANDO NÃO DEVO USAR ESTE MEDICAMENTO?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não deve ser utilizada em pacientes com anúria total (ausência de produção de urina), descompensação cardíaca grave (problemas graves de coração), hemorragia intracraniana ativa (derramamento de sangue no cérebro), desidratação (perda de líquido) severa e edema pulmonar.</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nunca deve ser adicionada ao sangue total para transfusão, ou ser administrada no mesmo equipo usado para a infusão de sangue.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4. O QUE DEVO SABER ANTES DE USAR ESTE MEDICAMENTO?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manitol permanece fora da célula. Se concentrações elevadas de manitol estiverem presentes no soro ou caso o paciente tenha acidose (pH do sangue muito baixo), o manitol poderá atravessar a barreira hematoencefálica e causará um efeito contrário, aumentando a pressão intracraniana.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estado cardiovascular do paciente deve ser cuidadosamente avaliado antes de administrar rapidamente o manitol, visto que uma repentina expansão do fluido extracelular pode levar a uma falha cardíaca congestiva fulminante.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lastRenderedPageBreak/>
        <w:t>O deslocamento do fluido intracelular isento de sódio para o compartimento extracelular, subsequentemente à infusão de manitol, pode reduzir a concentração sérica de sódio e agravar a hiponatremia (redução da concentração de sódio) preexistente.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Para sustentar a diurese (produção de urina), a administração de manitol pode ocultar e intensificar uma hidratação inadequada ou hipovolemia.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Injeções de manitol isento de eletrólitos não devem ser administradas em conjunto com sangue.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monitoração apropriada dos níveis sanguíneos de sódio e potássio; o grau de hemoconcentração (concentração do sangue) ou hemodiluição (diluição do sangue), se houver; índices da função renal (dos rins), cardíaca (do coração) ou pulmonar são essenciais para evitar deslocamentos excessivos de fluidos e eletrólitos.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A administração de soluções substancialmente hipertônicas (≥ 600mOms/L) pode causar danos </w:t>
      </w:r>
      <w:r w:rsidR="00A44880" w:rsidRPr="007A1948">
        <w:rPr>
          <w:rFonts w:ascii="Arial" w:eastAsia="Times New Roman" w:hAnsi="Arial" w:cs="Arial"/>
          <w:sz w:val="20"/>
          <w:szCs w:val="20"/>
        </w:rPr>
        <w:t>às</w:t>
      </w:r>
      <w:r w:rsidRPr="007A1948">
        <w:rPr>
          <w:rFonts w:ascii="Arial" w:eastAsia="Times New Roman" w:hAnsi="Arial" w:cs="Arial"/>
          <w:sz w:val="20"/>
          <w:szCs w:val="20"/>
        </w:rPr>
        <w:t xml:space="preserve"> veias.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ESTE MEDICAMENTO NÃO DEVE SER UTILIZADO POR MULHERES GRÁVIDAS SEM ORIENTAÇÃO MÉDICA OU DO CIRURGIÃO DENTISTA</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Uso em crianças, idosos e em outros grupos de risco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Não há relatos de que a solução intravenosa de manitol 20% apresente contraindicações ou efeitos colaterais no uso em idosos, crianças e mulheres que estão amamentando.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Interações medicamentosas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São desconhecidas interações com soluções de manitol e outros medicamentos até o momento. Não deve ser utilizado como veículo de medicamento.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Pode aumentar a possibilidade de toxicidade digitálica dos glicosídeos digitálicos. Pode também potencializar os efeitos diuréticos e redutores da pressão intraocular de outros diuréticos.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Informe ao seu médico ou cirurgião-dentista se você está fazendo uso de algum outro medicamento.</w:t>
      </w:r>
    </w:p>
    <w:p w:rsidR="007A1948" w:rsidRPr="007A1948" w:rsidRDefault="007A1948" w:rsidP="00A44880">
      <w:pPr>
        <w:spacing w:after="0" w:line="240" w:lineRule="auto"/>
        <w:jc w:val="both"/>
        <w:rPr>
          <w:rFonts w:ascii="Arial" w:eastAsia="Times New Roman" w:hAnsi="Arial" w:cs="Arial"/>
          <w:b/>
          <w:color w:val="4F81BD"/>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Não use medicamento sem o conhecimento do seu médico. Pode ser perigoso para a sua saúde.</w:t>
      </w:r>
      <w:r w:rsidRPr="007A1948">
        <w:rPr>
          <w:rFonts w:ascii="Arial" w:eastAsia="Times New Roman" w:hAnsi="Arial" w:cs="Arial"/>
          <w:b/>
          <w:color w:val="4F81BD"/>
          <w:sz w:val="20"/>
          <w:szCs w:val="20"/>
        </w:rPr>
        <w:cr/>
      </w: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5. ONDE, COMO E POR QUANTO TEMPO POSSO GUARDAR ESTE MEDICAMENTO?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produto deve ser armazenado em temperatura ambiente (15ºC a 30ºC).</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Prazo de validade: </w:t>
      </w:r>
      <w:r w:rsidRPr="007A1948">
        <w:rPr>
          <w:rFonts w:ascii="Arial" w:eastAsia="Times New Roman" w:hAnsi="Arial" w:cs="Arial"/>
          <w:color w:val="FF0000"/>
          <w:sz w:val="20"/>
          <w:szCs w:val="20"/>
        </w:rPr>
        <w:t>XX</w:t>
      </w:r>
      <w:r w:rsidRPr="007A1948">
        <w:rPr>
          <w:rFonts w:ascii="Arial" w:eastAsia="Times New Roman" w:hAnsi="Arial" w:cs="Arial"/>
          <w:sz w:val="20"/>
          <w:szCs w:val="20"/>
        </w:rPr>
        <w:t xml:space="preserve"> meses após a data de fabricação.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Número de lote e datas de fabricação e validade: vide embalagem.</w:t>
      </w:r>
    </w:p>
    <w:p w:rsidR="007A1948" w:rsidRPr="007A1948" w:rsidRDefault="007A1948" w:rsidP="00A44880">
      <w:pPr>
        <w:spacing w:after="0" w:line="240" w:lineRule="auto"/>
        <w:jc w:val="both"/>
        <w:rPr>
          <w:rFonts w:ascii="Arial" w:eastAsia="Times New Roman" w:hAnsi="Arial" w:cs="Arial"/>
          <w:b/>
          <w:color w:val="4F81BD"/>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Não use medicamento com prazo de validade vencido. Guarde-o em sua embalagem original.</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Aspecto: líquido límpido, hipotônico, estéril e apirogênico.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Antes de usar, observe o aspecto do medicamento. Caso ele esteja no prazo de validade e você observe alguma mudança no aspecto, consulte o farmacêutico para saber se poderá utilizá-lo.</w:t>
      </w:r>
    </w:p>
    <w:p w:rsidR="007A1948" w:rsidRPr="007A1948" w:rsidRDefault="007A1948" w:rsidP="00A44880">
      <w:pPr>
        <w:spacing w:after="0" w:line="240" w:lineRule="auto"/>
        <w:jc w:val="both"/>
        <w:rPr>
          <w:rFonts w:ascii="Arial" w:eastAsia="Times New Roman" w:hAnsi="Arial" w:cs="Arial"/>
          <w:b/>
          <w:color w:val="4F81BD"/>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Todo medicamento deve ser mantido fora do alcance das crianças.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lastRenderedPageBreak/>
        <w:t>6. COMO DEVO USAR ESTE MEDICAMENTO?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somente deve ter uso intravenoso e individualizado.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7A1948" w:rsidRPr="007A1948" w:rsidRDefault="007A1948" w:rsidP="00A44880">
      <w:pPr>
        <w:spacing w:after="0" w:line="240" w:lineRule="auto"/>
        <w:jc w:val="both"/>
        <w:rPr>
          <w:rFonts w:ascii="Arial" w:eastAsia="Times New Roman" w:hAnsi="Arial" w:cs="Arial"/>
          <w:i/>
          <w:color w:val="808080"/>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i/>
          <w:color w:val="808080"/>
          <w:sz w:val="20"/>
          <w:szCs w:val="20"/>
        </w:rPr>
        <w:t>Apenas para Soluções Parenterais de Grande Volume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é acondicionada em bolsas, frascos e/ou ampolas em</w:t>
      </w:r>
      <w:r w:rsidRPr="007A1948">
        <w:rPr>
          <w:rFonts w:ascii="Arial" w:eastAsia="Times New Roman" w:hAnsi="Arial" w:cs="Arial"/>
          <w:b/>
          <w:sz w:val="20"/>
          <w:szCs w:val="20"/>
        </w:rPr>
        <w:t xml:space="preserve"> SISTEMA FECHADO </w:t>
      </w:r>
      <w:r w:rsidRPr="007A1948">
        <w:rPr>
          <w:rFonts w:ascii="Arial" w:eastAsia="Times New Roman" w:hAnsi="Arial" w:cs="Arial"/>
          <w:sz w:val="20"/>
          <w:szCs w:val="20"/>
        </w:rPr>
        <w:t>para administração intravenosa usando equipo estéril.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b/>
          <w:sz w:val="20"/>
          <w:szCs w:val="20"/>
        </w:rPr>
        <w:t>Atenção: não usar embalagens primárias em conexões em série</w:t>
      </w:r>
      <w:r w:rsidRPr="007A1948">
        <w:rPr>
          <w:rFonts w:ascii="Arial" w:eastAsia="Times New Roman" w:hAnsi="Arial" w:cs="Arial"/>
          <w:sz w:val="20"/>
          <w:szCs w:val="20"/>
        </w:rPr>
        <w:t xml:space="preserve">. </w:t>
      </w:r>
      <w:r w:rsidRPr="007A1948">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NÃO PERFURAR A EMBALAGEM, POIS HÁ COMPROMETIMENTO DA ESTERILIDADE DO PRODUTO E RISCO DE CONTAMINAÇÃO.</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abrir:</w:t>
      </w:r>
    </w:p>
    <w:p w:rsidR="007A1948" w:rsidRPr="007A1948" w:rsidRDefault="007A1948" w:rsidP="00A44880">
      <w:pPr>
        <w:spacing w:after="0" w:line="240" w:lineRule="auto"/>
        <w:jc w:val="both"/>
        <w:rPr>
          <w:rFonts w:ascii="Arial" w:eastAsia="Times New Roman" w:hAnsi="Arial" w:cs="Arial"/>
          <w:b/>
          <w:i/>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b/>
          <w:i/>
          <w:color w:val="808080"/>
          <w:sz w:val="20"/>
          <w:szCs w:val="20"/>
        </w:rPr>
        <w:t xml:space="preserve">No caso das embalagens que possuem invólucro protetor: </w:t>
      </w:r>
      <w:r w:rsidRPr="007A1948">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7A1948" w:rsidRPr="007A1948" w:rsidRDefault="007A1948" w:rsidP="00A44880">
      <w:pPr>
        <w:spacing w:after="0" w:line="240" w:lineRule="auto"/>
        <w:jc w:val="both"/>
        <w:rPr>
          <w:rFonts w:ascii="Arial" w:eastAsia="Times New Roman" w:hAnsi="Arial" w:cs="Arial"/>
          <w:i/>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Se for necessária medicação suplementar, seguir as instruções descritas a seguir antes de preparar a solução para administração.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desinfecção do ambiente e de superfícies, higienização das mãos, uso de EPIs e</w:t>
      </w: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desinfecção de ampolas, frascos, pontos de adição dos medicamentos e conexões das linhas de infusão.</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0"/>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Remover o protetor de plástico do tubo de saída da solução no fundo da embalagem, </w:t>
      </w:r>
      <w:r w:rsidRPr="007A1948">
        <w:rPr>
          <w:rFonts w:ascii="Arial" w:eastAsia="Times New Roman" w:hAnsi="Arial" w:cs="Arial"/>
          <w:i/>
          <w:color w:val="808080"/>
          <w:sz w:val="20"/>
          <w:szCs w:val="20"/>
        </w:rPr>
        <w:t>quando presente</w:t>
      </w:r>
      <w:r w:rsidRPr="007A1948">
        <w:rPr>
          <w:rFonts w:ascii="Arial" w:eastAsia="Times New Roman" w:hAnsi="Arial" w:cs="Arial"/>
          <w:sz w:val="20"/>
          <w:szCs w:val="20"/>
        </w:rPr>
        <w:t>;</w:t>
      </w:r>
    </w:p>
    <w:p w:rsidR="007A1948" w:rsidRPr="007A1948" w:rsidRDefault="007A1948" w:rsidP="00A44880">
      <w:pPr>
        <w:numPr>
          <w:ilvl w:val="0"/>
          <w:numId w:val="20"/>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Fazer a assepsia da embalagem primária utilizando álcool 70%;</w:t>
      </w:r>
    </w:p>
    <w:p w:rsidR="007A1948" w:rsidRPr="007A1948" w:rsidRDefault="007A1948" w:rsidP="00A44880">
      <w:pPr>
        <w:numPr>
          <w:ilvl w:val="0"/>
          <w:numId w:val="20"/>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Suspender a embalagem pela alça de sustentação;</w:t>
      </w:r>
    </w:p>
    <w:p w:rsidR="007A1948" w:rsidRPr="007A1948" w:rsidRDefault="007A1948" w:rsidP="00A44880">
      <w:pPr>
        <w:numPr>
          <w:ilvl w:val="0"/>
          <w:numId w:val="20"/>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Conectar o equipo de infusão da solução. Consultar as instruções de uso do equipo;</w:t>
      </w:r>
    </w:p>
    <w:p w:rsidR="007A1948" w:rsidRPr="007A1948" w:rsidRDefault="007A1948" w:rsidP="00A44880">
      <w:pPr>
        <w:numPr>
          <w:ilvl w:val="0"/>
          <w:numId w:val="20"/>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Administrar a solução, por gotejamento contínuo, conforme prescrição médica.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adição de medicamentos:</w:t>
      </w:r>
    </w:p>
    <w:p w:rsidR="007A1948" w:rsidRPr="007A1948" w:rsidRDefault="007A1948" w:rsidP="00A44880">
      <w:pPr>
        <w:spacing w:after="0" w:line="240" w:lineRule="auto"/>
        <w:ind w:firstLine="708"/>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Atenção: verificar se há incompatibilidade entre o medicamento e a solução e, quando for o caso, se há incompatibilidade entre os medicamentos.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7A1948" w:rsidRPr="007A1948" w:rsidRDefault="007A1948" w:rsidP="00A44880">
      <w:pPr>
        <w:spacing w:after="0" w:line="240" w:lineRule="auto"/>
        <w:ind w:firstLine="708"/>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administração de medicamentos antes da administração da solução parenteral: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1"/>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Preparar o sítio de injeção fazendo sua assepsia;</w:t>
      </w:r>
    </w:p>
    <w:p w:rsidR="007A1948" w:rsidRPr="007A1948" w:rsidRDefault="007A1948" w:rsidP="00A44880">
      <w:pPr>
        <w:numPr>
          <w:ilvl w:val="0"/>
          <w:numId w:val="21"/>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7A1948" w:rsidRPr="007A1948" w:rsidRDefault="007A1948" w:rsidP="00A44880">
      <w:pPr>
        <w:numPr>
          <w:ilvl w:val="0"/>
          <w:numId w:val="21"/>
        </w:num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rPr>
        <w:t>Misturar o medicamento completamente na solução parenteral.</w:t>
      </w:r>
    </w:p>
    <w:p w:rsidR="007A1948" w:rsidRPr="007A1948" w:rsidRDefault="007A1948" w:rsidP="00A44880">
      <w:pPr>
        <w:numPr>
          <w:ilvl w:val="0"/>
          <w:numId w:val="21"/>
        </w:num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rPr>
        <w:t>Pós liofilizados devem ser reconstituídos/suspendidos no diluente estéril e apirogênico adequado antes de ser adicionados à solução parenteral.</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administração de medicamentos durante a administração da solução parenteral: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2"/>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Fechar a pinça do equipo de infusão;</w:t>
      </w:r>
    </w:p>
    <w:p w:rsidR="007A1948" w:rsidRPr="007A1948" w:rsidRDefault="007A1948" w:rsidP="00A44880">
      <w:pPr>
        <w:numPr>
          <w:ilvl w:val="0"/>
          <w:numId w:val="22"/>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Preparar o sítio próprio para administração de medicamentos, fazendo sua assepsia;</w:t>
      </w:r>
    </w:p>
    <w:p w:rsidR="007A1948" w:rsidRPr="007A1948" w:rsidRDefault="007A1948" w:rsidP="00A44880">
      <w:pPr>
        <w:numPr>
          <w:ilvl w:val="0"/>
          <w:numId w:val="22"/>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Utilizar seringa com agulha estéril para perfurar o sítio e adicionar o medicamento na solução parenteral;</w:t>
      </w:r>
    </w:p>
    <w:p w:rsidR="007A1948" w:rsidRPr="007A1948" w:rsidRDefault="007A1948" w:rsidP="00A44880">
      <w:pPr>
        <w:numPr>
          <w:ilvl w:val="0"/>
          <w:numId w:val="22"/>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Misturar o medicamento completamente na solução parenteral;</w:t>
      </w:r>
    </w:p>
    <w:p w:rsidR="007A1948" w:rsidRPr="007A1948" w:rsidRDefault="007A1948" w:rsidP="00A44880">
      <w:pPr>
        <w:numPr>
          <w:ilvl w:val="0"/>
          <w:numId w:val="22"/>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Prosseguir a administração.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u w:val="single"/>
        </w:rPr>
      </w:pPr>
      <w:r w:rsidRPr="007A1948">
        <w:rPr>
          <w:rFonts w:ascii="Arial" w:eastAsia="Times New Roman" w:hAnsi="Arial" w:cs="Arial"/>
          <w:color w:val="000000"/>
          <w:sz w:val="20"/>
          <w:szCs w:val="20"/>
          <w:u w:val="single"/>
        </w:rPr>
        <w:t>Posologia</w:t>
      </w:r>
    </w:p>
    <w:p w:rsidR="007A1948" w:rsidRPr="007A1948" w:rsidRDefault="007A1948" w:rsidP="00A44880">
      <w:pPr>
        <w:spacing w:after="0" w:line="240" w:lineRule="auto"/>
        <w:jc w:val="both"/>
        <w:rPr>
          <w:rFonts w:ascii="Arial" w:eastAsia="Times New Roman" w:hAnsi="Arial" w:cs="Arial"/>
          <w:color w:val="000000"/>
          <w:sz w:val="20"/>
          <w:szCs w:val="20"/>
          <w:u w:val="single"/>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O preparo e administração da Solução Parenteral deve obedecer à prescrição, precedida de criteriosa avaliação, pelo farmacêutico, da compatibilidade físico-química e da interação medicamentosa que possam ocorrer entre os seus componentes.</w:t>
      </w:r>
    </w:p>
    <w:p w:rsidR="007A1948" w:rsidRPr="007A1948" w:rsidRDefault="007A1948" w:rsidP="00A44880">
      <w:pPr>
        <w:spacing w:after="0" w:line="240" w:lineRule="auto"/>
        <w:jc w:val="both"/>
        <w:rPr>
          <w:rFonts w:ascii="Arial" w:eastAsia="Times New Roman" w:hAnsi="Arial" w:cs="Arial"/>
          <w:color w:val="000000"/>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A dosagem total e a taxa de administração devem ser regidas pela natureza e severidade da condição que está sendo tratada, necessidade de fluido e débito urinário. Uma dose teste de manitol 20% de aproximadamente 200 mg/kg corporal (isto significa cerca de 75 mL de solução parenteral) infundida em um período de 3 a 5 minutos para produzir um fluxo urinário de pelo menos 30 a 50 mL/hora nas próximas 2 a 3 horas. Em crianças a dose é de 200mg/Kg ou 6 gramas por metro quadrado de área corporal administrada durante um período de 5 minutos. Se o fluxo de urina não aumentar, pode ser administrada uma segunda dose de teste; se a resposta for inadequada, o paciente deverá ser reavaliado.</w:t>
      </w: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Para a redução da pressão intraocular e intracraniana, uma dose de 1,5 a 2,0 g/Kg da solução a 20% (7,5 a 10mL/Kg) pode ser administrada durante um período de 30 minutos a 60 minutos para obter um efeito imediato e máximo. Usualmente uma redução máxima de pressão intracraniana em adultos pode ser alcançada com uma dose de 0,25 g/Kg administrada não mais frequentemente que a cada 6 a 8 horas. Um gradiente osmótico entre o sangue e o fluido cérebro-espinhal de aproximadamente 10 mOsmols produzirá uma redução satisfatória na pressão intracraniana. Redução da pressão do fluido cérebro-espinhal e intraocular ocorre em 15 minutos a partir do início da infusão de manitol e dura por 3 a 8 horas depois que a infusão é encerrada.</w:t>
      </w:r>
    </w:p>
    <w:p w:rsidR="007A1948" w:rsidRPr="007A1948" w:rsidRDefault="007A1948" w:rsidP="00A44880">
      <w:pPr>
        <w:spacing w:after="0" w:line="240" w:lineRule="auto"/>
        <w:jc w:val="both"/>
        <w:rPr>
          <w:rFonts w:ascii="Arial" w:eastAsia="Times New Roman" w:hAnsi="Arial" w:cs="Arial"/>
          <w:color w:val="000000"/>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O uso de medicação aditiva suplementar não é recomendado.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Siga a orientação de seu médico, respeitando sempre os horários, as doses e a duração do tratamento. Não interrompa o tratamento sem o conhecimento do seu médico.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7. O QUE FAZER QUANDO EU ME ESQUECER DE USAR ESTE MEDICAMENTO?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A utilização deste medicamento ocorrerá em ambiente hospitalar, orientado e executado por profissionais especializados e não dependerá da conduta do paciente. </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Em caso de dúvidas, procure orientação do farmacêutico ou de seu médico, ou cirurgião-dentista.</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8. QUAIS OS MALES QUE ESTE MEDICAMENTO PODE ME CAUSAR?</w:t>
      </w:r>
    </w:p>
    <w:p w:rsidR="007A1948" w:rsidRPr="00943086" w:rsidRDefault="007A1948" w:rsidP="00A44880">
      <w:pPr>
        <w:spacing w:after="0" w:line="240" w:lineRule="auto"/>
        <w:jc w:val="both"/>
        <w:rPr>
          <w:rFonts w:ascii="Arial" w:eastAsia="Times New Roman" w:hAnsi="Arial" w:cs="Arial"/>
          <w:bCs/>
          <w:sz w:val="20"/>
          <w:szCs w:val="20"/>
        </w:rPr>
      </w:pPr>
      <w:bookmarkStart w:id="7" w:name="cardiovascularSection"/>
      <w:bookmarkStart w:id="8" w:name="secN68150"/>
      <w:bookmarkStart w:id="9" w:name="N30530"/>
      <w:bookmarkEnd w:id="7"/>
      <w:bookmarkEnd w:id="8"/>
      <w:bookmarkEnd w:id="9"/>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lastRenderedPageBreak/>
        <w:t>A solução de manitol 20% administrada em doses elevadas retira do interior para o exterior da célula, causando expansão excessiva dos vasos sanguíneos, podendo resultar em desidratação dos tecidos, insuficiência cardíaca congestiva (falência do coração), desidratação cerebral (particularmente em pacientes com insuficiência renal) e edema pulmonar. A rápida administração de manitol 20% causou hipotensão em pacientes submetidos à craneotomia (cirurgia cerebral). A solução de manitol 20% pode causar insuficiência renal oligúrica (falência dos rins com reduzida produção de urina) em pacientes recebendo manitol para tratamento da hipertensão intracraniana. Técnica de hemodiálise elimina o manitol restabelecendo o equilíbrio hídrico e osmolar.</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t>A administração por via intravenosa de manitol pode causar náusea, vômitos, sede, dor de cabeça, tontura, tremores, febres, taquicardia (aceleração do coração), dor no peito, hipernatremia (aumento da concentração de sódio no sangue), desidratação, visão borrada, urticária (coceria) ou hipertensão (aumento da pressão arterial). Reações de hipersensibilidade (alergia) também foram descritas.</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t>O extravasamento da solução pode causar edema (inchaço) e necrose da pele.</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t>Tromboflebite (formação de coágulo e inflamação das veias) também pode ocorrer.</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7A1948" w:rsidRDefault="007A1948" w:rsidP="00A44880">
      <w:pPr>
        <w:spacing w:after="0" w:line="240" w:lineRule="auto"/>
        <w:jc w:val="both"/>
        <w:rPr>
          <w:rFonts w:ascii="Arial" w:eastAsia="Times New Roman" w:hAnsi="Arial" w:cs="Arial"/>
          <w:b/>
          <w:color w:val="4F81BD"/>
          <w:sz w:val="20"/>
          <w:szCs w:val="20"/>
        </w:rPr>
      </w:pPr>
      <w:r w:rsidRPr="007A1948">
        <w:rPr>
          <w:rFonts w:ascii="Arial" w:eastAsia="Times New Roman" w:hAnsi="Arial" w:cs="Arial"/>
          <w:b/>
          <w:color w:val="4F81BD"/>
          <w:sz w:val="20"/>
          <w:szCs w:val="20"/>
        </w:rPr>
        <w:t>Informe ao seu médico, cirurgião-dentista ou farmacêutico o aparecimento de reações indesejáveis pelo uso do medicamento. Informe também à empresa através do seu serviço de atendimento.</w:t>
      </w:r>
    </w:p>
    <w:p w:rsidR="007A1948" w:rsidRPr="007A1948" w:rsidRDefault="007A1948" w:rsidP="00A44880">
      <w:pPr>
        <w:spacing w:after="0" w:line="240" w:lineRule="auto"/>
        <w:jc w:val="both"/>
        <w:rPr>
          <w:rFonts w:ascii="Arial" w:eastAsia="Times New Roman" w:hAnsi="Arial" w:cs="Arial"/>
          <w:b/>
          <w:i/>
          <w:sz w:val="20"/>
          <w:szCs w:val="20"/>
          <w:u w:val="single"/>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9. O QUE FAZER SE ALGUÉM USAR UMA QUANTIDADE MAIOR DO QUE A INDICADA DESTE MEDICAMENTO?</w:t>
      </w:r>
    </w:p>
    <w:p w:rsidR="007A1948" w:rsidRPr="007A1948" w:rsidRDefault="007A1948" w:rsidP="00A44880">
      <w:pPr>
        <w:spacing w:after="0" w:line="240" w:lineRule="auto"/>
        <w:jc w:val="both"/>
        <w:rPr>
          <w:rFonts w:ascii="Arial" w:eastAsia="Times New Roman" w:hAnsi="Arial" w:cs="Arial"/>
          <w:b/>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t>A superdose da solução de manitol 20% pode causar sobrecarga do coração e desenvolvimento de inchaço agudo no pulmão e alterações de balanço hidroeletrolítico.</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Cs/>
          <w:sz w:val="20"/>
          <w:szCs w:val="20"/>
        </w:rPr>
        <w:t>Dentre os sintomas relacionados estão náuseas, vômitos, cefaleias, tremores e dores no peito. Em caso de superdose interromper a administração. Técnica de hemodiálise elimina o manitol restabelecendo o equilíbrio hídrico e osmolar.</w:t>
      </w:r>
    </w:p>
    <w:p w:rsidR="007A1948" w:rsidRPr="00943086" w:rsidRDefault="007A1948" w:rsidP="00A44880">
      <w:pPr>
        <w:spacing w:after="0" w:line="240" w:lineRule="auto"/>
        <w:jc w:val="both"/>
        <w:rPr>
          <w:rFonts w:ascii="Arial" w:eastAsia="Times New Roman" w:hAnsi="Arial" w:cs="Arial"/>
          <w:bCs/>
          <w:sz w:val="20"/>
          <w:szCs w:val="20"/>
        </w:rPr>
      </w:pPr>
    </w:p>
    <w:p w:rsidR="002E304F" w:rsidRPr="00943086" w:rsidRDefault="002E304F"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uso de grande quantidade deste medicamento, procure rapidamente socorro médico e leve a embalagem ou bula do medicamento, se possível. Ligue para 0800 722 6001, se você precisar de mais orientações.</w:t>
      </w:r>
    </w:p>
    <w:p w:rsidR="007A1948" w:rsidRPr="00943086" w:rsidRDefault="007A1948" w:rsidP="00A44880">
      <w:pPr>
        <w:autoSpaceDE w:val="0"/>
        <w:autoSpaceDN w:val="0"/>
        <w:adjustRightInd w:val="0"/>
        <w:spacing w:after="0" w:line="240" w:lineRule="auto"/>
        <w:jc w:val="both"/>
        <w:rPr>
          <w:rFonts w:ascii="Arial" w:hAnsi="Arial" w:cs="Arial"/>
          <w:color w:val="000000"/>
          <w:sz w:val="20"/>
          <w:szCs w:val="20"/>
        </w:rPr>
      </w:pPr>
    </w:p>
    <w:p w:rsidR="007A1948" w:rsidRPr="007A1948" w:rsidRDefault="007A1948" w:rsidP="00A44880">
      <w:pPr>
        <w:spacing w:after="0" w:line="240" w:lineRule="auto"/>
        <w:ind w:left="720" w:hanging="720"/>
        <w:jc w:val="both"/>
        <w:rPr>
          <w:rFonts w:ascii="Arial" w:eastAsia="Times New Roman" w:hAnsi="Arial" w:cs="Arial"/>
          <w:b/>
          <w:sz w:val="20"/>
          <w:szCs w:val="20"/>
        </w:rPr>
      </w:pPr>
      <w:r w:rsidRPr="007A1948">
        <w:rPr>
          <w:rFonts w:ascii="Arial" w:eastAsia="Times New Roman" w:hAnsi="Arial" w:cs="Arial"/>
          <w:b/>
          <w:color w:val="0070C0"/>
          <w:sz w:val="20"/>
          <w:szCs w:val="20"/>
        </w:rPr>
        <w:t>INFORMAÇÕES TÉCNICAS PARA PROFISSIONAIS DE SAÚDE</w:t>
      </w:r>
    </w:p>
    <w:p w:rsidR="007A1948" w:rsidRPr="00943086" w:rsidRDefault="007A1948" w:rsidP="00A44880">
      <w:pPr>
        <w:autoSpaceDE w:val="0"/>
        <w:autoSpaceDN w:val="0"/>
        <w:adjustRightInd w:val="0"/>
        <w:spacing w:after="0" w:line="240" w:lineRule="auto"/>
        <w:jc w:val="both"/>
        <w:rPr>
          <w:rFonts w:ascii="Arial" w:hAnsi="Arial" w:cs="Arial"/>
          <w:color w:val="000000"/>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1. INDICAÇÕES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é indicada para a promoção da diurese, na prevenção da falência renal aguda durante cirurgias cardiovasculares e/ou após trauma; redução da pressão intracraniana e tratamento do edema cerebral; redução da pressão intraocular elevada quando esta não pode reduzida por outros meios; ataque de glaucoma; promoção da excreção urinária de substâncias tóxicas; edema cerebral de origem cardíaca e renal.</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2. CARACTERÍSTICAS FARMACOLÓGICAS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20% exerce efeito osmótico e induz diurese acentuada. O manitol é um diurético osmótico, excretados pelos rins. O manitol impede a absorção tubular da água e melhora a excreção de sódio e cloreto elevando para tal a osmolaridade do filtrado glomerular. Esse aumento de osmolaridade extracelular efetuado pela administração intravenosa do manitol induzirá um movimento de água intracelular para um espaço extracelular e vascular. Essa ação é o fundamento para o papel do manitol na redução da pressão intracraniana, do edema intracraniano e da pressão intraocular elevada. Não cruza a barreira hematoencefálica ou penetra nos olhos.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lastRenderedPageBreak/>
        <w:t xml:space="preserve">A redução da pressão cérebro espinhal e intraocular ocorre dentro de 15 minutos após o início da infusão. </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injeção intravenosa de manitol é rapidamente excretada pelos rins antes de qualquer metabolismo hepático significativo. A meia vida de excreção do manitol é de aproximadamente 100 minutos (pode ser aumentada em até 36 horas em casos de insuficiência renal aguda), para um efeito diurético observado após 1 a 3 horas da infusão.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aumenta a oferta de líquido aos vasos circulatórios, pelo aumento da pressão osmótica vascular.</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3. CONTRAINDICAÇÕES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é contraindicada em pacientes com anúria total, descompensação cardíaca grave, hemorragia intracraniana ativa, desidratação severa e edema pulmonar.</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de manitol nunca deve ser adicionada ao sangue total para transfusão, ou ser administrada no mesmo equipo usado para a infusão de sangue.</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4. ADVERTÊNCIAS E PRECAUÇÕES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manitol permanece no compartimento extracelular. Se concentrações elevadas de manitol estiverem presentes no plasma ou caso o paciente tenha acidose, o manitol poderá atravessar a barreira hematoencefálica e causará um efeito contrário, aumentando a pressão intracraniana.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estado cardiovascular do paciente deve ser cuidadosamente avaliado antes de administrar rapidamente o manitol, visto que uma repentina expansão do fluido extracelular pode levar a uma falha cardíaca congestiva fulminante.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deslocamento do fluido intracelular isento de sódio para o compartimento extracelular, subsequentemente à infusão de manitol, pode reduzir a concentração sérica de sódio e agravar a hiponatremia preexistente.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Para sustentar a diurese, a administração de manitol pode ocultar e intensificar uma hidratação inadequada ou hipovolemia.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Injeções de manitol isento de eletrólitos não devem ser administradas em conjunto com sangue.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monitoração apropriada dos níveis sanguíneos de sódio e potássio; o grau de hemoconcentração ou hemodiluição, se houver; índices da função renal, cardíaca ou pulmonar são essenciais para evitar deslocamentos excessivos de fluidos e eletrólitos.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administração de soluções substancialmente hipertônicas (≥ 600mOms/L) pode causar danos as veias.</w:t>
      </w: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GRAVIDEZ: EFEITOS TERATOGÊNICOS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Gravidez categoria C: não foram efetuados estudos de reprodução animal com manitol.</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Também não se sabe se o manitol pode causar dano ao feto quando administrado a uma mulher grávida. Administrar somente se claramente necessário.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ESTE MEDICAMENTO NÃO DEVE SER UTILIZADO POR MULHERES GRÁVIDAS SEM ORIENTAÇÃO MÉDICA OU DO CIRURGIÃO DENTISTA</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Uso pediátrico, geriátrico e em outros grupos de risco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lastRenderedPageBreak/>
        <w:t>Não há relatos de que a solução intravenosa de manitol 20% apresente contra indicações ou efeitos colaterais no uso geriátrico, pediátrico e mulheres lactantes.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5. INTERAÇÕES MEDICAMENTOSAS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São desconhecidas interações com soluções de manitol e outros medicamentos até o momento. Não deve ser utilizado como veículo de medicamento.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Pode aumentar a possibilidade de toxicidade digitálica dos glicosídeos digitálicos. Pode também potencializar os efeitos diuréticos e redutores da pressão intraocular de outros diuréticos.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6. CUIDADOS DE ARMAZENAMENTO DO MEDICAMENTO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O produto deve ser armazenado em temperatura ambiente (15ºC a 30ºC).</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Prazo de validade: </w:t>
      </w:r>
      <w:r w:rsidRPr="007A1948">
        <w:rPr>
          <w:rFonts w:ascii="Arial" w:eastAsia="Times New Roman" w:hAnsi="Arial" w:cs="Arial"/>
          <w:color w:val="FF0000"/>
          <w:sz w:val="20"/>
          <w:szCs w:val="20"/>
        </w:rPr>
        <w:t>XX</w:t>
      </w:r>
      <w:r w:rsidRPr="007A1948">
        <w:rPr>
          <w:rFonts w:ascii="Arial" w:eastAsia="Times New Roman" w:hAnsi="Arial" w:cs="Arial"/>
          <w:sz w:val="20"/>
          <w:szCs w:val="20"/>
        </w:rPr>
        <w:t xml:space="preserve"> meses após a Data de Fabricação.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color w:val="0070C0"/>
          <w:sz w:val="20"/>
          <w:szCs w:val="20"/>
        </w:rPr>
      </w:pPr>
      <w:r w:rsidRPr="007A1948">
        <w:rPr>
          <w:rFonts w:ascii="Arial" w:eastAsia="Times New Roman" w:hAnsi="Arial" w:cs="Arial"/>
          <w:b/>
          <w:color w:val="0070C0"/>
          <w:sz w:val="20"/>
          <w:szCs w:val="20"/>
        </w:rPr>
        <w:t>Número de lote e datas de fabricação e validade: vide embalagem.</w:t>
      </w:r>
    </w:p>
    <w:p w:rsidR="007A1948" w:rsidRPr="007A1948" w:rsidRDefault="007A1948" w:rsidP="00A44880">
      <w:pPr>
        <w:spacing w:after="0" w:line="240" w:lineRule="auto"/>
        <w:jc w:val="both"/>
        <w:rPr>
          <w:rFonts w:ascii="Arial" w:eastAsia="Times New Roman" w:hAnsi="Arial" w:cs="Arial"/>
          <w:b/>
          <w:color w:val="0070C0"/>
          <w:sz w:val="20"/>
          <w:szCs w:val="20"/>
        </w:rPr>
      </w:pPr>
    </w:p>
    <w:p w:rsidR="007A1948" w:rsidRPr="007A1948" w:rsidRDefault="007A1948" w:rsidP="00A44880">
      <w:pPr>
        <w:spacing w:after="0" w:line="240" w:lineRule="auto"/>
        <w:jc w:val="both"/>
        <w:rPr>
          <w:rFonts w:ascii="Arial" w:eastAsia="Times New Roman" w:hAnsi="Arial" w:cs="Arial"/>
          <w:b/>
          <w:color w:val="0070C0"/>
          <w:sz w:val="20"/>
          <w:szCs w:val="20"/>
        </w:rPr>
      </w:pPr>
      <w:r w:rsidRPr="007A1948">
        <w:rPr>
          <w:rFonts w:ascii="Arial" w:eastAsia="Times New Roman" w:hAnsi="Arial" w:cs="Arial"/>
          <w:b/>
          <w:color w:val="0070C0"/>
          <w:sz w:val="20"/>
          <w:szCs w:val="20"/>
        </w:rPr>
        <w:t>Não use medicamento com o prazo de validade vencido. Guarde-o em sua embalagem original.</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Não armazenar as soluções parenterais adicionadas de medicamentos.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Solução incolor, límpida, estéril e apirogênica.</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color w:val="0070C0"/>
          <w:sz w:val="20"/>
          <w:szCs w:val="20"/>
        </w:rPr>
      </w:pPr>
      <w:r w:rsidRPr="007A1948">
        <w:rPr>
          <w:rFonts w:ascii="Arial" w:eastAsia="Times New Roman" w:hAnsi="Arial" w:cs="Arial"/>
          <w:b/>
          <w:color w:val="0070C0"/>
          <w:sz w:val="20"/>
          <w:szCs w:val="20"/>
        </w:rPr>
        <w:t>Antes de usar, observe o aspecto do medicamento.</w:t>
      </w:r>
    </w:p>
    <w:p w:rsidR="007A1948" w:rsidRPr="007A1948" w:rsidRDefault="007A1948" w:rsidP="00A44880">
      <w:pPr>
        <w:spacing w:after="0" w:line="240" w:lineRule="auto"/>
        <w:jc w:val="both"/>
        <w:rPr>
          <w:rFonts w:ascii="Arial" w:eastAsia="Times New Roman" w:hAnsi="Arial" w:cs="Arial"/>
          <w:b/>
          <w:color w:val="0070C0"/>
          <w:sz w:val="20"/>
          <w:szCs w:val="20"/>
        </w:rPr>
      </w:pPr>
    </w:p>
    <w:p w:rsidR="007A1948" w:rsidRPr="007A1948" w:rsidRDefault="007A1948" w:rsidP="00A44880">
      <w:pPr>
        <w:spacing w:after="0" w:line="240" w:lineRule="auto"/>
        <w:jc w:val="both"/>
        <w:rPr>
          <w:rFonts w:ascii="Arial" w:eastAsia="Times New Roman" w:hAnsi="Arial" w:cs="Arial"/>
          <w:b/>
          <w:color w:val="0070C0"/>
          <w:sz w:val="20"/>
          <w:szCs w:val="20"/>
        </w:rPr>
      </w:pPr>
      <w:r w:rsidRPr="007A1948">
        <w:rPr>
          <w:rFonts w:ascii="Arial" w:eastAsia="Times New Roman" w:hAnsi="Arial" w:cs="Arial"/>
          <w:b/>
          <w:color w:val="0070C0"/>
          <w:sz w:val="20"/>
          <w:szCs w:val="20"/>
        </w:rPr>
        <w:t>Todo medicamento deve ser mantido fora do alcance das crianças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trike/>
          <w:sz w:val="20"/>
          <w:szCs w:val="20"/>
        </w:rPr>
      </w:pPr>
      <w:r w:rsidRPr="007A1948">
        <w:rPr>
          <w:rFonts w:ascii="Arial" w:eastAsia="Times New Roman" w:hAnsi="Arial" w:cs="Arial"/>
          <w:b/>
          <w:sz w:val="20"/>
          <w:szCs w:val="20"/>
        </w:rPr>
        <w:t>7. POSOLOGIA E MODO DE USAR</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somente deve ter uso intravenoso e individualizado.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7A1948" w:rsidRPr="007A1948" w:rsidRDefault="007A1948" w:rsidP="00A44880">
      <w:pPr>
        <w:spacing w:after="0" w:line="240" w:lineRule="auto"/>
        <w:jc w:val="both"/>
        <w:rPr>
          <w:rFonts w:ascii="Arial" w:eastAsia="Times New Roman" w:hAnsi="Arial" w:cs="Arial"/>
          <w:i/>
          <w:color w:val="808080"/>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i/>
          <w:color w:val="808080"/>
          <w:sz w:val="20"/>
          <w:szCs w:val="20"/>
        </w:rPr>
        <w:t>Apenas para Soluções Parenterais de Grande Volume</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 solução é acondicionada em bolsas, frascos e/ou ampolas em</w:t>
      </w:r>
      <w:r w:rsidRPr="007A1948">
        <w:rPr>
          <w:rFonts w:ascii="Arial" w:eastAsia="Times New Roman" w:hAnsi="Arial" w:cs="Arial"/>
          <w:b/>
          <w:sz w:val="20"/>
          <w:szCs w:val="20"/>
        </w:rPr>
        <w:t xml:space="preserve"> SISTEMA FECHADO </w:t>
      </w:r>
      <w:r w:rsidRPr="007A1948">
        <w:rPr>
          <w:rFonts w:ascii="Arial" w:eastAsia="Times New Roman" w:hAnsi="Arial" w:cs="Arial"/>
          <w:sz w:val="20"/>
          <w:szCs w:val="20"/>
        </w:rPr>
        <w:t>para administração intravenosa usando equipo estéril.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b/>
          <w:sz w:val="20"/>
          <w:szCs w:val="20"/>
        </w:rPr>
        <w:t>Atenção: não usar embalagens primárias em conexões em série</w:t>
      </w:r>
      <w:r w:rsidRPr="007A1948">
        <w:rPr>
          <w:rFonts w:ascii="Arial" w:eastAsia="Times New Roman" w:hAnsi="Arial" w:cs="Arial"/>
          <w:sz w:val="20"/>
          <w:szCs w:val="20"/>
        </w:rPr>
        <w:t xml:space="preserve">. </w:t>
      </w:r>
      <w:r w:rsidRPr="007A1948">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NÃO PERFURAR A EMBALAGEM, POIS HÁ COMPROMETIMENTO DA ESTERILIDADE DO PRODUTO E RISCO DE CONTAMINAÇÃO.</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abrir:</w:t>
      </w:r>
    </w:p>
    <w:p w:rsidR="007A1948" w:rsidRPr="007A1948" w:rsidRDefault="007A1948" w:rsidP="00A44880">
      <w:pPr>
        <w:spacing w:after="0" w:line="240" w:lineRule="auto"/>
        <w:jc w:val="both"/>
        <w:rPr>
          <w:rFonts w:ascii="Arial" w:eastAsia="Times New Roman" w:hAnsi="Arial" w:cs="Arial"/>
          <w:b/>
          <w:i/>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b/>
          <w:i/>
          <w:color w:val="808080"/>
          <w:sz w:val="20"/>
          <w:szCs w:val="20"/>
        </w:rPr>
        <w:t xml:space="preserve">No caso das embalagens que possuem invólucro protetor: </w:t>
      </w:r>
      <w:r w:rsidRPr="007A1948">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7A1948" w:rsidRPr="007A1948" w:rsidRDefault="007A1948" w:rsidP="00A44880">
      <w:pPr>
        <w:spacing w:after="0" w:line="240" w:lineRule="auto"/>
        <w:jc w:val="both"/>
        <w:rPr>
          <w:rFonts w:ascii="Arial" w:eastAsia="Times New Roman" w:hAnsi="Arial" w:cs="Arial"/>
          <w:i/>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Se for necessária medicação suplementar, seguir as instruções descritas a seguir antes de preparar a solução para administração.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desinfecção do ambiente e de superfícies, higienização das mãos, uso de EPIs e</w:t>
      </w:r>
    </w:p>
    <w:p w:rsidR="007A1948" w:rsidRPr="007A1948" w:rsidRDefault="007A1948" w:rsidP="00A44880">
      <w:p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desinfecção de ampolas, frascos, pontos de adição dos medicamentos e conexões das linhas de infusão.</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3"/>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 xml:space="preserve">Remover o protetor de plástico do tubo de saída da solução no fundo da embalagem, </w:t>
      </w:r>
      <w:r w:rsidRPr="007A1948">
        <w:rPr>
          <w:rFonts w:ascii="Arial" w:eastAsia="Times New Roman" w:hAnsi="Arial" w:cs="Arial"/>
          <w:i/>
          <w:color w:val="808080"/>
          <w:sz w:val="20"/>
          <w:szCs w:val="20"/>
        </w:rPr>
        <w:t>quando presente</w:t>
      </w:r>
      <w:r w:rsidRPr="007A1948">
        <w:rPr>
          <w:rFonts w:ascii="Arial" w:eastAsia="Times New Roman" w:hAnsi="Arial" w:cs="Arial"/>
          <w:sz w:val="20"/>
          <w:szCs w:val="20"/>
        </w:rPr>
        <w:t>;</w:t>
      </w:r>
    </w:p>
    <w:p w:rsidR="007A1948" w:rsidRPr="007A1948" w:rsidRDefault="007A1948" w:rsidP="00A44880">
      <w:pPr>
        <w:numPr>
          <w:ilvl w:val="0"/>
          <w:numId w:val="23"/>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Fazer a assepsia da embalagem primária utilizando álcool 70%;</w:t>
      </w:r>
    </w:p>
    <w:p w:rsidR="007A1948" w:rsidRPr="007A1948" w:rsidRDefault="007A1948" w:rsidP="00A44880">
      <w:pPr>
        <w:numPr>
          <w:ilvl w:val="0"/>
          <w:numId w:val="23"/>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Suspender a embalagem pela alça de sustentação;</w:t>
      </w:r>
    </w:p>
    <w:p w:rsidR="007A1948" w:rsidRPr="007A1948" w:rsidRDefault="007A1948" w:rsidP="00A44880">
      <w:pPr>
        <w:numPr>
          <w:ilvl w:val="0"/>
          <w:numId w:val="23"/>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Conectar o equipo de infusão da solução. Consultar as instruções de uso do equipo;</w:t>
      </w:r>
    </w:p>
    <w:p w:rsidR="007A1948" w:rsidRPr="007A1948" w:rsidRDefault="007A1948" w:rsidP="00A44880">
      <w:pPr>
        <w:numPr>
          <w:ilvl w:val="0"/>
          <w:numId w:val="23"/>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Administrar a solução, por gotejamento contínuo, conforme prescrição médica.</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adição de medicamentos:</w:t>
      </w:r>
    </w:p>
    <w:p w:rsidR="007A1948" w:rsidRPr="007A1948" w:rsidRDefault="007A1948" w:rsidP="00A44880">
      <w:pPr>
        <w:spacing w:after="0" w:line="240" w:lineRule="auto"/>
        <w:ind w:firstLine="708"/>
        <w:jc w:val="both"/>
        <w:rPr>
          <w:rFonts w:ascii="Arial" w:eastAsia="Times New Roman" w:hAnsi="Arial" w:cs="Arial"/>
          <w:sz w:val="20"/>
          <w:szCs w:val="20"/>
          <w:u w:val="single"/>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Atenção: verificar se há incompatibilidade entre o medicamento e a solução e, quando for o caso, se há incompatibilidade entre os medicamentos.</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7A1948" w:rsidRPr="007A1948" w:rsidRDefault="007A1948" w:rsidP="00A44880">
      <w:pPr>
        <w:spacing w:after="0" w:line="240" w:lineRule="auto"/>
        <w:ind w:firstLine="708"/>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administração de medicamentos antes da administração da solução parenteral: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4"/>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Preparar o sítio de injeção fazendo sua assepsia;</w:t>
      </w:r>
    </w:p>
    <w:p w:rsidR="007A1948" w:rsidRPr="007A1948" w:rsidRDefault="007A1948" w:rsidP="00A44880">
      <w:pPr>
        <w:numPr>
          <w:ilvl w:val="0"/>
          <w:numId w:val="24"/>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7A1948" w:rsidRPr="007A1948" w:rsidRDefault="007A1948" w:rsidP="00A44880">
      <w:pPr>
        <w:numPr>
          <w:ilvl w:val="0"/>
          <w:numId w:val="24"/>
        </w:num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rPr>
        <w:t>Misturar o medicamento completamente na solução parenteral.</w:t>
      </w:r>
    </w:p>
    <w:p w:rsidR="007A1948" w:rsidRPr="007A1948" w:rsidRDefault="007A1948" w:rsidP="00A44880">
      <w:pPr>
        <w:numPr>
          <w:ilvl w:val="0"/>
          <w:numId w:val="24"/>
        </w:num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rPr>
        <w:t>Pós liofilizados devem ser reconstituídos/suspendidos no diluente estéril e apirogênico adequado antes de ser adicionados à solução parenteral.</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sz w:val="20"/>
          <w:szCs w:val="20"/>
          <w:u w:val="single"/>
        </w:rPr>
      </w:pPr>
      <w:r w:rsidRPr="007A1948">
        <w:rPr>
          <w:rFonts w:ascii="Arial" w:eastAsia="Times New Roman" w:hAnsi="Arial" w:cs="Arial"/>
          <w:sz w:val="20"/>
          <w:szCs w:val="20"/>
          <w:u w:val="single"/>
        </w:rPr>
        <w:t>Para administração de medicamentos durante a administração da solução parenteral:</w:t>
      </w:r>
    </w:p>
    <w:p w:rsidR="007A1948" w:rsidRPr="007A1948" w:rsidRDefault="007A1948" w:rsidP="00A44880">
      <w:pPr>
        <w:spacing w:after="0" w:line="240" w:lineRule="auto"/>
        <w:jc w:val="both"/>
        <w:rPr>
          <w:rFonts w:ascii="Arial" w:eastAsia="Times New Roman" w:hAnsi="Arial" w:cs="Arial"/>
          <w:sz w:val="20"/>
          <w:szCs w:val="20"/>
          <w:u w:val="single"/>
        </w:rPr>
      </w:pPr>
    </w:p>
    <w:p w:rsidR="007A1948" w:rsidRPr="007A1948" w:rsidRDefault="007A1948" w:rsidP="00A44880">
      <w:pPr>
        <w:numPr>
          <w:ilvl w:val="0"/>
          <w:numId w:val="25"/>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Fechar a pinça do equipo de infusão;</w:t>
      </w:r>
    </w:p>
    <w:p w:rsidR="007A1948" w:rsidRPr="007A1948" w:rsidRDefault="007A1948" w:rsidP="00A44880">
      <w:pPr>
        <w:numPr>
          <w:ilvl w:val="0"/>
          <w:numId w:val="25"/>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Preparar o sítio próprio para administração de medicamentos, fazendo sua assepsia;</w:t>
      </w:r>
    </w:p>
    <w:p w:rsidR="007A1948" w:rsidRPr="007A1948" w:rsidRDefault="007A1948" w:rsidP="00A44880">
      <w:pPr>
        <w:numPr>
          <w:ilvl w:val="0"/>
          <w:numId w:val="25"/>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Utilizar seringa com agulha estéril para perfurar o sítio e adicionar o medicamento na solução parenteral;</w:t>
      </w:r>
    </w:p>
    <w:p w:rsidR="007A1948" w:rsidRPr="007A1948" w:rsidRDefault="007A1948" w:rsidP="00A44880">
      <w:pPr>
        <w:numPr>
          <w:ilvl w:val="0"/>
          <w:numId w:val="25"/>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Misturar o medicamento completamente na solução parenteral;</w:t>
      </w:r>
    </w:p>
    <w:p w:rsidR="007A1948" w:rsidRPr="007A1948" w:rsidRDefault="007A1948" w:rsidP="00A44880">
      <w:pPr>
        <w:numPr>
          <w:ilvl w:val="0"/>
          <w:numId w:val="25"/>
        </w:numPr>
        <w:spacing w:after="0" w:line="240" w:lineRule="auto"/>
        <w:jc w:val="both"/>
        <w:rPr>
          <w:rFonts w:ascii="Arial" w:eastAsia="Times New Roman" w:hAnsi="Arial" w:cs="Arial"/>
          <w:sz w:val="20"/>
          <w:szCs w:val="20"/>
        </w:rPr>
      </w:pPr>
      <w:r w:rsidRPr="007A1948">
        <w:rPr>
          <w:rFonts w:ascii="Arial" w:eastAsia="Times New Roman" w:hAnsi="Arial" w:cs="Arial"/>
          <w:sz w:val="20"/>
          <w:szCs w:val="20"/>
        </w:rPr>
        <w:t>Prosseguir a administração.</w:t>
      </w:r>
    </w:p>
    <w:p w:rsidR="007A1948" w:rsidRPr="007A1948" w:rsidRDefault="007A1948" w:rsidP="00A44880">
      <w:pPr>
        <w:spacing w:after="0" w:line="240" w:lineRule="auto"/>
        <w:jc w:val="both"/>
        <w:rPr>
          <w:rFonts w:ascii="Arial" w:eastAsia="Times New Roman" w:hAnsi="Arial" w:cs="Arial"/>
          <w:sz w:val="20"/>
          <w:szCs w:val="20"/>
        </w:rPr>
      </w:pPr>
    </w:p>
    <w:p w:rsidR="007A1948" w:rsidRPr="007A1948" w:rsidRDefault="007A1948" w:rsidP="00A44880">
      <w:pPr>
        <w:spacing w:after="0" w:line="240" w:lineRule="auto"/>
        <w:jc w:val="both"/>
        <w:rPr>
          <w:rFonts w:ascii="Arial" w:eastAsia="Times New Roman" w:hAnsi="Arial" w:cs="Arial"/>
          <w:i/>
          <w:color w:val="808080"/>
          <w:sz w:val="20"/>
          <w:szCs w:val="20"/>
        </w:rPr>
      </w:pPr>
      <w:r w:rsidRPr="007A1948">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u w:val="single"/>
        </w:rPr>
      </w:pPr>
      <w:r w:rsidRPr="007A1948">
        <w:rPr>
          <w:rFonts w:ascii="Arial" w:eastAsia="Times New Roman" w:hAnsi="Arial" w:cs="Arial"/>
          <w:color w:val="000000"/>
          <w:sz w:val="20"/>
          <w:szCs w:val="20"/>
          <w:u w:val="single"/>
        </w:rPr>
        <w:t>Posologia</w:t>
      </w:r>
    </w:p>
    <w:p w:rsidR="007A1948" w:rsidRPr="007A1948" w:rsidRDefault="007A1948" w:rsidP="00A44880">
      <w:pPr>
        <w:spacing w:after="0" w:line="240" w:lineRule="auto"/>
        <w:jc w:val="both"/>
        <w:rPr>
          <w:rFonts w:ascii="Arial" w:eastAsia="Times New Roman" w:hAnsi="Arial" w:cs="Arial"/>
          <w:color w:val="000000"/>
          <w:sz w:val="20"/>
          <w:szCs w:val="20"/>
          <w:u w:val="single"/>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7A1948" w:rsidRPr="007A1948" w:rsidRDefault="007A1948" w:rsidP="00A44880">
      <w:pPr>
        <w:spacing w:after="0" w:line="240" w:lineRule="auto"/>
        <w:jc w:val="both"/>
        <w:rPr>
          <w:rFonts w:ascii="Arial" w:eastAsia="Times New Roman" w:hAnsi="Arial" w:cs="Arial"/>
          <w:color w:val="000000"/>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 xml:space="preserve">A dosagem total e a taxa de administração devem ser regidas pela natureza e severidade da condição que está sendo tratada, necessidade de fluido e débito urinário. Uma dose teste de </w:t>
      </w:r>
      <w:r w:rsidRPr="007A1948">
        <w:rPr>
          <w:rFonts w:ascii="Arial" w:eastAsia="Times New Roman" w:hAnsi="Arial" w:cs="Arial"/>
          <w:color w:val="000000"/>
          <w:sz w:val="20"/>
          <w:szCs w:val="20"/>
        </w:rPr>
        <w:lastRenderedPageBreak/>
        <w:t>manitol 20% de aproximadamente 200 mg/kg corporal (isto significa cerca de 75 mL de solução parenteral) infundida em um período de 3 a 5 minutos para produzir um fluxo urinário de pelo menos 30 a 50 mL/hora nas próximas 2 a 3 horas. Em crianças a dose é de 200mg/Kg ou 6 gramas por metro quadrado de área corporal administrada durante um período de 5 minutos. Se o fluxo de urina não aumentar, pode ser administrada uma segunda dose de teste; se a resposta for inadequada, o paciente deverá ser reavaliado.</w:t>
      </w: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Para a redução da pressão intraocular e intracraniana, uma dose de 1,5 a 2,0 g/Kg da solução a 20% (7,5 a 10mL/Kg) pode ser administrada durante um período de 30 minutos a 60 minutos para obter um efeito imediato e máximo. Usualmente uma redução máxima de pressão intracraniana em adultos pode ser alcançada com uma dose de 0,25 g/Kg administrada não mais frequentemente que a cada 6 a 8 horas. Um gradiente osmótico entre o sangue e o fluido cérebro-espinhal de aproximadamente 10 mOsmol produzirá uma redução satisfatória na pressão intracraniana. Redução da pressão do fluido cérebro-espinhal e intraocular ocorre em 15 minutos a partir do início da infusão de manitol e dura por 3 a 8 horas depois que a infusão é encerrada.</w:t>
      </w:r>
    </w:p>
    <w:p w:rsidR="007A1948" w:rsidRPr="007A1948" w:rsidRDefault="007A1948" w:rsidP="00A44880">
      <w:pPr>
        <w:spacing w:after="0" w:line="240" w:lineRule="auto"/>
        <w:jc w:val="both"/>
        <w:rPr>
          <w:rFonts w:ascii="Arial" w:eastAsia="Times New Roman" w:hAnsi="Arial" w:cs="Arial"/>
          <w:color w:val="000000"/>
          <w:sz w:val="20"/>
          <w:szCs w:val="20"/>
        </w:rPr>
      </w:pPr>
    </w:p>
    <w:p w:rsidR="007A1948" w:rsidRPr="007A1948" w:rsidRDefault="007A1948" w:rsidP="00A44880">
      <w:pPr>
        <w:spacing w:after="0" w:line="240" w:lineRule="auto"/>
        <w:jc w:val="both"/>
        <w:rPr>
          <w:rFonts w:ascii="Arial" w:eastAsia="Times New Roman" w:hAnsi="Arial" w:cs="Arial"/>
          <w:color w:val="000000"/>
          <w:sz w:val="20"/>
          <w:szCs w:val="20"/>
        </w:rPr>
      </w:pPr>
      <w:r w:rsidRPr="007A1948">
        <w:rPr>
          <w:rFonts w:ascii="Arial" w:eastAsia="Times New Roman" w:hAnsi="Arial" w:cs="Arial"/>
          <w:color w:val="000000"/>
          <w:sz w:val="20"/>
          <w:szCs w:val="20"/>
        </w:rPr>
        <w:t>O uso de medicação aditiva suplementar não é recomendado.</w:t>
      </w:r>
    </w:p>
    <w:p w:rsidR="007A1948" w:rsidRPr="007A1948" w:rsidRDefault="007A1948" w:rsidP="00A44880">
      <w:pPr>
        <w:spacing w:after="0" w:line="240" w:lineRule="auto"/>
        <w:jc w:val="both"/>
        <w:rPr>
          <w:rFonts w:ascii="Arial" w:eastAsia="Times New Roman" w:hAnsi="Arial" w:cs="Arial"/>
          <w:b/>
          <w:sz w:val="20"/>
          <w:szCs w:val="20"/>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 xml:space="preserve">8. REAÇÕES ADVERSAS </w:t>
      </w:r>
    </w:p>
    <w:p w:rsidR="007A1948" w:rsidRPr="007A1948" w:rsidRDefault="007A1948" w:rsidP="00A44880">
      <w:pPr>
        <w:spacing w:after="0" w:line="240" w:lineRule="auto"/>
        <w:jc w:val="both"/>
        <w:rPr>
          <w:rFonts w:ascii="Arial" w:eastAsia="Times New Roman" w:hAnsi="Arial" w:cs="Arial"/>
          <w:b/>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A solução de manitol 20% administrada em doses elevadas retira o líquido do espaço intracelular para o extracelular, causando expansão excessiva do espaço intravascular, podendo resultar em desidratação tissular, insuficiência cardíaca congestiva, desidratação cerebral (particularmente em pacientes com insuficiência renal) e edema pulmonar. A rápida administração de manitol 20% causou hipotensão em pacientes submetidos à craneotomia. A solução de manitol 20% pode causar insuficiência renal oligúrica em pacientes recebendo manitol para tratamento da hipertensão intracraniana. Técnica de hemodiálise elimina o manitol restabelecendo o equilíbrio hídrico e osmolar.</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A administração por via intravenosa de manitol, pode estar associada a náusea, vômitos, sede, dor de cabeça, tontura, tremores, febres, taquicardia, dor no peito, hipernatremia, desidratação, visão borrada, urticária ou hipertensão. Reações de hipersensibilidade também foram descritas.</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O extravasamento da solução pode causar edema e necrose da pele.</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Tromboflebite também pode ocorrer.</w:t>
      </w:r>
    </w:p>
    <w:p w:rsidR="007A1948" w:rsidRPr="007A1948" w:rsidRDefault="007A1948" w:rsidP="00A44880">
      <w:pPr>
        <w:shd w:val="clear" w:color="auto" w:fill="FFFFFF"/>
        <w:spacing w:after="0" w:line="240" w:lineRule="auto"/>
        <w:jc w:val="both"/>
        <w:rPr>
          <w:rFonts w:ascii="Arial" w:eastAsia="Times New Roman" w:hAnsi="Arial" w:cs="Arial"/>
          <w:color w:val="000000"/>
          <w:sz w:val="20"/>
          <w:szCs w:val="20"/>
        </w:rPr>
      </w:pPr>
    </w:p>
    <w:p w:rsidR="007A1948" w:rsidRPr="007A1948" w:rsidRDefault="007A1948" w:rsidP="00A44880">
      <w:pPr>
        <w:shd w:val="clear" w:color="auto" w:fill="FFFFFF"/>
        <w:spacing w:after="0" w:line="240" w:lineRule="auto"/>
        <w:jc w:val="both"/>
        <w:rPr>
          <w:rFonts w:ascii="Arial" w:eastAsia="Times New Roman" w:hAnsi="Arial" w:cs="Arial"/>
          <w:color w:val="0070C0"/>
          <w:sz w:val="20"/>
          <w:szCs w:val="20"/>
        </w:rPr>
      </w:pPr>
      <w:r w:rsidRPr="007A1948">
        <w:rPr>
          <w:rFonts w:ascii="Arial" w:eastAsia="Times New Roman" w:hAnsi="Arial" w:cs="Arial"/>
          <w:color w:val="0070C0"/>
          <w:sz w:val="20"/>
          <w:szCs w:val="20"/>
        </w:rPr>
        <w:t xml:space="preserve">Em casos de eventos adversos, notifique ao Sistema de Notificações em Vigilância Sanitária - NOTIVISA, disponível em </w:t>
      </w:r>
      <w:hyperlink r:id="rId10" w:history="1">
        <w:r w:rsidRPr="00943086">
          <w:rPr>
            <w:rFonts w:ascii="Arial" w:eastAsia="Times New Roman" w:hAnsi="Arial" w:cs="Arial"/>
            <w:color w:val="0070C0"/>
            <w:sz w:val="20"/>
            <w:szCs w:val="20"/>
            <w:u w:val="single"/>
          </w:rPr>
          <w:t>http://www.anvisa.gov.br/hotsite/notivisa/index.htm</w:t>
        </w:r>
      </w:hyperlink>
      <w:r w:rsidRPr="007A1948">
        <w:rPr>
          <w:rFonts w:ascii="Arial" w:eastAsia="Times New Roman" w:hAnsi="Arial" w:cs="Arial"/>
          <w:color w:val="0070C0"/>
          <w:sz w:val="20"/>
          <w:szCs w:val="20"/>
        </w:rPr>
        <w:t>, ou para a Vigilância Sanitária Estadual ou Municipal.</w:t>
      </w:r>
    </w:p>
    <w:p w:rsidR="007A1948" w:rsidRPr="007A1948" w:rsidRDefault="007A1948" w:rsidP="00A44880">
      <w:pPr>
        <w:spacing w:after="0" w:line="240" w:lineRule="auto"/>
        <w:jc w:val="both"/>
        <w:rPr>
          <w:rFonts w:ascii="Arial" w:eastAsia="Times New Roman" w:hAnsi="Arial" w:cs="Arial"/>
          <w:b/>
          <w:i/>
          <w:sz w:val="20"/>
          <w:szCs w:val="20"/>
          <w:u w:val="single"/>
        </w:rPr>
      </w:pPr>
    </w:p>
    <w:p w:rsidR="007A1948" w:rsidRPr="007A1948" w:rsidRDefault="007A1948" w:rsidP="00A44880">
      <w:pPr>
        <w:spacing w:after="0" w:line="240" w:lineRule="auto"/>
        <w:jc w:val="both"/>
        <w:rPr>
          <w:rFonts w:ascii="Arial" w:eastAsia="Times New Roman" w:hAnsi="Arial" w:cs="Arial"/>
          <w:b/>
          <w:sz w:val="20"/>
          <w:szCs w:val="20"/>
        </w:rPr>
      </w:pPr>
      <w:r w:rsidRPr="007A1948">
        <w:rPr>
          <w:rFonts w:ascii="Arial" w:eastAsia="Times New Roman" w:hAnsi="Arial" w:cs="Arial"/>
          <w:b/>
          <w:sz w:val="20"/>
          <w:szCs w:val="20"/>
        </w:rPr>
        <w:t>9. SUPERDOSE</w:t>
      </w:r>
    </w:p>
    <w:p w:rsidR="007A1948" w:rsidRPr="007A1948" w:rsidRDefault="007A1948" w:rsidP="00A44880">
      <w:pPr>
        <w:spacing w:after="0" w:line="240" w:lineRule="auto"/>
        <w:jc w:val="both"/>
        <w:rPr>
          <w:rFonts w:ascii="Arial" w:eastAsia="Times New Roman" w:hAnsi="Arial" w:cs="Arial"/>
          <w:b/>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A superdose da solução de manitol 20% pode causar sobrecarga cardíaca e desenvolvimento de edema agudo no pulmão e alterações de balanço hidroeletrolítico.</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943086" w:rsidRDefault="007A1948" w:rsidP="00A44880">
      <w:pPr>
        <w:spacing w:after="0" w:line="240" w:lineRule="auto"/>
        <w:jc w:val="both"/>
        <w:rPr>
          <w:rFonts w:ascii="Arial" w:eastAsia="Times New Roman" w:hAnsi="Arial" w:cs="Arial"/>
          <w:bCs/>
          <w:sz w:val="20"/>
          <w:szCs w:val="20"/>
        </w:rPr>
      </w:pPr>
      <w:r w:rsidRPr="00943086">
        <w:rPr>
          <w:rFonts w:ascii="Arial" w:eastAsia="Times New Roman" w:hAnsi="Arial" w:cs="Arial"/>
          <w:b/>
          <w:bCs/>
          <w:sz w:val="20"/>
          <w:szCs w:val="20"/>
        </w:rPr>
        <w:t>Dentre os sintomas relacionados estão náuseas, vômitos, cefaleias, tremores e dores torácicas. Em caso de superdose interromper a administração. Técnica de hemodiálise elimina o manitol restabelecendo o equilíbrio hídrico e osmolar.</w:t>
      </w:r>
    </w:p>
    <w:p w:rsidR="007A1948" w:rsidRPr="00943086" w:rsidRDefault="007A1948" w:rsidP="00A44880">
      <w:pPr>
        <w:spacing w:after="0" w:line="240" w:lineRule="auto"/>
        <w:jc w:val="both"/>
        <w:rPr>
          <w:rFonts w:ascii="Arial" w:eastAsia="Times New Roman" w:hAnsi="Arial" w:cs="Arial"/>
          <w:bCs/>
          <w:sz w:val="20"/>
          <w:szCs w:val="20"/>
        </w:rPr>
      </w:pPr>
    </w:p>
    <w:p w:rsidR="007A1948" w:rsidRPr="007A1948" w:rsidRDefault="007A1948" w:rsidP="00A44880">
      <w:pPr>
        <w:spacing w:after="0" w:line="240" w:lineRule="auto"/>
        <w:jc w:val="both"/>
        <w:rPr>
          <w:rFonts w:ascii="Arial" w:eastAsia="Times New Roman" w:hAnsi="Arial" w:cs="Arial"/>
          <w:b/>
          <w:color w:val="0070C0"/>
          <w:sz w:val="20"/>
          <w:szCs w:val="20"/>
        </w:rPr>
      </w:pPr>
      <w:r w:rsidRPr="007A1948">
        <w:rPr>
          <w:rFonts w:ascii="Arial" w:eastAsia="Times New Roman" w:hAnsi="Arial" w:cs="Arial"/>
          <w:b/>
          <w:color w:val="0070C0"/>
          <w:sz w:val="20"/>
          <w:szCs w:val="20"/>
        </w:rPr>
        <w:t>Em caso de intoxicação ligue para 0800 722 6001, se você precisar de mais orientações.</w:t>
      </w:r>
    </w:p>
    <w:p w:rsidR="007A1948" w:rsidRPr="007A1948" w:rsidRDefault="007A1948" w:rsidP="00A44880">
      <w:pPr>
        <w:spacing w:after="0" w:line="240" w:lineRule="auto"/>
        <w:jc w:val="both"/>
        <w:rPr>
          <w:rFonts w:ascii="Arial" w:eastAsia="Times New Roman" w:hAnsi="Arial" w:cs="Arial"/>
          <w:b/>
          <w:color w:val="0070C0"/>
          <w:sz w:val="20"/>
          <w:szCs w:val="20"/>
        </w:rPr>
      </w:pPr>
    </w:p>
    <w:p w:rsidR="002E304F" w:rsidRPr="00943086" w:rsidRDefault="002E304F" w:rsidP="00A44880">
      <w:pPr>
        <w:spacing w:after="0" w:line="240" w:lineRule="auto"/>
        <w:rPr>
          <w:rFonts w:ascii="Arial" w:eastAsia="Times New Roman" w:hAnsi="Arial" w:cs="Arial"/>
          <w:b/>
          <w:color w:val="0070C0"/>
          <w:sz w:val="20"/>
          <w:szCs w:val="20"/>
        </w:rPr>
      </w:pPr>
      <w:r>
        <w:rPr>
          <w:rFonts w:ascii="Arial" w:eastAsia="Times New Roman" w:hAnsi="Arial" w:cs="Arial"/>
          <w:b/>
          <w:color w:val="0070C0"/>
          <w:sz w:val="20"/>
          <w:szCs w:val="20"/>
        </w:rPr>
        <w:t>DIZERES LEGAIS</w:t>
      </w:r>
    </w:p>
    <w:p w:rsidR="002E304F" w:rsidRDefault="002E304F"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M.S. nº: X.XXXX.XXXX.XXX-X</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Responsável Técnico: XXXXXX CRF/XX:</w:t>
      </w:r>
    </w:p>
    <w:p w:rsidR="007A1948" w:rsidRPr="007A1948" w:rsidRDefault="007A1948"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 xml:space="preserve">Fabricado por: </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 xml:space="preserve">Nome completo e Endereço do Fabricante </w:t>
      </w:r>
    </w:p>
    <w:p w:rsidR="007A1948" w:rsidRPr="007A1948" w:rsidRDefault="007A1948"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Registrado por:</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Nome completo e Endereço do Titular do registro</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Cadastro Nacional de Pessoa Jurídica, CNPJ.</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 xml:space="preserve">Indústria Brasileira </w:t>
      </w:r>
      <w:r w:rsidRPr="007A1948">
        <w:rPr>
          <w:rFonts w:ascii="Arial" w:eastAsia="Times New Roman" w:hAnsi="Arial" w:cs="Arial"/>
          <w:i/>
          <w:color w:val="0070C0"/>
          <w:sz w:val="20"/>
          <w:szCs w:val="20"/>
        </w:rPr>
        <w:t>(se for o caso).</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Telefone do Serviço de Atendimento ao Consumidor da empresa – SAC</w:t>
      </w:r>
    </w:p>
    <w:p w:rsidR="007A1948" w:rsidRPr="007A1948" w:rsidRDefault="007A1948"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Uso restrito a hospitais.</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Venda sob prescrição médica.</w:t>
      </w: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 xml:space="preserve">Venda proibida ao comércio </w:t>
      </w:r>
      <w:r w:rsidRPr="007A1948">
        <w:rPr>
          <w:rFonts w:ascii="Arial" w:eastAsia="Times New Roman" w:hAnsi="Arial" w:cs="Arial"/>
          <w:i/>
          <w:color w:val="0070C0"/>
          <w:sz w:val="20"/>
          <w:szCs w:val="20"/>
        </w:rPr>
        <w:t>(somente para os medicamentos com destinação institucional)</w:t>
      </w:r>
      <w:r w:rsidRPr="007A1948">
        <w:rPr>
          <w:rFonts w:ascii="Arial" w:eastAsia="Times New Roman" w:hAnsi="Arial" w:cs="Arial"/>
          <w:b/>
          <w:i/>
          <w:color w:val="0070C0"/>
          <w:sz w:val="20"/>
          <w:szCs w:val="20"/>
        </w:rPr>
        <w:t>.</w:t>
      </w:r>
    </w:p>
    <w:p w:rsidR="007A1948" w:rsidRPr="007A1948" w:rsidRDefault="007A1948"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color w:val="0070C0"/>
          <w:sz w:val="20"/>
          <w:szCs w:val="20"/>
        </w:rPr>
        <w:t>Esta bula foi atualizada conforme Bula Padrão aprovada pela Anvisa em dia/mês/ano.</w:t>
      </w:r>
    </w:p>
    <w:p w:rsidR="007A1948" w:rsidRPr="007A1948" w:rsidRDefault="007A1948" w:rsidP="00A44880">
      <w:pPr>
        <w:spacing w:after="0" w:line="240" w:lineRule="auto"/>
        <w:rPr>
          <w:rFonts w:ascii="Arial" w:eastAsia="Times New Roman" w:hAnsi="Arial" w:cs="Arial"/>
          <w:b/>
          <w:color w:val="0070C0"/>
          <w:sz w:val="20"/>
          <w:szCs w:val="20"/>
        </w:rPr>
      </w:pPr>
    </w:p>
    <w:p w:rsidR="007A1948" w:rsidRPr="007A1948" w:rsidRDefault="007A1948" w:rsidP="00A44880">
      <w:pPr>
        <w:spacing w:after="0" w:line="240" w:lineRule="auto"/>
        <w:rPr>
          <w:rFonts w:ascii="Arial" w:eastAsia="Times New Roman" w:hAnsi="Arial" w:cs="Arial"/>
          <w:b/>
          <w:color w:val="0070C0"/>
          <w:sz w:val="20"/>
          <w:szCs w:val="20"/>
        </w:rPr>
      </w:pPr>
      <w:r w:rsidRPr="007A1948">
        <w:rPr>
          <w:rFonts w:ascii="Arial" w:eastAsia="Times New Roman" w:hAnsi="Arial" w:cs="Arial"/>
          <w:b/>
          <w:noProof/>
          <w:color w:val="0070C0"/>
          <w:sz w:val="20"/>
          <w:szCs w:val="20"/>
        </w:rPr>
        <w:drawing>
          <wp:inline distT="0" distB="0" distL="0" distR="0" wp14:anchorId="10290DCB" wp14:editId="1202F167">
            <wp:extent cx="368300" cy="36195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7A1948" w:rsidRPr="00943086" w:rsidRDefault="007A1948" w:rsidP="00A44880">
      <w:pPr>
        <w:autoSpaceDE w:val="0"/>
        <w:autoSpaceDN w:val="0"/>
        <w:adjustRightInd w:val="0"/>
        <w:spacing w:after="0" w:line="240" w:lineRule="auto"/>
        <w:jc w:val="both"/>
        <w:rPr>
          <w:rFonts w:ascii="Arial" w:hAnsi="Arial" w:cs="Arial"/>
          <w:color w:val="000000"/>
          <w:sz w:val="20"/>
          <w:szCs w:val="20"/>
        </w:rPr>
      </w:pPr>
    </w:p>
    <w:p w:rsidR="004962A5" w:rsidRDefault="004962A5">
      <w:pPr>
        <w:rPr>
          <w:rFonts w:ascii="Arial" w:hAnsi="Arial" w:cs="Arial"/>
          <w:b/>
          <w:color w:val="000000"/>
          <w:sz w:val="20"/>
          <w:szCs w:val="20"/>
          <w:u w:val="single"/>
        </w:rPr>
      </w:pPr>
      <w:r>
        <w:rPr>
          <w:rFonts w:ascii="Arial" w:hAnsi="Arial" w:cs="Arial"/>
          <w:b/>
          <w:color w:val="000000"/>
          <w:sz w:val="20"/>
          <w:szCs w:val="20"/>
          <w:u w:val="single"/>
        </w:rPr>
        <w:br w:type="page"/>
      </w:r>
    </w:p>
    <w:p w:rsidR="00943086" w:rsidRPr="002E304F" w:rsidRDefault="00943086" w:rsidP="00A44880">
      <w:pPr>
        <w:autoSpaceDE w:val="0"/>
        <w:autoSpaceDN w:val="0"/>
        <w:adjustRightInd w:val="0"/>
        <w:spacing w:after="0" w:line="240" w:lineRule="auto"/>
        <w:jc w:val="both"/>
        <w:rPr>
          <w:rFonts w:ascii="Arial" w:hAnsi="Arial" w:cs="Arial"/>
          <w:b/>
          <w:color w:val="000000"/>
          <w:sz w:val="20"/>
          <w:szCs w:val="20"/>
          <w:u w:val="single"/>
        </w:rPr>
      </w:pPr>
      <w:r w:rsidRPr="002E304F">
        <w:rPr>
          <w:rFonts w:ascii="Arial" w:hAnsi="Arial" w:cs="Arial"/>
          <w:b/>
          <w:color w:val="000000"/>
          <w:sz w:val="20"/>
          <w:szCs w:val="20"/>
          <w:u w:val="single"/>
        </w:rPr>
        <w:lastRenderedPageBreak/>
        <w:t>SOLUÇÃO DE RINGER</w:t>
      </w:r>
    </w:p>
    <w:p w:rsidR="00943086" w:rsidRPr="00943086" w:rsidRDefault="00943086" w:rsidP="00A44880">
      <w:pPr>
        <w:autoSpaceDE w:val="0"/>
        <w:autoSpaceDN w:val="0"/>
        <w:adjustRightInd w:val="0"/>
        <w:spacing w:after="0" w:line="240" w:lineRule="auto"/>
        <w:jc w:val="both"/>
        <w:rPr>
          <w:rFonts w:ascii="Arial" w:hAnsi="Arial" w:cs="Arial"/>
          <w:color w:val="000000"/>
          <w:sz w:val="20"/>
          <w:szCs w:val="20"/>
        </w:rPr>
      </w:pPr>
    </w:p>
    <w:p w:rsidR="00943086" w:rsidRPr="00943086" w:rsidRDefault="00943086" w:rsidP="00A44880">
      <w:pPr>
        <w:spacing w:after="0" w:line="240" w:lineRule="auto"/>
        <w:rPr>
          <w:rFonts w:ascii="Arial" w:eastAsia="Times New Roman" w:hAnsi="Arial" w:cs="Arial"/>
          <w:b/>
          <w:color w:val="FF0000"/>
          <w:sz w:val="20"/>
          <w:szCs w:val="20"/>
          <w:u w:val="single"/>
        </w:rPr>
      </w:pPr>
      <w:r w:rsidRPr="00943086">
        <w:rPr>
          <w:rFonts w:ascii="Arial" w:eastAsia="Times New Roman" w:hAnsi="Arial" w:cs="Arial"/>
          <w:b/>
          <w:color w:val="FF0000"/>
          <w:sz w:val="20"/>
          <w:szCs w:val="20"/>
        </w:rPr>
        <w:t>NOME DO PRODUTO</w:t>
      </w: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SOLUÇÃO DE RINGER</w:t>
      </w: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cloreto de sódio + cloreto de potássio + cloreto de cálcio di</w:t>
      </w:r>
      <w:r w:rsidR="00A44880">
        <w:rPr>
          <w:rFonts w:ascii="Arial" w:eastAsia="Times New Roman" w:hAnsi="Arial" w:cs="Arial"/>
          <w:b/>
          <w:sz w:val="20"/>
          <w:szCs w:val="20"/>
        </w:rPr>
        <w:t>-h</w:t>
      </w:r>
      <w:r w:rsidRPr="00943086">
        <w:rPr>
          <w:rFonts w:ascii="Arial" w:eastAsia="Times New Roman" w:hAnsi="Arial" w:cs="Arial"/>
          <w:b/>
          <w:sz w:val="20"/>
          <w:szCs w:val="20"/>
        </w:rPr>
        <w:t>idratado</w:t>
      </w:r>
    </w:p>
    <w:p w:rsidR="00943086" w:rsidRPr="00943086" w:rsidRDefault="00943086" w:rsidP="00A44880">
      <w:pPr>
        <w:spacing w:after="0" w:line="240" w:lineRule="auto"/>
        <w:rPr>
          <w:rFonts w:ascii="Arial" w:eastAsia="Times New Roman" w:hAnsi="Arial" w:cs="Arial"/>
          <w:b/>
          <w:sz w:val="20"/>
          <w:szCs w:val="20"/>
          <w:u w:val="single"/>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APRESENTAÇÃO</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Solução injetável, límpida e hipotônica, estéril e apirogênica.</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Apresentações: Frascos, ampolas e bolsas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mL.</w:t>
      </w:r>
    </w:p>
    <w:p w:rsidR="00943086" w:rsidRPr="00943086" w:rsidRDefault="00943086" w:rsidP="00A44880">
      <w:pPr>
        <w:spacing w:after="0" w:line="240" w:lineRule="auto"/>
        <w:rPr>
          <w:rFonts w:ascii="Arial" w:eastAsia="Times New Roman" w:hAnsi="Arial" w:cs="Arial"/>
          <w:i/>
          <w:color w:val="808080"/>
          <w:sz w:val="20"/>
          <w:szCs w:val="20"/>
        </w:rPr>
      </w:pPr>
      <w:r w:rsidRPr="00943086">
        <w:rPr>
          <w:rFonts w:ascii="Arial" w:eastAsia="Times New Roman" w:hAnsi="Arial" w:cs="Arial"/>
          <w:i/>
          <w:color w:val="0070C0"/>
          <w:sz w:val="20"/>
          <w:szCs w:val="20"/>
        </w:rPr>
        <w:t>(inserir apenas apresentações comercializadas)</w:t>
      </w:r>
    </w:p>
    <w:p w:rsidR="00943086" w:rsidRPr="00943086" w:rsidRDefault="00943086" w:rsidP="00A44880">
      <w:pPr>
        <w:spacing w:after="0" w:line="240" w:lineRule="auto"/>
        <w:rPr>
          <w:rFonts w:ascii="Arial" w:eastAsia="Times New Roman" w:hAnsi="Arial" w:cs="Arial"/>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INTRAVENOSO E INDIVIDUALIZADO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ADULTO E PEDIÁTRICO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COMPOSIÇÃO:</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Cada mL da solução contém:</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sódio - NaCl</w:t>
      </w:r>
      <w:r w:rsidRPr="00943086">
        <w:rPr>
          <w:rFonts w:ascii="Arial" w:eastAsia="Times New Roman" w:hAnsi="Arial" w:cs="Arial"/>
          <w:sz w:val="20"/>
          <w:szCs w:val="20"/>
        </w:rPr>
        <w:tab/>
        <w:t>8,6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potássio – KCl</w:t>
      </w:r>
      <w:r w:rsidRPr="00943086">
        <w:rPr>
          <w:rFonts w:ascii="Arial" w:eastAsia="Times New Roman" w:hAnsi="Arial" w:cs="Arial"/>
          <w:sz w:val="20"/>
          <w:szCs w:val="20"/>
        </w:rPr>
        <w:tab/>
        <w:t>0,3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cálcio - CaCl</w:t>
      </w:r>
      <w:r w:rsidRPr="00943086">
        <w:rPr>
          <w:rFonts w:ascii="Arial" w:eastAsia="Times New Roman" w:hAnsi="Arial" w:cs="Arial"/>
          <w:sz w:val="20"/>
          <w:szCs w:val="20"/>
          <w:vertAlign w:val="subscript"/>
        </w:rPr>
        <w:t>2</w:t>
      </w:r>
      <w:r w:rsidRPr="00943086">
        <w:rPr>
          <w:rFonts w:ascii="Arial" w:eastAsia="Times New Roman" w:hAnsi="Arial" w:cs="Arial"/>
          <w:sz w:val="20"/>
          <w:szCs w:val="20"/>
        </w:rPr>
        <w:t>.2H</w:t>
      </w:r>
      <w:r w:rsidRPr="00943086">
        <w:rPr>
          <w:rFonts w:ascii="Arial" w:eastAsia="Times New Roman" w:hAnsi="Arial" w:cs="Arial"/>
          <w:sz w:val="20"/>
          <w:szCs w:val="20"/>
          <w:vertAlign w:val="subscript"/>
        </w:rPr>
        <w:t>2</w:t>
      </w:r>
      <w:r w:rsidRPr="00943086">
        <w:rPr>
          <w:rFonts w:ascii="Arial" w:eastAsia="Times New Roman" w:hAnsi="Arial" w:cs="Arial"/>
          <w:sz w:val="20"/>
          <w:szCs w:val="20"/>
        </w:rPr>
        <w:t>O</w:t>
      </w:r>
      <w:r w:rsidRPr="00943086">
        <w:rPr>
          <w:rFonts w:ascii="Arial" w:eastAsia="Times New Roman" w:hAnsi="Arial" w:cs="Arial"/>
          <w:sz w:val="20"/>
          <w:szCs w:val="20"/>
        </w:rPr>
        <w:tab/>
        <w:t>0,33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Conteúdo Eletrolítico:</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Sódio (Na</w:t>
      </w:r>
      <w:r w:rsidRPr="00943086">
        <w:rPr>
          <w:rFonts w:ascii="Arial" w:eastAsia="Times New Roman" w:hAnsi="Arial" w:cs="Arial"/>
          <w:sz w:val="20"/>
          <w:szCs w:val="20"/>
          <w:vertAlign w:val="superscript"/>
        </w:rPr>
        <w:t>+</w:t>
      </w:r>
      <w:r w:rsidRPr="00943086">
        <w:rPr>
          <w:rFonts w:ascii="Arial" w:eastAsia="Times New Roman" w:hAnsi="Arial" w:cs="Arial"/>
          <w:sz w:val="20"/>
          <w:szCs w:val="20"/>
        </w:rPr>
        <w:t>):</w:t>
      </w:r>
      <w:r w:rsidRPr="00943086">
        <w:rPr>
          <w:rFonts w:ascii="Arial" w:eastAsia="Times New Roman" w:hAnsi="Arial" w:cs="Arial"/>
          <w:sz w:val="20"/>
          <w:szCs w:val="20"/>
        </w:rPr>
        <w:tab/>
        <w:t>147 - 147,5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Potássio (K</w:t>
      </w:r>
      <w:r w:rsidRPr="00943086">
        <w:rPr>
          <w:rFonts w:ascii="Arial" w:eastAsia="Times New Roman" w:hAnsi="Arial" w:cs="Arial"/>
          <w:sz w:val="20"/>
          <w:szCs w:val="20"/>
          <w:vertAlign w:val="superscript"/>
        </w:rPr>
        <w:t>+</w:t>
      </w:r>
      <w:r w:rsidRPr="00943086">
        <w:rPr>
          <w:rFonts w:ascii="Arial" w:eastAsia="Times New Roman" w:hAnsi="Arial" w:cs="Arial"/>
          <w:sz w:val="20"/>
          <w:szCs w:val="20"/>
        </w:rPr>
        <w:t>):</w:t>
      </w:r>
      <w:r w:rsidRPr="00943086">
        <w:rPr>
          <w:rFonts w:ascii="Arial" w:eastAsia="Times New Roman" w:hAnsi="Arial" w:cs="Arial"/>
          <w:sz w:val="20"/>
          <w:szCs w:val="20"/>
        </w:rPr>
        <w:tab/>
        <w:t>4 – 4,47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Cálcio (Ca</w:t>
      </w:r>
      <w:r w:rsidRPr="00943086">
        <w:rPr>
          <w:rFonts w:ascii="Arial" w:eastAsia="Times New Roman" w:hAnsi="Arial" w:cs="Arial"/>
          <w:sz w:val="20"/>
          <w:szCs w:val="20"/>
          <w:vertAlign w:val="superscript"/>
        </w:rPr>
        <w:t>2+</w:t>
      </w:r>
      <w:r w:rsidRPr="00943086">
        <w:rPr>
          <w:rFonts w:ascii="Arial" w:eastAsia="Times New Roman" w:hAnsi="Arial" w:cs="Arial"/>
          <w:sz w:val="20"/>
          <w:szCs w:val="20"/>
        </w:rPr>
        <w:t>):</w:t>
      </w:r>
      <w:r w:rsidRPr="00943086">
        <w:rPr>
          <w:rFonts w:ascii="Arial" w:eastAsia="Times New Roman" w:hAnsi="Arial" w:cs="Arial"/>
          <w:sz w:val="20"/>
          <w:szCs w:val="20"/>
        </w:rPr>
        <w:tab/>
        <w:t>4,47 - 4,5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(Cl</w:t>
      </w:r>
      <w:r w:rsidRPr="00943086">
        <w:rPr>
          <w:rFonts w:ascii="Arial" w:eastAsia="Times New Roman" w:hAnsi="Arial" w:cs="Arial"/>
          <w:sz w:val="20"/>
          <w:szCs w:val="20"/>
          <w:vertAlign w:val="superscript"/>
        </w:rPr>
        <w:t>-</w:t>
      </w:r>
      <w:r w:rsidRPr="00943086">
        <w:rPr>
          <w:rFonts w:ascii="Arial" w:eastAsia="Times New Roman" w:hAnsi="Arial" w:cs="Arial"/>
          <w:sz w:val="20"/>
          <w:szCs w:val="20"/>
        </w:rPr>
        <w:t>):</w:t>
      </w:r>
      <w:r w:rsidRPr="00943086">
        <w:rPr>
          <w:rFonts w:ascii="Arial" w:eastAsia="Times New Roman" w:hAnsi="Arial" w:cs="Arial"/>
          <w:sz w:val="20"/>
          <w:szCs w:val="20"/>
        </w:rPr>
        <w:tab/>
        <w:t>155,5 -156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OSMOLARIDADE:</w:t>
      </w:r>
      <w:r w:rsidRPr="00943086">
        <w:rPr>
          <w:rFonts w:ascii="Arial" w:eastAsia="Times New Roman" w:hAnsi="Arial" w:cs="Arial"/>
          <w:sz w:val="20"/>
          <w:szCs w:val="20"/>
        </w:rPr>
        <w:tab/>
        <w:t>309 - 310 mOsm/L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5,0 - 7,5</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INFORMAÇÕES AO PACIENTE </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PARA QUE ESTE MEDICAMENTO É INDICADO?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Indicado para reidratação e restabelecimento do equilíbrio hidroeletrolítico, quando há perda de líquidos e dos íons cloreto, sódio, potássio e cálcio.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COMO ESTE MEDICAMENTO FUNCIONA?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é composta de cloreto de sódio, cloreto de cálcio e cloreto de potássio, diluídos em água para injeção. A composição dessa solução aproxima-se muito da composição dos líquidos extracelulares.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Deste modo, a solução de Ringer pode ser utilizada para reposição de líquido e íons em situações em que essas perdas acontecem.</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QUANDO NÃO DEVO USAR ESTE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é contraindicada nos casos de hipernatremia (excesso de sódio no sangue), hipercalcemia (excesso de cálcio no sangue), hiperpotassemia ((excesso de potássio no sangue),) e hipercloremia (excesso de cloro no sangue),.</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O QUE DEVO SABER ANTES DE USAR ESTE MEDICAMENTO?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devido ao risco de coagulação. Nem mesmo com medicamentos os quais haja a possibilidade de formação de sais de cálcio precipitados.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 solução de Ringer não deve ser adicionada a soluções contendo carbonato, oxalato ou fosfato, pois possibilita a formação e precipitação de sais de cálcio.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potássio devem ser utilizadas com grande cuidado em pacientes com insuficiência renal severa (falência dos rins), insuficiência cardíaca congestiva (falência cardíaca) e em condições nas quais retenção de potássio esteja presente.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intravenosa dessa solução pode causar sobrecarga de fluidos e/ou solutos, resultando na hiper-hidratação, estados congestivos ou edema pulmonar.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terapia com potássio, cálcio e sódio deve ser monitorada por eletrocardiogramas, especialmente em pacientes que fazem uso de digitálicos, </w:t>
      </w:r>
      <w:r w:rsidR="00A44880" w:rsidRPr="00943086">
        <w:rPr>
          <w:rFonts w:ascii="Arial" w:eastAsia="Times New Roman" w:hAnsi="Arial" w:cs="Arial"/>
          <w:sz w:val="20"/>
          <w:szCs w:val="20"/>
        </w:rPr>
        <w:t>corticosteroides</w:t>
      </w:r>
      <w:r w:rsidRPr="00943086">
        <w:rPr>
          <w:rFonts w:ascii="Arial" w:eastAsia="Times New Roman" w:hAnsi="Arial" w:cs="Arial"/>
          <w:sz w:val="20"/>
          <w:szCs w:val="20"/>
        </w:rPr>
        <w:t xml:space="preserve"> ou corticotropina.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Para minimizar o risco de possíveis incompatibilidades da mistura da solução de Ringer não deve ser administrado na presença de turbidez ou precipitação imediatamente após a mistura, antes e durante a administração.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As injeções de Ringer devem ser dadas a mulheres grávidas somente se claramente necessário.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Devido a muitas substâncias serem excretadas no leite materno, deve-se tomar cuidado quando a solução de Ringer for administrada lactentes mulheres que estão amamentando.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 idosos e outros grupos de risco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segurança e a efetividade em crianças estão baseadas na similaridade da resposta clínica entre adultos e crianças. Em recém-nascidos e em crianças pequenas o volume de fluido pode afetar o balanço hidroeletrolítico, especialmente nos recém-nascidos prematuros, cuja função dos rins pode estar imatura e cuja habilidade de excretar cargas do líquido e do soluto pode estar limitada.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idosos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Nos estudos clínicos com injeção de Ringer não foi incluído número suficiente de pessoas com mais de 65 anos que permita determinar diferenças entre as respostas de jovens e idosos. No geral, a seleção da dose para um paciente idoso deverá ser mais criteriosa, sendo iniciada pela menor dose terapêutica, devido à maior suscetibilidade dos idosos ao comprometimento das funções renal, cardíaca (do coração) ou hepática (do fígado), além da possível existência de outros distúrbios e/ou medicamentos concomitantes.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Interações medicamentosas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pacientes portadores de doenças cardíacas (problemas de coração), particularmente em uso de digitálicos ou na presença de doenças renais, deve-se ter cuidado na administração de Ringer devido à presença de potássio.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sódio é necessária cautela na administração em pacientes em uso de corticosteroides e corticotropínicos.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da solução de Ringer, devido ao risco de coagulação. A solução de Ringer não deve ser adicionada de medicamentos os quais possibilitem a formação de sais de cálcio precipitados, tais como: soluções contento carbonato, oxalato e fosfato.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lastRenderedPageBreak/>
        <w:t>Há incompatibilidade desta solução com anfotericina B, bicarbonato de sódio, procainamida e tiobarbiturato. Há ocorrência de hipercalemia quando o cálcio é administrado com diuréticos tiazídicos ou vitamina D. A vitamina D aumenta a absorção gastrointestinal do cálcio e os diuréticos tiazídicos diminuem sua excreção urinária.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ou cirurgião-dentista se você está fazendo uso de algum outro medicamento.</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sem o conhecimento do seu médico. Pode ser perigoso para a sua saúde.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ONDE, COMO E POR QUANTO TEMPO POSSO GUARDAR ESTE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Aspecto: solução injetável, límpida, estéril e apirogênica.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Antes de usar, observe o aspecto do medicamento. Caso ele esteja no prazo de validade e você observe alguma mudança no aspecto, consulte o farmacêutico para saber se poderá utilizá-lo. </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COMO DEVO USAR ESTE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943086" w:rsidRPr="00943086" w:rsidRDefault="00943086" w:rsidP="00A44880">
      <w:pPr>
        <w:spacing w:after="0" w:line="240" w:lineRule="auto"/>
        <w:jc w:val="both"/>
        <w:rPr>
          <w:rFonts w:ascii="Arial" w:eastAsia="Times New Roman" w:hAnsi="Arial" w:cs="Arial"/>
          <w:i/>
          <w:color w:val="808080"/>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943086" w:rsidRPr="00943086" w:rsidRDefault="00943086" w:rsidP="00A44880">
      <w:pPr>
        <w:spacing w:after="0" w:line="240" w:lineRule="auto"/>
        <w:jc w:val="both"/>
        <w:rPr>
          <w:rFonts w:ascii="Arial" w:eastAsia="Times New Roman" w:hAnsi="Arial" w:cs="Arial"/>
          <w:b/>
          <w:i/>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lastRenderedPageBreak/>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943086" w:rsidRPr="00943086" w:rsidRDefault="00943086" w:rsidP="00A44880">
      <w:pPr>
        <w:spacing w:after="0" w:line="240" w:lineRule="auto"/>
        <w:jc w:val="both"/>
        <w:rPr>
          <w:rFonts w:ascii="Arial" w:eastAsia="Times New Roman" w:hAnsi="Arial" w:cs="Arial"/>
          <w:i/>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2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943086" w:rsidRPr="00943086" w:rsidRDefault="00943086" w:rsidP="00A44880">
      <w:pPr>
        <w:numPr>
          <w:ilvl w:val="0"/>
          <w:numId w:val="2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943086" w:rsidRPr="00943086" w:rsidRDefault="00943086" w:rsidP="00A44880">
      <w:pPr>
        <w:numPr>
          <w:ilvl w:val="0"/>
          <w:numId w:val="2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943086" w:rsidRPr="00943086" w:rsidRDefault="00943086" w:rsidP="00A44880">
      <w:pPr>
        <w:numPr>
          <w:ilvl w:val="0"/>
          <w:numId w:val="2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943086" w:rsidRPr="00943086" w:rsidRDefault="00943086" w:rsidP="00A44880">
      <w:pPr>
        <w:numPr>
          <w:ilvl w:val="0"/>
          <w:numId w:val="2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943086" w:rsidRPr="00943086" w:rsidRDefault="00943086" w:rsidP="00A44880">
      <w:pPr>
        <w:spacing w:after="0" w:line="240" w:lineRule="auto"/>
        <w:ind w:firstLine="708"/>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943086" w:rsidRPr="00943086" w:rsidRDefault="00943086" w:rsidP="00A44880">
      <w:pPr>
        <w:spacing w:after="0" w:line="240" w:lineRule="auto"/>
        <w:ind w:firstLine="708"/>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2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943086" w:rsidRPr="00943086" w:rsidRDefault="00943086" w:rsidP="00A44880">
      <w:pPr>
        <w:numPr>
          <w:ilvl w:val="0"/>
          <w:numId w:val="2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943086" w:rsidRPr="00943086" w:rsidRDefault="00943086" w:rsidP="00A44880">
      <w:pPr>
        <w:numPr>
          <w:ilvl w:val="0"/>
          <w:numId w:val="27"/>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27"/>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2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943086" w:rsidRPr="00943086" w:rsidRDefault="00943086" w:rsidP="00A44880">
      <w:pPr>
        <w:numPr>
          <w:ilvl w:val="0"/>
          <w:numId w:val="2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943086" w:rsidRPr="00943086" w:rsidRDefault="00943086" w:rsidP="00A44880">
      <w:pPr>
        <w:numPr>
          <w:ilvl w:val="0"/>
          <w:numId w:val="2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943086" w:rsidRPr="00943086" w:rsidRDefault="00943086" w:rsidP="00A44880">
      <w:pPr>
        <w:numPr>
          <w:ilvl w:val="0"/>
          <w:numId w:val="2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28"/>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t>Posologia</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color w:val="000000"/>
          <w:sz w:val="20"/>
          <w:szCs w:val="20"/>
        </w:rPr>
        <w:t>A administração da Solução de Ringer deve ser baseada na manutenção ou reposição, calculadas de acordo com a necessidade de cada paciente.</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Siga a orientação de seu médico, respeitando sempre os horários, as doses e a duração do tratamento. Não interrompa o tratamento sem o conhecimento do seu médico.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O QUE DEVO FAZER QUANDO EU ME ESQUECER DE USAR ESTE MEDICAMENTO?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utilização deste medicamento ocorrerá em ambiente hospitalar, orientado e executado por profissionais especializados e não dependerá da conduta do paciente. </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dúvidas, procure orientação do farmacêutico ou de seu médico, ou cirurgião-dentista.</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QUAIS OS MALES QUE ESTE MEDICAMENTO PODE ME CAUSAR?</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reações adversas podem ocorrer devido à solução ou à técnica de administração e incluem febre, infecção no ponto de injeção, trombose venosa ou inflamação irradiando-se a partir do ponto de injeção, extravasamento e hipervolemia. Se ocorrer reação adversa, suspender a infusão, avaliar o paciente, tratar conforme necessário e guardar o restante da solução para posterior investigação, se necessário.</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Hipernatremia (excesso de sódio no sangue), por ser associada a edema (inchaço) e exacerbação da insuficiência cardíaca congestiva (problemas do </w:t>
      </w:r>
      <w:r w:rsidR="00A44880" w:rsidRPr="00943086">
        <w:rPr>
          <w:rFonts w:ascii="Arial" w:eastAsia="Times New Roman" w:hAnsi="Arial" w:cs="Arial"/>
          <w:sz w:val="20"/>
          <w:szCs w:val="20"/>
        </w:rPr>
        <w:t>coração</w:t>
      </w:r>
      <w:r w:rsidRPr="00943086">
        <w:rPr>
          <w:rFonts w:ascii="Arial" w:eastAsia="Times New Roman" w:hAnsi="Arial" w:cs="Arial"/>
          <w:sz w:val="20"/>
          <w:szCs w:val="20"/>
        </w:rPr>
        <w:t>), devido à retenção de água, resultando em aumento do volume do fluido extracelular.</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cirurgião-dentista ou farmacêutico o aparecimento de reações indesejáveis pelo uso do medicamento. Informe também à empresa através de seu serviço de atendimento.</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b/>
          <w:color w:val="000000"/>
          <w:sz w:val="20"/>
          <w:szCs w:val="20"/>
        </w:rPr>
      </w:pPr>
      <w:r w:rsidRPr="00943086">
        <w:rPr>
          <w:rFonts w:ascii="Arial" w:eastAsia="Times New Roman" w:hAnsi="Arial" w:cs="Arial"/>
          <w:b/>
          <w:color w:val="000000"/>
          <w:sz w:val="20"/>
          <w:szCs w:val="20"/>
        </w:rPr>
        <w:t>9. O QUE FAZER SE ALGUÉM USAR UMA QUANTIDADE MAIOR DO QUE A INDICADA</w:t>
      </w: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DESTE MEDICAMENTO?</w:t>
      </w: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em doses elevadas pode causar sintomas de desconforto tais como: náusea (enjoo), vômito, dor abdominal e diarreia, cefaleia, sonolência e arritmias (perturbações que alteram a frequência ou o ritmo dos batimentos cardíacos).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A infusão de grandes volumes da solução de Ringer pode causar hipervolemia (aumento no volume do sangue), resultando em diluições eletrolíticas do plasma, hiper-hidratação, indução da acidose metabólica (aumento do pH ) e edemas pulmonares. Nestes casos a infusão deve ser interrompida e a terapia de apoio deve ser instalada.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uso de grande quantidade deste medicamento, procure rapidamente socorro médico e leve a embalagem ou bula do medicamento, se possível. Ligue para 0800 722 6001, se você precisar de mais orientações.</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TÉCNICAS AOS PROFISSIONAIS DE SAÚDE</w:t>
      </w:r>
    </w:p>
    <w:p w:rsidR="00943086" w:rsidRPr="00943086" w:rsidRDefault="00943086" w:rsidP="00A44880">
      <w:pPr>
        <w:autoSpaceDE w:val="0"/>
        <w:autoSpaceDN w:val="0"/>
        <w:adjustRightInd w:val="0"/>
        <w:spacing w:after="0" w:line="240" w:lineRule="auto"/>
        <w:jc w:val="both"/>
        <w:rPr>
          <w:rFonts w:ascii="Arial" w:hAnsi="Arial" w:cs="Arial"/>
          <w:color w:val="000000"/>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INDICAÇÕES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Reidratação e restabelecimento do equilíbrio hidroeletrolítico, quando há perda de líquidos e de íons cloreto, sódio, potássio e cálcio.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CARACTERÍSTICAS FARMACOLÓGICAS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é composta de cloreto de sódio, cloreto de cálcio e cloreto de potássio, diluídos em água para injeção. A composição dessa solução aproxima-se estreitamente daquela dos líquidos extracelulares.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Desse modo, a solução de Ringer está destinada à reposição de líquido e eletrólitos em situações em que essas perdas se fazem presentes.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sódio atua no controle da distribuição de água, no balanço hídrico e na pressão osmótica dos fluidos corporais, e associado ao cloreto e bicarbonato atua na regulação do equilíbrio ácido-base.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potássio é crítico na regulação da condução nervosa e contração muscular, particularmente no coração.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cloreto segue o metabolismo do sódio e alterações na sua concentração provocam mudanças no balanço ácido-base do corpo.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cálcio é essencial no mecanismo de coagulação sanguínea, na função cardíaca normal e na regulação da irritabilidade neuromuscular.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O excesso de sódio, potássio e cálcio é excretado principalmente pelos rins.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CONTRAINDICAÇÕES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é contraindicada nos casos de hipernatremia, hipercalcemia, hiperpotassemia (hipercalemia) e hipercloremia.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ADVERTÊNCIAS E PRECAUÇÕES</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devido ao risco de coagulação. Nem mesmo com medicamentos os quais haja a possibilidade de formação de sais de cálcio precipitados.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não deve ser adicionada a soluções contendo carbonato, oxalato ou fosfato, pois possibilita a formação e precipitação de sais de cálcio.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potássio devem ser utilizadas com grande cuidado em pacientes com insuficiência renal severa, insuficiência cardíaca congestiva e em condições nas quais retenção de potássio esteja presente.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intravenosa dessa solução pode causar sobrecarga de fluidos e/ou solutos, resultando na hiper-hidratação, estados congestivos ou edema pulmonar.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terapia com potássio, cálcio e sódio deve ser monitorada por eletrocardiogramas, especialmente em pacientes que fazem uso de digitálicos, corticosteroides ou corticotropina.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Para minimizar o risco de possíveis incompatibilidades da mistura da solução de Ringer não deve ser administrado na presença de turbidez ou precipitação imediatamente após a mistura, antes e durante a administração.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Gravidez Categoria C. Não foram conduzidos estudos sobre reprodução em modelo animal para avaliar a solução de Ringer. Também não há fundamentação científica conclusiva de que essa medicação cause dano fetal quando administrada em uma mulher grávida ou afete a capacidade de reprodução. Portanto, as injeções de Ringer devem ser dadas a mulheres grávidas somente se claramente necessário.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Devido a muitas substâncias serem excretadas no leite materno, deve-se tomar cuidado quando a solução de Ringer for administrada a lactentes.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 geriátrico e outros grupos de risco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lastRenderedPageBreak/>
        <w:t>Uso pediátrico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segurança e a efetividade na população pediátrica estão baseadas na similaridade da resposta clínica entre adultos e crianças. Em neonatos e em crianças pequenas o volume de fluido pode afetar o balanço hidroeletrolítico, especialmente nos neonatos prematuros, cuja função renal pode estar imatura e cuja habilidade de excretar cargas do líquido e do soluto pode estar limitada.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geriátrico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Nos estudos clínicos com injeção de Ringer não foi incluído número suficiente de pessoas com mais de 65 anos que permita determinar diferenças entre as respostas de jovens e idosos. No geral, a seleção da dose para um paciente idoso deverá ser mais criteriosa, sendo iniciada pela menor dose terapêutica, devido à maior suscetibilidade dos idosos ao comprometimento das funções renal, cardíaca ou hepática, além da possível existência de outros distúrbios e/ou medicamentos concomitantes.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INTERAÇÕES MEDICAMENTOSAS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pacientes portadores de doenças cardíacas, particularmente em uso de digitálicos ou na presença de doenças renais, deve-se ter cuidado na administração de Ringer devido à presença de potássio.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sódio é necessária cautela na administração em pacientes em uso de corticosteroides e corticotropínicos.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da solução de Ringer, devido ao risco de coagulação. A solução de Ringer não deve ser adicionada de medicamentos os quais possibilitem a formação de sais de cálcio precipitados, tais como: soluções contento carbonato, oxalato e fosfato.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Há incompatibilidade desta solução com anfotericina B, bicarbonato de sódio, procainamida e tiobarbiturato. Há ocorrência de hipercalemia quando o cálcio é administrado com diuréticos tiazídicos ou vitamina D. A vitamina D aumenta a absorção gastrointestinal do cálcio e os diuréticos tiazídicos diminuem sua excreção urinária.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CUIDADOS DE ARMAZENAMENTO DO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Solução injetável, límpida, estéril e apirogênica.</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POSOLOGIA E MODO DE USAR</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 dosagem deve ser determinada por um médico e é dependente da idade, do peso, das condições clínicas do paciente, do medicamento diluído em solução e das determinações em laboratório.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943086" w:rsidRPr="00943086" w:rsidRDefault="00943086" w:rsidP="00A44880">
      <w:pPr>
        <w:spacing w:after="0" w:line="240" w:lineRule="auto"/>
        <w:jc w:val="both"/>
        <w:rPr>
          <w:rFonts w:ascii="Arial" w:eastAsia="Times New Roman" w:hAnsi="Arial" w:cs="Arial"/>
          <w:i/>
          <w:color w:val="808080"/>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943086" w:rsidRPr="00943086" w:rsidRDefault="00943086" w:rsidP="00A44880">
      <w:pPr>
        <w:spacing w:after="0" w:line="240" w:lineRule="auto"/>
        <w:jc w:val="both"/>
        <w:rPr>
          <w:rFonts w:ascii="Arial" w:eastAsia="Times New Roman" w:hAnsi="Arial" w:cs="Arial"/>
          <w:b/>
          <w:i/>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943086" w:rsidRPr="00943086" w:rsidRDefault="00943086" w:rsidP="00A44880">
      <w:pPr>
        <w:spacing w:after="0" w:line="240" w:lineRule="auto"/>
        <w:jc w:val="both"/>
        <w:rPr>
          <w:rFonts w:ascii="Arial" w:eastAsia="Times New Roman" w:hAnsi="Arial" w:cs="Arial"/>
          <w:i/>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2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943086" w:rsidRPr="00943086" w:rsidRDefault="00943086" w:rsidP="00A44880">
      <w:pPr>
        <w:numPr>
          <w:ilvl w:val="0"/>
          <w:numId w:val="2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943086" w:rsidRPr="00943086" w:rsidRDefault="00943086" w:rsidP="00A44880">
      <w:pPr>
        <w:numPr>
          <w:ilvl w:val="0"/>
          <w:numId w:val="2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943086" w:rsidRPr="00943086" w:rsidRDefault="00943086" w:rsidP="00A44880">
      <w:pPr>
        <w:numPr>
          <w:ilvl w:val="0"/>
          <w:numId w:val="2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943086" w:rsidRPr="00943086" w:rsidRDefault="00943086" w:rsidP="00A44880">
      <w:pPr>
        <w:numPr>
          <w:ilvl w:val="0"/>
          <w:numId w:val="29"/>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943086" w:rsidRPr="00943086" w:rsidRDefault="00943086" w:rsidP="00A44880">
      <w:pPr>
        <w:spacing w:after="0" w:line="240" w:lineRule="auto"/>
        <w:ind w:firstLine="708"/>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943086" w:rsidRPr="00943086" w:rsidRDefault="00943086" w:rsidP="00A44880">
      <w:pPr>
        <w:spacing w:after="0" w:line="240" w:lineRule="auto"/>
        <w:ind w:firstLine="708"/>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943086" w:rsidRPr="00943086" w:rsidRDefault="00943086" w:rsidP="00A44880">
      <w:pPr>
        <w:numPr>
          <w:ilvl w:val="0"/>
          <w:numId w:val="30"/>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943086" w:rsidRPr="00943086" w:rsidRDefault="00943086" w:rsidP="00A44880">
      <w:pPr>
        <w:numPr>
          <w:ilvl w:val="0"/>
          <w:numId w:val="30"/>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lastRenderedPageBreak/>
        <w:t>Misturar o medicamento completamente na solução parenteral.</w:t>
      </w:r>
    </w:p>
    <w:p w:rsidR="00943086" w:rsidRPr="00943086" w:rsidRDefault="00943086" w:rsidP="00A44880">
      <w:pPr>
        <w:numPr>
          <w:ilvl w:val="0"/>
          <w:numId w:val="30"/>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943086" w:rsidRPr="00943086" w:rsidRDefault="00943086" w:rsidP="00A44880">
      <w:pPr>
        <w:numPr>
          <w:ilvl w:val="0"/>
          <w:numId w:val="3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943086" w:rsidRPr="00943086" w:rsidRDefault="00943086" w:rsidP="00A44880">
      <w:pPr>
        <w:numPr>
          <w:ilvl w:val="0"/>
          <w:numId w:val="3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943086" w:rsidRPr="00943086" w:rsidRDefault="00943086" w:rsidP="00A44880">
      <w:pPr>
        <w:numPr>
          <w:ilvl w:val="0"/>
          <w:numId w:val="3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31"/>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t>Posologia</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r w:rsidRPr="00943086">
        <w:rPr>
          <w:rFonts w:ascii="Arial" w:eastAsia="Times New Roman" w:hAnsi="Arial" w:cs="Arial"/>
          <w:color w:val="000000"/>
          <w:sz w:val="20"/>
          <w:szCs w:val="20"/>
        </w:rPr>
        <w:t>O preparo e administração da Solução Parenteral deve obedecer à prescrição, precedida de criteriosa avaliação, pelo farmacêutico, da compatibilidade físico-química e da interação medicamentosa que possam ocorrer entre os seus componentes.</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color w:val="000000"/>
          <w:sz w:val="20"/>
          <w:szCs w:val="20"/>
        </w:rPr>
        <w:t>A administração da Solução de Ringer deve ser baseada na manutenção ou reposição calculadas de acordo com a necessidade de cada paciente.</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REAÇÕES ADVERSAS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reações adversas podem ocorrer devido à solução ou à técnica de administração e incluem resposta febril, infecção no ponto de injeção, trombose venosa ou flebite irradiando-se a partir do ponto de injeção, extravasamento e hipervolemia. Se ocorrer reação adversa, suspender a infusão, avaliar o paciente, aplicar terapêutica corretiva apropriada e guardar o restante da solução para posterior investigação, se necessário.</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Hipernatremia, por ser associada a edema e exacerbação da insuficiência cardíaca congestiva, devido à retenção de água, resultando em aumento do volume do fluido extracelular.</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color w:val="0070C0"/>
          <w:sz w:val="20"/>
          <w:szCs w:val="20"/>
        </w:rPr>
        <w:t xml:space="preserve">Em casos de eventos adversos, notifique ao Sistema de Notificações em Vigilância </w:t>
      </w:r>
      <w:r w:rsidR="00A44880" w:rsidRPr="00943086">
        <w:rPr>
          <w:rFonts w:ascii="Arial" w:eastAsia="Times New Roman" w:hAnsi="Arial" w:cs="Arial"/>
          <w:color w:val="0070C0"/>
          <w:sz w:val="20"/>
          <w:szCs w:val="20"/>
        </w:rPr>
        <w:t>Sanitária</w:t>
      </w:r>
      <w:r w:rsidRPr="00943086">
        <w:rPr>
          <w:rFonts w:ascii="Arial" w:eastAsia="Times New Roman" w:hAnsi="Arial" w:cs="Arial"/>
          <w:color w:val="0070C0"/>
          <w:sz w:val="20"/>
          <w:szCs w:val="20"/>
        </w:rPr>
        <w:t xml:space="preserve"> - NOTIVISA, disponível em </w:t>
      </w:r>
      <w:hyperlink r:id="rId11" w:history="1">
        <w:r w:rsidRPr="00943086">
          <w:rPr>
            <w:rFonts w:ascii="Arial" w:eastAsia="Times New Roman" w:hAnsi="Arial" w:cs="Arial"/>
            <w:color w:val="0070C0"/>
            <w:sz w:val="20"/>
            <w:szCs w:val="20"/>
            <w:u w:val="single"/>
          </w:rPr>
          <w:t>http://www.anvisa.gov.br/hotsite/notivisa/index.htm</w:t>
        </w:r>
      </w:hyperlink>
      <w:r w:rsidRPr="00943086">
        <w:rPr>
          <w:rFonts w:ascii="Arial" w:eastAsia="Times New Roman" w:hAnsi="Arial" w:cs="Arial"/>
          <w:color w:val="0070C0"/>
          <w:sz w:val="20"/>
          <w:szCs w:val="20"/>
        </w:rPr>
        <w:t>, ou para a Vigilância Sanitária Estadual ou Municipal.</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S</w:t>
      </w:r>
      <w:r w:rsidRPr="00943086">
        <w:rPr>
          <w:rFonts w:ascii="Arial" w:eastAsia="Times New Roman" w:hAnsi="Arial" w:cs="Arial"/>
          <w:b/>
          <w:sz w:val="20"/>
          <w:szCs w:val="20"/>
        </w:rPr>
        <w:t>UPERDOSE</w:t>
      </w: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em doses elevadas pode causar sintomas de desconforto tais como: náusea, vômito, dor abdominal e diarreia, cefaleia, sonolência e arritmias.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A infusão de grandes volumes da solução de Ringer pode causar hipervolemia, resultando em diluições eletrolíticas do plasma, hiperidratação, indução da acidose metabólica e edemas pulmonares. Nestes casos a infusão deve ser interrompida e a terapia de apoio deve ser instalada.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intoxicação ligue para 0800 722 6001, se você precisar de mais orientações.</w:t>
      </w:r>
    </w:p>
    <w:p w:rsidR="00943086" w:rsidRPr="00943086" w:rsidRDefault="00943086" w:rsidP="00A44880">
      <w:pPr>
        <w:spacing w:after="0" w:line="240" w:lineRule="auto"/>
        <w:rPr>
          <w:rFonts w:ascii="Arial" w:eastAsia="Times New Roman" w:hAnsi="Arial" w:cs="Arial"/>
          <w:b/>
          <w:color w:val="0070C0"/>
          <w:sz w:val="20"/>
          <w:szCs w:val="20"/>
        </w:rPr>
      </w:pPr>
    </w:p>
    <w:p w:rsidR="002E304F" w:rsidRPr="00943086" w:rsidRDefault="002E304F" w:rsidP="00A44880">
      <w:pPr>
        <w:spacing w:after="0" w:line="240" w:lineRule="auto"/>
        <w:rPr>
          <w:rFonts w:ascii="Arial" w:eastAsia="Times New Roman" w:hAnsi="Arial" w:cs="Arial"/>
          <w:b/>
          <w:color w:val="0070C0"/>
          <w:sz w:val="20"/>
          <w:szCs w:val="20"/>
        </w:rPr>
      </w:pPr>
      <w:r>
        <w:rPr>
          <w:rFonts w:ascii="Arial" w:eastAsia="Times New Roman" w:hAnsi="Arial" w:cs="Arial"/>
          <w:b/>
          <w:color w:val="0070C0"/>
          <w:sz w:val="20"/>
          <w:szCs w:val="20"/>
        </w:rPr>
        <w:t>DIZERES LEGAIS</w:t>
      </w:r>
    </w:p>
    <w:p w:rsidR="002E304F" w:rsidRDefault="002E304F"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M.S. nº: X.XXXX.XXXX.XXX-X</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Responsável Técnico: XXXXXX CRF/XX:</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Fabricado por: </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Nome completo e Endereço do Fabricante </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Registrado por:</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Nome completo e Endereço do Titular do registro</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Cadastro Nacional de Pessoa Jurídica, CNPJ.</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Indústria Brasileira </w:t>
      </w:r>
      <w:r w:rsidRPr="00943086">
        <w:rPr>
          <w:rFonts w:ascii="Arial" w:eastAsia="Times New Roman" w:hAnsi="Arial" w:cs="Arial"/>
          <w:i/>
          <w:color w:val="0070C0"/>
          <w:sz w:val="20"/>
          <w:szCs w:val="20"/>
        </w:rPr>
        <w:t>(se for o caso).</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Telefone do Serviço de Atendimento ao Consumidor da empresa – SAC</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Uso restrito a hospitais.</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Venda sob prescrição médica.</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Venda proibida ao comércio. </w:t>
      </w:r>
      <w:r w:rsidRPr="00943086">
        <w:rPr>
          <w:rFonts w:ascii="Arial" w:eastAsia="Times New Roman" w:hAnsi="Arial" w:cs="Arial"/>
          <w:i/>
          <w:color w:val="0070C0"/>
          <w:sz w:val="20"/>
          <w:szCs w:val="20"/>
        </w:rPr>
        <w:t>(somente para os medicamentos com destinação institucional).</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Esta bula foi atualizada conforme Bula Padrão aprovada pela Anvisa em dia/mês/ano.</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noProof/>
          <w:color w:val="0070C0"/>
          <w:sz w:val="20"/>
          <w:szCs w:val="20"/>
        </w:rPr>
        <w:drawing>
          <wp:inline distT="0" distB="0" distL="0" distR="0" wp14:anchorId="15F3A8EE" wp14:editId="3FA461E4">
            <wp:extent cx="368300" cy="3619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943086" w:rsidRPr="00943086" w:rsidRDefault="00943086" w:rsidP="00A44880">
      <w:pPr>
        <w:spacing w:after="0" w:line="240" w:lineRule="auto"/>
        <w:rPr>
          <w:rFonts w:ascii="Arial" w:eastAsia="Times New Roman" w:hAnsi="Arial" w:cs="Arial"/>
          <w:b/>
          <w:color w:val="0070C0"/>
          <w:sz w:val="20"/>
          <w:szCs w:val="20"/>
        </w:rPr>
      </w:pPr>
    </w:p>
    <w:p w:rsidR="004962A5" w:rsidRDefault="004962A5">
      <w:pPr>
        <w:rPr>
          <w:rFonts w:ascii="Arial" w:hAnsi="Arial" w:cs="Arial"/>
          <w:b/>
          <w:color w:val="000000"/>
          <w:sz w:val="20"/>
          <w:szCs w:val="20"/>
          <w:u w:val="single"/>
        </w:rPr>
      </w:pPr>
      <w:r>
        <w:rPr>
          <w:rFonts w:ascii="Arial" w:hAnsi="Arial" w:cs="Arial"/>
          <w:b/>
          <w:color w:val="000000"/>
          <w:sz w:val="20"/>
          <w:szCs w:val="20"/>
          <w:u w:val="single"/>
        </w:rPr>
        <w:br w:type="page"/>
      </w:r>
    </w:p>
    <w:p w:rsidR="00943086" w:rsidRPr="002E304F" w:rsidRDefault="00943086" w:rsidP="00A44880">
      <w:pPr>
        <w:autoSpaceDE w:val="0"/>
        <w:autoSpaceDN w:val="0"/>
        <w:adjustRightInd w:val="0"/>
        <w:spacing w:after="0" w:line="240" w:lineRule="auto"/>
        <w:jc w:val="both"/>
        <w:rPr>
          <w:rFonts w:ascii="Arial" w:hAnsi="Arial" w:cs="Arial"/>
          <w:b/>
          <w:color w:val="000000"/>
          <w:sz w:val="20"/>
          <w:szCs w:val="20"/>
          <w:u w:val="single"/>
        </w:rPr>
      </w:pPr>
      <w:r w:rsidRPr="002E304F">
        <w:rPr>
          <w:rFonts w:ascii="Arial" w:hAnsi="Arial" w:cs="Arial"/>
          <w:b/>
          <w:color w:val="000000"/>
          <w:sz w:val="20"/>
          <w:szCs w:val="20"/>
          <w:u w:val="single"/>
        </w:rPr>
        <w:lastRenderedPageBreak/>
        <w:t>SOLUÇÃO DE RINGER COM LACTATO</w:t>
      </w:r>
    </w:p>
    <w:p w:rsidR="00943086" w:rsidRPr="00943086" w:rsidRDefault="00943086" w:rsidP="00A44880">
      <w:pPr>
        <w:autoSpaceDE w:val="0"/>
        <w:autoSpaceDN w:val="0"/>
        <w:adjustRightInd w:val="0"/>
        <w:spacing w:after="0" w:line="240" w:lineRule="auto"/>
        <w:jc w:val="both"/>
        <w:rPr>
          <w:rFonts w:ascii="Arial" w:hAnsi="Arial" w:cs="Arial"/>
          <w:color w:val="000000"/>
          <w:sz w:val="20"/>
          <w:szCs w:val="20"/>
        </w:rPr>
      </w:pPr>
    </w:p>
    <w:p w:rsidR="00943086" w:rsidRPr="00943086" w:rsidRDefault="00943086" w:rsidP="00A44880">
      <w:pPr>
        <w:spacing w:after="0" w:line="240" w:lineRule="auto"/>
        <w:rPr>
          <w:rFonts w:ascii="Arial" w:eastAsia="Times New Roman" w:hAnsi="Arial" w:cs="Arial"/>
          <w:b/>
          <w:color w:val="FF0000"/>
          <w:sz w:val="20"/>
          <w:szCs w:val="20"/>
          <w:u w:val="single"/>
        </w:rPr>
      </w:pPr>
      <w:r w:rsidRPr="00943086">
        <w:rPr>
          <w:rFonts w:ascii="Arial" w:eastAsia="Times New Roman" w:hAnsi="Arial" w:cs="Arial"/>
          <w:b/>
          <w:color w:val="FF0000"/>
          <w:sz w:val="20"/>
          <w:szCs w:val="20"/>
        </w:rPr>
        <w:t>NOME DO PRODUTO</w:t>
      </w: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SOLUÇÃO DE RINGER COM LACTATO</w:t>
      </w: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cloreto de sódio + cloreto de potássio +cloreto de cálcio + lactato de sódio</w:t>
      </w:r>
    </w:p>
    <w:p w:rsidR="00943086" w:rsidRPr="00943086" w:rsidRDefault="00943086" w:rsidP="00A44880">
      <w:pPr>
        <w:spacing w:after="0" w:line="240" w:lineRule="auto"/>
        <w:rPr>
          <w:rFonts w:ascii="Arial" w:eastAsia="Times New Roman" w:hAnsi="Arial" w:cs="Arial"/>
          <w:b/>
          <w:sz w:val="20"/>
          <w:szCs w:val="20"/>
          <w:u w:val="single"/>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APRESENTAÇÃO</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Solução injetável, límpida e hipotônica, estéril e apirogênica.</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 xml:space="preserve">Apresentações: Frascos, ampolas e bolsas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mL.</w:t>
      </w:r>
    </w:p>
    <w:p w:rsidR="00943086" w:rsidRPr="00943086" w:rsidRDefault="00943086" w:rsidP="00A44880">
      <w:pPr>
        <w:spacing w:after="0" w:line="240" w:lineRule="auto"/>
        <w:rPr>
          <w:rFonts w:ascii="Arial" w:eastAsia="Times New Roman" w:hAnsi="Arial" w:cs="Arial"/>
          <w:i/>
          <w:color w:val="808080"/>
          <w:sz w:val="20"/>
          <w:szCs w:val="20"/>
        </w:rPr>
      </w:pPr>
      <w:r w:rsidRPr="00943086">
        <w:rPr>
          <w:rFonts w:ascii="Arial" w:eastAsia="Times New Roman" w:hAnsi="Arial" w:cs="Arial"/>
          <w:i/>
          <w:color w:val="0070C0"/>
          <w:sz w:val="20"/>
          <w:szCs w:val="20"/>
        </w:rPr>
        <w:t>(inserir apenas apresentações comercializadas)</w:t>
      </w:r>
    </w:p>
    <w:p w:rsidR="00943086" w:rsidRPr="00943086" w:rsidRDefault="00943086" w:rsidP="00A44880">
      <w:pPr>
        <w:spacing w:after="0" w:line="240" w:lineRule="auto"/>
        <w:rPr>
          <w:rFonts w:ascii="Arial" w:eastAsia="Times New Roman" w:hAnsi="Arial" w:cs="Arial"/>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INTRAVENOSO E INDIVIDUALIZADO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USO ADULTO E PEDIÁTRICO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COMPOSIÇÃO:</w:t>
      </w:r>
    </w:p>
    <w:p w:rsidR="00943086" w:rsidRPr="00943086" w:rsidRDefault="00943086" w:rsidP="00A44880">
      <w:pPr>
        <w:spacing w:after="0" w:line="240" w:lineRule="auto"/>
        <w:rPr>
          <w:rFonts w:ascii="Arial" w:eastAsia="Times New Roman" w:hAnsi="Arial" w:cs="Arial"/>
          <w:i/>
          <w:color w:val="808080"/>
          <w:sz w:val="20"/>
          <w:szCs w:val="20"/>
        </w:rPr>
      </w:pPr>
      <w:r w:rsidRPr="00943086">
        <w:rPr>
          <w:rFonts w:ascii="Arial" w:eastAsia="Times New Roman" w:hAnsi="Arial" w:cs="Arial"/>
          <w:i/>
          <w:color w:val="808080"/>
          <w:sz w:val="20"/>
          <w:szCs w:val="20"/>
        </w:rPr>
        <w:t>(Concentrações e conteúdo eletrolítico poderão ser alteradas de acordo com o compendio adotado pelo fabricante.)</w:t>
      </w:r>
    </w:p>
    <w:p w:rsidR="00943086" w:rsidRPr="00943086" w:rsidRDefault="00943086" w:rsidP="00A44880">
      <w:pPr>
        <w:spacing w:after="0" w:line="240" w:lineRule="auto"/>
        <w:rPr>
          <w:rFonts w:ascii="Arial" w:eastAsia="Times New Roman" w:hAnsi="Arial" w:cs="Arial"/>
          <w:sz w:val="20"/>
          <w:szCs w:val="20"/>
        </w:rPr>
      </w:pPr>
      <w:r w:rsidRPr="00943086">
        <w:rPr>
          <w:rFonts w:ascii="Arial" w:eastAsia="Times New Roman" w:hAnsi="Arial" w:cs="Arial"/>
          <w:sz w:val="20"/>
          <w:szCs w:val="20"/>
        </w:rPr>
        <w:t>Cada mL da solução contém:</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sódio - NaCl</w:t>
      </w:r>
      <w:r w:rsidRPr="00943086">
        <w:rPr>
          <w:rFonts w:ascii="Arial" w:eastAsia="Times New Roman" w:hAnsi="Arial" w:cs="Arial"/>
          <w:sz w:val="20"/>
          <w:szCs w:val="20"/>
        </w:rPr>
        <w:tab/>
        <w:t>6,0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potássio - KCl</w:t>
      </w:r>
      <w:r w:rsidRPr="00943086">
        <w:rPr>
          <w:rFonts w:ascii="Arial" w:eastAsia="Times New Roman" w:hAnsi="Arial" w:cs="Arial"/>
          <w:sz w:val="20"/>
          <w:szCs w:val="20"/>
        </w:rPr>
        <w:tab/>
        <w:t>0,27 – 0,4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 de cálcio di</w:t>
      </w:r>
      <w:r w:rsidR="00A44880">
        <w:rPr>
          <w:rFonts w:ascii="Arial" w:eastAsia="Times New Roman" w:hAnsi="Arial" w:cs="Arial"/>
          <w:sz w:val="20"/>
          <w:szCs w:val="20"/>
        </w:rPr>
        <w:t>-h</w:t>
      </w:r>
      <w:r w:rsidRPr="00943086">
        <w:rPr>
          <w:rFonts w:ascii="Arial" w:eastAsia="Times New Roman" w:hAnsi="Arial" w:cs="Arial"/>
          <w:sz w:val="20"/>
          <w:szCs w:val="20"/>
        </w:rPr>
        <w:t>idratado CaCl</w:t>
      </w:r>
      <w:r w:rsidRPr="00943086">
        <w:rPr>
          <w:rFonts w:ascii="Arial" w:eastAsia="Times New Roman" w:hAnsi="Arial" w:cs="Arial"/>
          <w:sz w:val="20"/>
          <w:szCs w:val="20"/>
          <w:vertAlign w:val="subscript"/>
        </w:rPr>
        <w:t>2</w:t>
      </w:r>
      <w:r w:rsidRPr="00943086">
        <w:rPr>
          <w:rFonts w:ascii="Arial" w:eastAsia="Times New Roman" w:hAnsi="Arial" w:cs="Arial"/>
          <w:sz w:val="20"/>
          <w:szCs w:val="20"/>
        </w:rPr>
        <w:t>.2H</w:t>
      </w:r>
      <w:r w:rsidRPr="00943086">
        <w:rPr>
          <w:rFonts w:ascii="Arial" w:eastAsia="Times New Roman" w:hAnsi="Arial" w:cs="Arial"/>
          <w:sz w:val="20"/>
          <w:szCs w:val="20"/>
          <w:vertAlign w:val="subscript"/>
        </w:rPr>
        <w:t>2</w:t>
      </w:r>
      <w:r w:rsidRPr="00943086">
        <w:rPr>
          <w:rFonts w:ascii="Arial" w:eastAsia="Times New Roman" w:hAnsi="Arial" w:cs="Arial"/>
          <w:sz w:val="20"/>
          <w:szCs w:val="20"/>
        </w:rPr>
        <w:t>O</w:t>
      </w:r>
      <w:r w:rsidRPr="00943086">
        <w:rPr>
          <w:rFonts w:ascii="Arial" w:eastAsia="Times New Roman" w:hAnsi="Arial" w:cs="Arial"/>
          <w:sz w:val="20"/>
          <w:szCs w:val="20"/>
        </w:rPr>
        <w:tab/>
        <w:t>0,18 - 0,29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lactato de sódio C</w:t>
      </w:r>
      <w:r w:rsidRPr="00943086">
        <w:rPr>
          <w:rFonts w:ascii="Arial" w:eastAsia="Times New Roman" w:hAnsi="Arial" w:cs="Arial"/>
          <w:sz w:val="20"/>
          <w:szCs w:val="20"/>
          <w:vertAlign w:val="subscript"/>
        </w:rPr>
        <w:t>3</w:t>
      </w:r>
      <w:r w:rsidRPr="00943086">
        <w:rPr>
          <w:rFonts w:ascii="Arial" w:eastAsia="Times New Roman" w:hAnsi="Arial" w:cs="Arial"/>
          <w:sz w:val="20"/>
          <w:szCs w:val="20"/>
        </w:rPr>
        <w:t>H</w:t>
      </w:r>
      <w:r w:rsidRPr="00943086">
        <w:rPr>
          <w:rFonts w:ascii="Arial" w:eastAsia="Times New Roman" w:hAnsi="Arial" w:cs="Arial"/>
          <w:sz w:val="20"/>
          <w:szCs w:val="20"/>
          <w:vertAlign w:val="subscript"/>
        </w:rPr>
        <w:t>5</w:t>
      </w:r>
      <w:r w:rsidRPr="00943086">
        <w:rPr>
          <w:rFonts w:ascii="Arial" w:eastAsia="Times New Roman" w:hAnsi="Arial" w:cs="Arial"/>
          <w:sz w:val="20"/>
          <w:szCs w:val="20"/>
        </w:rPr>
        <w:t>O</w:t>
      </w:r>
      <w:r w:rsidRPr="00943086">
        <w:rPr>
          <w:rFonts w:ascii="Arial" w:eastAsia="Times New Roman" w:hAnsi="Arial" w:cs="Arial"/>
          <w:sz w:val="20"/>
          <w:szCs w:val="20"/>
          <w:vertAlign w:val="subscript"/>
        </w:rPr>
        <w:t>3</w:t>
      </w:r>
      <w:r w:rsidRPr="00943086">
        <w:rPr>
          <w:rFonts w:ascii="Arial" w:eastAsia="Times New Roman" w:hAnsi="Arial" w:cs="Arial"/>
          <w:sz w:val="20"/>
          <w:szCs w:val="20"/>
        </w:rPr>
        <w:t>Na</w:t>
      </w:r>
      <w:r w:rsidRPr="00943086">
        <w:rPr>
          <w:rFonts w:ascii="Arial" w:eastAsia="Times New Roman" w:hAnsi="Arial" w:cs="Arial"/>
          <w:sz w:val="20"/>
          <w:szCs w:val="20"/>
        </w:rPr>
        <w:tab/>
        <w:t>2,3 – 3,3 mg</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água para injeção q.s.p.</w:t>
      </w:r>
      <w:r w:rsidRPr="00943086">
        <w:rPr>
          <w:rFonts w:ascii="Arial" w:eastAsia="Times New Roman" w:hAnsi="Arial" w:cs="Arial"/>
          <w:sz w:val="20"/>
          <w:szCs w:val="20"/>
        </w:rPr>
        <w:tab/>
        <w:t>1 mL</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Conteúdo Eletrolítico:</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Sódio</w:t>
      </w:r>
      <w:r w:rsidRPr="00943086">
        <w:rPr>
          <w:rFonts w:ascii="Arial" w:eastAsia="Times New Roman" w:hAnsi="Arial" w:cs="Arial"/>
          <w:sz w:val="20"/>
          <w:szCs w:val="20"/>
        </w:rPr>
        <w:tab/>
        <w:t>117,39 – 139,13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Potássio</w:t>
      </w:r>
      <w:r w:rsidRPr="00943086">
        <w:rPr>
          <w:rFonts w:ascii="Arial" w:eastAsia="Times New Roman" w:hAnsi="Arial" w:cs="Arial"/>
          <w:sz w:val="20"/>
          <w:szCs w:val="20"/>
        </w:rPr>
        <w:tab/>
        <w:t>3,63 – 5,62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Cálcio</w:t>
      </w:r>
      <w:r w:rsidRPr="00943086">
        <w:rPr>
          <w:rFonts w:ascii="Arial" w:eastAsia="Times New Roman" w:hAnsi="Arial" w:cs="Arial"/>
          <w:sz w:val="20"/>
          <w:szCs w:val="20"/>
        </w:rPr>
        <w:tab/>
        <w:t>2,45 – 3,94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Cloreto</w:t>
      </w:r>
      <w:r w:rsidRPr="00943086">
        <w:rPr>
          <w:rFonts w:ascii="Arial" w:eastAsia="Times New Roman" w:hAnsi="Arial" w:cs="Arial"/>
          <w:sz w:val="20"/>
          <w:szCs w:val="20"/>
        </w:rPr>
        <w:tab/>
        <w:t>103,8 - 118,47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Lactato</w:t>
      </w:r>
      <w:r w:rsidRPr="00943086">
        <w:rPr>
          <w:rFonts w:ascii="Arial" w:eastAsia="Times New Roman" w:hAnsi="Arial" w:cs="Arial"/>
          <w:sz w:val="20"/>
          <w:szCs w:val="20"/>
        </w:rPr>
        <w:tab/>
        <w:t>25,55 – 31,11 mEq/L</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OSMOLARIDADE:</w:t>
      </w:r>
      <w:r w:rsidRPr="00943086">
        <w:rPr>
          <w:rFonts w:ascii="Arial" w:eastAsia="Times New Roman" w:hAnsi="Arial" w:cs="Arial"/>
          <w:sz w:val="20"/>
          <w:szCs w:val="20"/>
        </w:rPr>
        <w:tab/>
        <w:t>273 mOsmol/L</w:t>
      </w:r>
    </w:p>
    <w:p w:rsidR="00943086" w:rsidRPr="00943086" w:rsidRDefault="00943086" w:rsidP="00A44880">
      <w:pPr>
        <w:tabs>
          <w:tab w:val="left" w:leader="dot" w:pos="6237"/>
        </w:tabs>
        <w:spacing w:after="0" w:line="240" w:lineRule="auto"/>
        <w:rPr>
          <w:rFonts w:ascii="Arial" w:eastAsia="Times New Roman" w:hAnsi="Arial" w:cs="Arial"/>
          <w:sz w:val="20"/>
          <w:szCs w:val="20"/>
        </w:rPr>
      </w:pPr>
      <w:r w:rsidRPr="00943086">
        <w:rPr>
          <w:rFonts w:ascii="Arial" w:eastAsia="Times New Roman" w:hAnsi="Arial" w:cs="Arial"/>
          <w:sz w:val="20"/>
          <w:szCs w:val="20"/>
        </w:rPr>
        <w:t>pH</w:t>
      </w:r>
      <w:r w:rsidRPr="00943086">
        <w:rPr>
          <w:rFonts w:ascii="Arial" w:eastAsia="Times New Roman" w:hAnsi="Arial" w:cs="Arial"/>
          <w:sz w:val="20"/>
          <w:szCs w:val="20"/>
        </w:rPr>
        <w:tab/>
        <w:t>6,0 - 7,5</w:t>
      </w:r>
    </w:p>
    <w:p w:rsidR="00943086" w:rsidRPr="00943086" w:rsidRDefault="00943086" w:rsidP="00A44880">
      <w:pPr>
        <w:tabs>
          <w:tab w:val="left" w:leader="dot" w:pos="6237"/>
        </w:tabs>
        <w:spacing w:after="0" w:line="240" w:lineRule="auto"/>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i/>
          <w:color w:val="0070C0"/>
          <w:sz w:val="20"/>
          <w:szCs w:val="20"/>
        </w:rPr>
      </w:pPr>
      <w:r w:rsidRPr="00943086">
        <w:rPr>
          <w:rFonts w:ascii="Arial" w:eastAsia="Times New Roman" w:hAnsi="Arial" w:cs="Arial"/>
          <w:b/>
          <w:color w:val="0070C0"/>
          <w:sz w:val="20"/>
          <w:szCs w:val="20"/>
        </w:rPr>
        <w:t>INFORMAÇÕES AO PACIENTE</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PARA QUE ESTE MEDICAMENTO É INDICADO?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Indicado para reidratação e restabelecimento do equilíbrio hidroeletrolítico, quando há perda de líquidos e dos íons cloreto, sódio, potássio e cálcio, e para prevenção e tratamento da acidose metabólica.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COMO ESTE MEDICAMENTO FUNCIONA?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é composta de cloreto de sódio, cloreto de cálcio, cloreto de potássio e lactato de sódio, diluídos em água para injeção. Exceto pela presença de lactato e pela ausência de bicarbonato, a composição dessa solução aproxima-se muito da composição dos líquidos extracelulares.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Deste modo, a solução Ringer com Lactato pode ser utilizada para reposição de líquido e íons em situações em que essas perdas acontecem, como também a proporcionar o aumento ligeiro do teor alcalino em líquidos extracelulares, agindo nos casos em que há um desvio do equilíbrio ácido-básico no sentido da acidose.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Nas situações em que são necessários grandes volumes de solução fisiológica, é vantajosa administração da solução de Ringer com Lactato com relação a outras soluções de reposição, a fim de evitar uma possível acidose.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lastRenderedPageBreak/>
        <w:t>3. QUANDO NÃO DEVO USAR ESTE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solução de Ringer com lactato é contra indicada para pacientes com acidose láctica (redução do pH com produção de ácido lático), alcalose metabólica (aumento do pH), hipernatremia (excesso de sódio no sangue), hipercalcemia (excesso de cálcio no sangue), hiperpotassemia (excesso de potássio no sangue), hipercloremia (excesso de </w:t>
      </w:r>
      <w:r w:rsidR="00A44880" w:rsidRPr="00943086">
        <w:rPr>
          <w:rFonts w:ascii="Arial" w:eastAsia="Times New Roman" w:hAnsi="Arial" w:cs="Arial"/>
          <w:sz w:val="20"/>
          <w:szCs w:val="20"/>
        </w:rPr>
        <w:t>cloro</w:t>
      </w:r>
      <w:r w:rsidRPr="00943086">
        <w:rPr>
          <w:rFonts w:ascii="Arial" w:eastAsia="Times New Roman" w:hAnsi="Arial" w:cs="Arial"/>
          <w:sz w:val="20"/>
          <w:szCs w:val="20"/>
        </w:rPr>
        <w:t xml:space="preserve"> no sangue) e lesão dos hepatócitos (células do </w:t>
      </w:r>
      <w:r w:rsidR="00A44880" w:rsidRPr="00943086">
        <w:rPr>
          <w:rFonts w:ascii="Arial" w:eastAsia="Times New Roman" w:hAnsi="Arial" w:cs="Arial"/>
          <w:sz w:val="20"/>
          <w:szCs w:val="20"/>
        </w:rPr>
        <w:t>fígado</w:t>
      </w:r>
      <w:r w:rsidRPr="00943086">
        <w:rPr>
          <w:rFonts w:ascii="Arial" w:eastAsia="Times New Roman" w:hAnsi="Arial" w:cs="Arial"/>
          <w:sz w:val="20"/>
          <w:szCs w:val="20"/>
        </w:rPr>
        <w:t>) com anormalidade do metabolismo de lactato e pacientes com insuficiência renal (falência dos rins) e ou cardíaca (falência do coração).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O QUE DEVO SABER ANTES DE USAR ESTE MEDICAMENTO?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devido ao risco de coagulação. Nem mesmo com medicamentos os quais haja a possibilidade de formação de sais de cálcio precipitados.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não deve ser adicionada a soluções contendo carbonato, oxalato ou fosfato, pois possibilita a formação e precipitação de sais de cálcio.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potássio devem ser utilizadas com grande cuidado em pacientes com insuficiência renal severa (falência dos rins), insuficiência cardíaca congestiva (falência cardíaca) e em condições nas quais retenção de potássio esteja presente.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intravenosa dessa solução Ringer com Lactato pode causar sobrecarga de fluidos e/ou solutos, resultando na hiper-hidratação, estados congestivos ou edema pulmonar.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terapia com potássio, cálcio e sódio deve ser monitorada por eletrocardiogramas, especialmente em pacientes que fazem uso de digitálicos, corticosteroides ou corticotropina.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Para minimizar o risco de possíveis incompatibilidades da mistura da Solução de Ringer com Lactato não deve ser administrado na presença de turbidez ou precipitação imediatamente após a mistura, antes e durante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As soluções de Ringer com Lactato devem ser dadas a mulheres grávidas somente se claramente necessário.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 idosos e em outros grupos de risco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em crianças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segurança e a efetividade em crianças estão baseadas na similaridade da resposta clínica entre adultos e crianças. Em recém-nascidos e em crianças pequenas o volume de fluido pode afetar o balanço hidroeletrolítico, especialmente nos recém-nascidos prematuros, cuja função dos rins pode estar imatura e cuja habilidade de excretar cargas do líquido e do soluto pode estar limitada.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geriátrico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Nos estudos clínicos com injeção de Ringer não foi incluído número suficiente de pessoas com mais de 65 anos que permita determinar diferenças entre as respostas de jovens e idosos. No geral, a seleção da dose para um paciente idoso deverá ser mais criteriosa, sendo iniciada pela menor dose terapêutica, devido à maior suscetibilidade dos idosos ao comprometimento das funções renal, cardíaca (do coração) ou hepática (do fígado), além da possível existência de outros distúrbios e/ou medicamentos concomitantes.</w:t>
      </w:r>
    </w:p>
    <w:p w:rsidR="00943086" w:rsidRPr="00943086" w:rsidRDefault="00943086" w:rsidP="00A44880">
      <w:pPr>
        <w:autoSpaceDE w:val="0"/>
        <w:autoSpaceDN w:val="0"/>
        <w:adjustRightInd w:val="0"/>
        <w:spacing w:after="0" w:line="240" w:lineRule="auto"/>
        <w:jc w:val="both"/>
        <w:rPr>
          <w:rFonts w:ascii="Arial" w:eastAsia="Times New Roman" w:hAnsi="Arial" w:cs="Arial"/>
          <w:sz w:val="20"/>
          <w:szCs w:val="20"/>
        </w:rPr>
      </w:pPr>
    </w:p>
    <w:p w:rsidR="00943086" w:rsidRPr="00943086" w:rsidRDefault="00943086" w:rsidP="00A44880">
      <w:pPr>
        <w:autoSpaceDE w:val="0"/>
        <w:autoSpaceDN w:val="0"/>
        <w:adjustRightInd w:val="0"/>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 xml:space="preserve">Interações medicamentosas </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Em pacientes portadores de doenças cardíacas (problemas de coração), particularmente em uso de digitálicos ou na presença de doenças renais, deve-se ter cuidado na administração de Ringer devido à presença de potássio.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sódio é necessária cautela na administração em pacientes em uso de corticosteroides e corticotropínicos.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íons de cálcio não devem ser administradas simultaneamente no mesmo local da infusão sanguínea da solução de Ringer, devido ao risco de coagulação. A solução de Ringer não deve ser adicionada de medicamentos os quais possibilitem a formação de sais de cálcio precipitados, tais como: soluções contento carbonato, oxalato e fosfato.</w:t>
      </w:r>
    </w:p>
    <w:p w:rsidR="00943086" w:rsidRPr="00943086" w:rsidRDefault="00943086" w:rsidP="00A44880">
      <w:pPr>
        <w:autoSpaceDE w:val="0"/>
        <w:autoSpaceDN w:val="0"/>
        <w:adjustRightInd w:val="0"/>
        <w:spacing w:after="0" w:line="240" w:lineRule="auto"/>
        <w:jc w:val="both"/>
        <w:rPr>
          <w:rFonts w:ascii="Arial" w:eastAsia="Times New Roman" w:hAnsi="Arial" w:cs="Arial"/>
          <w:b/>
          <w:sz w:val="20"/>
          <w:szCs w:val="20"/>
        </w:rPr>
      </w:pPr>
    </w:p>
    <w:p w:rsidR="00943086" w:rsidRPr="00943086" w:rsidRDefault="00943086" w:rsidP="00A44880">
      <w:pPr>
        <w:autoSpaceDE w:val="0"/>
        <w:autoSpaceDN w:val="0"/>
        <w:adjustRightInd w:val="0"/>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Informe ao seu médico ou cirurgião-dentista se você está fazendo uso de algum outro medicamento. </w:t>
      </w:r>
    </w:p>
    <w:p w:rsidR="00943086" w:rsidRPr="00943086" w:rsidRDefault="00943086" w:rsidP="00A44880">
      <w:pPr>
        <w:autoSpaceDE w:val="0"/>
        <w:autoSpaceDN w:val="0"/>
        <w:adjustRightInd w:val="0"/>
        <w:spacing w:after="0" w:line="240" w:lineRule="auto"/>
        <w:jc w:val="both"/>
        <w:rPr>
          <w:rFonts w:ascii="Arial" w:eastAsia="Times New Roman" w:hAnsi="Arial" w:cs="Arial"/>
          <w:b/>
          <w:color w:val="0070C0"/>
          <w:sz w:val="20"/>
          <w:szCs w:val="20"/>
        </w:rPr>
      </w:pPr>
    </w:p>
    <w:p w:rsidR="00943086" w:rsidRPr="00943086" w:rsidRDefault="00943086" w:rsidP="00A44880">
      <w:pPr>
        <w:autoSpaceDE w:val="0"/>
        <w:autoSpaceDN w:val="0"/>
        <w:adjustRightInd w:val="0"/>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sem o conhecimento do seu médico. Pode ser perigoso para a sua saúde.</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ONDE, COMO E POR QUANTO TEMPO POSSO GUARDAR ESTE MEDICAMENTO?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Aspecto: solução injetável, límpida, estéril e apirogênica.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Antes de usar, observe o aspecto do medicamento. Caso ele esteja no prazo de validade e você observe alguma mudança no aspecto, consulte o farmacêutico para saber se poderá utilizá-lo. </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COMO DEVO USAR ESTE MEDICAMENTO?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943086" w:rsidRPr="00943086" w:rsidRDefault="00943086" w:rsidP="00A44880">
      <w:pPr>
        <w:spacing w:after="0" w:line="240" w:lineRule="auto"/>
        <w:jc w:val="both"/>
        <w:rPr>
          <w:rFonts w:ascii="Arial" w:eastAsia="Times New Roman" w:hAnsi="Arial" w:cs="Arial"/>
          <w:i/>
          <w:color w:val="808080"/>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lastRenderedPageBreak/>
        <w:t>NÃO PERFURAR A EMBALAGEM, POIS HÁ COMPROMETIMENTO DA ESTERILIDADE DO PRODUTO E RISCO DE CONTAMINAÇÃO.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943086" w:rsidRPr="00943086" w:rsidRDefault="00943086" w:rsidP="00A44880">
      <w:pPr>
        <w:spacing w:after="0" w:line="240" w:lineRule="auto"/>
        <w:jc w:val="both"/>
        <w:rPr>
          <w:rFonts w:ascii="Arial" w:eastAsia="Times New Roman" w:hAnsi="Arial" w:cs="Arial"/>
          <w:b/>
          <w:i/>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943086" w:rsidRPr="00943086" w:rsidRDefault="00943086" w:rsidP="00A44880">
      <w:pPr>
        <w:spacing w:after="0" w:line="240" w:lineRule="auto"/>
        <w:jc w:val="both"/>
        <w:rPr>
          <w:rFonts w:ascii="Arial" w:eastAsia="Times New Roman" w:hAnsi="Arial" w:cs="Arial"/>
          <w:i/>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943086" w:rsidRPr="00943086" w:rsidRDefault="00943086" w:rsidP="00A44880">
      <w:pPr>
        <w:numPr>
          <w:ilvl w:val="0"/>
          <w:numId w:val="3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943086" w:rsidRPr="00943086" w:rsidRDefault="00943086" w:rsidP="00A44880">
      <w:pPr>
        <w:numPr>
          <w:ilvl w:val="0"/>
          <w:numId w:val="3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943086" w:rsidRPr="00943086" w:rsidRDefault="00943086" w:rsidP="00A44880">
      <w:pPr>
        <w:numPr>
          <w:ilvl w:val="0"/>
          <w:numId w:val="3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943086" w:rsidRPr="00943086" w:rsidRDefault="00943086" w:rsidP="00A44880">
      <w:pPr>
        <w:numPr>
          <w:ilvl w:val="0"/>
          <w:numId w:val="32"/>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943086" w:rsidRPr="00943086" w:rsidRDefault="00943086" w:rsidP="00A44880">
      <w:pPr>
        <w:spacing w:after="0" w:line="240" w:lineRule="auto"/>
        <w:ind w:firstLine="708"/>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Atenção: verificar se há incompatibilidade entre o medicamento e a solução e, quando for o caso, se há incompatibilidade entre os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943086" w:rsidRPr="00943086" w:rsidRDefault="00943086" w:rsidP="00A44880">
      <w:pPr>
        <w:spacing w:after="0" w:line="240" w:lineRule="auto"/>
        <w:ind w:firstLine="708"/>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943086" w:rsidRPr="00943086" w:rsidRDefault="00943086" w:rsidP="00A44880">
      <w:pPr>
        <w:numPr>
          <w:ilvl w:val="0"/>
          <w:numId w:val="33"/>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943086" w:rsidRPr="00943086" w:rsidRDefault="00943086" w:rsidP="00A44880">
      <w:pPr>
        <w:numPr>
          <w:ilvl w:val="0"/>
          <w:numId w:val="33"/>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33"/>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943086" w:rsidRPr="00943086" w:rsidRDefault="00943086" w:rsidP="00A44880">
      <w:pPr>
        <w:numPr>
          <w:ilvl w:val="0"/>
          <w:numId w:val="3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943086" w:rsidRPr="00943086" w:rsidRDefault="00943086" w:rsidP="00A44880">
      <w:pPr>
        <w:numPr>
          <w:ilvl w:val="0"/>
          <w:numId w:val="3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943086" w:rsidRPr="00943086" w:rsidRDefault="00943086" w:rsidP="00A44880">
      <w:pPr>
        <w:numPr>
          <w:ilvl w:val="0"/>
          <w:numId w:val="3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34"/>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lastRenderedPageBreak/>
        <w:t>Posologia</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preparo e administração da Solução Parenteral devem obedecer à prescrição, precedida de criteriosa avaliação, pelo farmacêutico, da compatibilidade físico-química e da interação medicamentosa que possam ocorrer entre os seus componentes.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da Solução de Ringer com Lactato deve ser baseada na manutenção ou reposição, calculadas de acordo com a necessidade de cada paciente.</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Siga a orientação de seu médico, respeitando sempre os horários, as doses e a duração do tratamento. Não interrompa o tratamento sem o conhecimento do seu médico.</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O QUE DEVO FAZER QUANDO EU ME ESQUECER DE USAR ESTE MEDICAMENTO?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A utilização deste medicamento ocorrerá em ambiente hospitalar, orientado e executado por profissionais especializados e não dependerá da conduta do paciente. </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Em caso de dúvidas, procure orientação do farmacêutico ou de seu médico, ou cirurgião-dentista.</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QUAIS OS MALES QUE ESTE MEDICAMENTO PODE CAUSAR?</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reações adversas podem ocorrer devido à solução ou à técnica de administração e incluem febre, infecção no ponto de injeção, trombose venosa ou inflamação irradiando-se a partir do ponto de injeção, extravasamento e hipervolemia. Se ocorrer reação adversa, suspender a infusão, avaliar o paciente, tratar conforme necessário e guardar o restante da solução para posterior investigação, se necessário.</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íons lactato deve ser administrado com cautela, pois infusão excessiva pode provocar alcalose metabólica.</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Hipernatremia (excesso de sódio no sangue), por ser associada a edema (inchaço) e exacerbação da insuficiência cardíaca congestiva (problemas do coração), devido à retenção de água, resultando em aumento do volume do fluido extracelular.</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Informe ao seu médico, cirurgião-dentista ou farmacêutico o aparecimento de reações indesejáveis pelo uso do medicamento. Informe também à empresa através de seu serviço de atendimento.</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b/>
          <w:color w:val="000000"/>
          <w:sz w:val="20"/>
          <w:szCs w:val="20"/>
        </w:rPr>
      </w:pPr>
      <w:r w:rsidRPr="00943086">
        <w:rPr>
          <w:rFonts w:ascii="Arial" w:eastAsia="Times New Roman" w:hAnsi="Arial" w:cs="Arial"/>
          <w:b/>
          <w:color w:val="000000"/>
          <w:sz w:val="20"/>
          <w:szCs w:val="20"/>
        </w:rPr>
        <w:t>9. O QUE FAZER SE ALGUÉM USAR UMA QUANTIDADE MAIOR DO QUE É INDICADA DESTE MEDICAMENTO?</w:t>
      </w: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em doses elevadas pode causar sintomas de desconforto tais como: náusea, vômito, dor abdominal e diarreia, cefaleia, sonolência e arritmias.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infusão de grandes volumes da solução de Ringer com Lactato pode causar hipervolemia, resultando em diluições eletrolíticas do plasma, hiper-hidratação, indução da acidose metabólica e edemas pulmonares. Nestes casos, a infusão deve ser interrompida e a terapia de apoio deve ser instalada.</w:t>
      </w:r>
    </w:p>
    <w:p w:rsidR="002E304F" w:rsidRDefault="002E304F"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uso de grande quantidade deste medicamento, procure rapidamente socorro médico e leve a embalagem ou bula do medicamento, se possível. Ligue para 0800 722 6001, se você precisar de mais orientações.</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INFORMAÇÕES TÉCNICAS AOS PROFISSIONAIS DE SAÚDE</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1. INDICAÇÕES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Reidratação e restabelecimento do equilíbrio hidroeletrolítico, quando há perda de líquidos e de íons cloreto, sódio, potássio e cálcio. Profilaxia e tratamento da acidose metabólica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2. CARACTERÍSTICAS FARMACOLÓGICAS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é composta de cloreto de sódio, cloreto de cálcio, cloreto de potássio e lactato de sódio, diluídos em água para injeção. Exceto pela presença de lactato e pela ausência de bicarbonato, a composição dessa solução aproxima-se estreitamente daquela dos líquidos extracelulares.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função do lactato é proporcionar ligeiro aumento do teor alcalino, o que ocorre após a sua metabolização a bicarbonato. Em pessoas com atividade oxidativa celular normal é necessário um período de 1 - 2 horas após o início da infusão para que este efeito seja satisfatório.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Desse modo, a solução Ringer com Lactato está destinada à reposição de líquido e eletrólitos em situações em que essas perdas se fazem presentes, como também a proporcionar o aumento ligeiro do teor alcalino em líquidos extracelulares, agindo nos casos em que há um desvio do equilíbrio ácido-básico no sentido da acidose.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Nas situações em que são necessários grandes volumes de solução fisiológica, é vantajosa administração da solução de Ringer com Lactato com relação a outras soluções de reposição, a fim de evitar uma possível acidose.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sódio atua no controle da distribuição de água, no balanço hídrico e na pressão osmótica dos fluidos corporais, e associado ao cloreto e bicarbonato atua na regulação do equilíbrio ácido-base.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potássio é crítico na regulação da condução nervosa e contração muscular, particularmente no coração.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cloreto segue o metabolismo do sódio e alterações na sua concentração provocam mudanças no balanço ácido-base do corpo.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cálcio é essencial no mecanismo de coagulação sanguínea, na função cardíaca normal e na regulação da irritabilidade neuromuscular.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O excesso de sódio, potássio e cálcio é excretado principalmente pelos rins.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3. CONTRAINDICAÇÕES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é contra indicada para pacientes com acidose láctica, alcalose metabólica, hipernatremia, hipercalcemia, hiperpotassemia (hipercalemia), hipercloremia e lesão dos hepatócitos com anormalidade do metabolismo de lactato e pacientes com insuficiência renal e ou cardíaca.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rPr>
          <w:rFonts w:ascii="Arial" w:eastAsia="Times New Roman" w:hAnsi="Arial" w:cs="Arial"/>
          <w:b/>
          <w:sz w:val="20"/>
          <w:szCs w:val="20"/>
        </w:rPr>
      </w:pPr>
      <w:r w:rsidRPr="00943086">
        <w:rPr>
          <w:rFonts w:ascii="Arial" w:eastAsia="Times New Roman" w:hAnsi="Arial" w:cs="Arial"/>
          <w:b/>
          <w:sz w:val="20"/>
          <w:szCs w:val="20"/>
        </w:rPr>
        <w:t>4. ADVERTÊNCIAS E PRECAUÇÕES</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Soluções contendo íons de cálcio não devem ser administradas simultaneamente no mesmo local da infusão </w:t>
      </w:r>
      <w:r w:rsidR="00A44880" w:rsidRPr="00943086">
        <w:rPr>
          <w:rFonts w:ascii="Arial" w:eastAsia="Times New Roman" w:hAnsi="Arial" w:cs="Arial"/>
          <w:sz w:val="20"/>
          <w:szCs w:val="20"/>
        </w:rPr>
        <w:t>sanguínea</w:t>
      </w:r>
      <w:r w:rsidRPr="00943086">
        <w:rPr>
          <w:rFonts w:ascii="Arial" w:eastAsia="Times New Roman" w:hAnsi="Arial" w:cs="Arial"/>
          <w:sz w:val="20"/>
          <w:szCs w:val="20"/>
        </w:rPr>
        <w:t xml:space="preserve"> devido ao risco de coagulação. Nem mesmo com medicamentos os quais haja a possibilidade de formação de sais de cálcio precipitados.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não deve ser adicionada a soluções contendo carbonato, oxalato ou fosfato, pois possibilita a formação e precipitação de sais de cálcio.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Soluções contendo potássio devem ser utilizadas com grande cuidado em pacientes com insuficiência renal severa, insuficiência cardíaca congestiva e em condições nas quais retenção de potássio esteja presente.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intravenosa dessa solução Ringer com Lactato pode causar sobrecarga de fluidos e/ou solutos, resultando na hiper-hidratação, estados congestivos ou edema pulmonar.</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lastRenderedPageBreak/>
        <w:t>A terapia com potássio, cálcio e sódio deve ser monitorada por eletrocardiogramas. Especialmente em pacientes que fazem uso de digitálicos, corticosteroides ou corticotropina.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Para minimizar o risco de possíveis incompatibilidades da mistura da Solução de Ringer com Lactato não deve ser administrado na presença de turbidez ou precipitação imediatamente após a mistura, antes e durante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Gravidez: categoria C. Não foram efetuados estudos de reprodução animal com solução de Ringer com Lactato. Também não se sabe se a solução de Ringer com Lactato pode causar dano ao feto quando administrada a uma mulher grávida. Administrar somente se claramente necessário.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ESTE MEDICAMENTO NÃO DEVE SER UTILIZADO POR MULHERES GRÁVIDAS SEM ORIENTAÇÃO MÉDICA OU DO CIRURGIÃO DENTISTA.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 geriátrico e em outros grupos de risco</w:t>
      </w: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pediátrico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segurança e a efetividade na população pediátrica estão baseadas na similaridade da resposta clínica entre adultos e crianças. Em neonatos e em crianças pequenas, o volume de fluido pode afetar o balanço hidroeletrolítico, especialmente nos neonatos prematuros, cuja função renal pode estar imatura e cuja habilidade de excretar cargas do líquido e do soluto pode estar limitada.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Uso geriátrico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Nos estudos clínicos com injeção de Ringer com Lactato não foi incluído número suficiente de pessoas com mais de 65 anos que permita determinar diferenças entre as respostas de jovens e idosos. No geral, a seleção da dose para um paciente idoso deverá ser mais criteriosa, sendo iniciada pela menor dose terapêutica, devido à maior suscetibilidade dos idosos ao comprometimento das funções renal, cardíaca ou hepática, além da possível existência de outros distúrbios e/ou medicamentos concomitantes.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5. INTERAÇÕES MEDICAMENTOSAS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Em pacientes portadores de doenças cardíacas, particularmente em uso de digitálicos ou na presença de doenças renais, deve-se ter cuidado na administração de Ringer com Lactato devido à presença de potássio.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sódio, é necessária cautela na administração em pacientes em uso de corticosteroides e corticotropínicos.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sz w:val="20"/>
          <w:szCs w:val="20"/>
        </w:rPr>
        <w:t>Soluções contendo íons de cálcio não devem ser administradas simultaneamente no mesmo local da infusão sanguínea da solução de Ringer com Lactato, devido ao risco de coagulação. A solução de Ringer com Lactato não deve ser adicionada de medicamentos os quais possibilitem a formação de sais de cálcio precipitados, tais como: soluções contendo carbonato, oxalato e fosfato.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6. CUIDADOS DE ARMAZENAMENTO DO MEDICAMENTO</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produto deve ser armazenado em temperatura ambiente (15ºC a 30ºC).</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Prazo de validade: </w:t>
      </w:r>
      <w:r w:rsidRPr="00943086">
        <w:rPr>
          <w:rFonts w:ascii="Arial" w:eastAsia="Times New Roman" w:hAnsi="Arial" w:cs="Arial"/>
          <w:color w:val="FF0000"/>
          <w:sz w:val="20"/>
          <w:szCs w:val="20"/>
        </w:rPr>
        <w:t>XX</w:t>
      </w:r>
      <w:r w:rsidRPr="00943086">
        <w:rPr>
          <w:rFonts w:ascii="Arial" w:eastAsia="Times New Roman" w:hAnsi="Arial" w:cs="Arial"/>
          <w:sz w:val="20"/>
          <w:szCs w:val="20"/>
        </w:rPr>
        <w:t xml:space="preserve"> meses após a data de fabricação.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Número de lote e datas de fabricação e validade: vide embalagem</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Não use medicamento com o prazo de validade vencido. Guarde-o em sua embalagem original.</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Não armazenar as soluções parenterais adicionadas de medicamentos.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Solução incolor, límpida, estéril e apirogênica.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Antes de usar, observe o aspecto do medicamento.</w:t>
      </w:r>
    </w:p>
    <w:p w:rsidR="00943086" w:rsidRPr="00943086" w:rsidRDefault="00943086" w:rsidP="00A44880">
      <w:pPr>
        <w:spacing w:after="0" w:line="240" w:lineRule="auto"/>
        <w:jc w:val="both"/>
        <w:rPr>
          <w:rFonts w:ascii="Arial" w:eastAsia="Times New Roman" w:hAnsi="Arial" w:cs="Arial"/>
          <w:b/>
          <w:color w:val="0070C0"/>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Todo medicamento deve ser mantido fora do alcance das crianças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7. POSOLOGIA E MODO DE USAR</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somente deve ter uso intravenoso e individualizado.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dosagem deve ser determinada por um médico e é dependente da idade, do peso, das condições clínicas do paciente, do medicamento diluído em solução e das determinações em laboratório.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Antes de serem administradas, as soluções parenterais devem ser inspecionadas visualmente para se observar a presença de partículas, turvação na solução, fissuras e quaisquer violações na embalagem primária.</w:t>
      </w:r>
    </w:p>
    <w:p w:rsidR="00943086" w:rsidRPr="00943086" w:rsidRDefault="00943086" w:rsidP="00A44880">
      <w:pPr>
        <w:spacing w:after="0" w:line="240" w:lineRule="auto"/>
        <w:jc w:val="both"/>
        <w:rPr>
          <w:rFonts w:ascii="Arial" w:eastAsia="Times New Roman" w:hAnsi="Arial" w:cs="Arial"/>
          <w:i/>
          <w:color w:val="808080"/>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Apenas para Soluções Parenterais de Grande Volume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é acondicionada em bolsas, frascos e/ou ampolas em</w:t>
      </w:r>
      <w:r w:rsidRPr="00943086">
        <w:rPr>
          <w:rFonts w:ascii="Arial" w:eastAsia="Times New Roman" w:hAnsi="Arial" w:cs="Arial"/>
          <w:b/>
          <w:sz w:val="20"/>
          <w:szCs w:val="20"/>
        </w:rPr>
        <w:t xml:space="preserve"> SISTEMA FECHADO </w:t>
      </w:r>
      <w:r w:rsidRPr="00943086">
        <w:rPr>
          <w:rFonts w:ascii="Arial" w:eastAsia="Times New Roman" w:hAnsi="Arial" w:cs="Arial"/>
          <w:sz w:val="20"/>
          <w:szCs w:val="20"/>
        </w:rPr>
        <w:t>para administração intravenosa usando equipo estéril.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b/>
          <w:sz w:val="20"/>
          <w:szCs w:val="20"/>
        </w:rPr>
        <w:t>Atenção: não usar embalagens primárias em conexões em série</w:t>
      </w:r>
      <w:r w:rsidRPr="00943086">
        <w:rPr>
          <w:rFonts w:ascii="Arial" w:eastAsia="Times New Roman" w:hAnsi="Arial" w:cs="Arial"/>
          <w:sz w:val="20"/>
          <w:szCs w:val="20"/>
        </w:rPr>
        <w:t xml:space="preserve">. </w:t>
      </w:r>
      <w:r w:rsidRPr="00943086">
        <w:rPr>
          <w:rFonts w:ascii="Arial" w:eastAsia="Times New Roman" w:hAnsi="Arial" w:cs="Arial"/>
          <w:b/>
          <w:sz w:val="20"/>
          <w:szCs w:val="20"/>
        </w:rPr>
        <w:t>Tal procedimento pode causar embolia gasosa devido ao ar residual aspirado da primeira embalagem antes que a administração de fluido da segunda embalagem seja completada.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NÃO PERFURAR A EMBALAGEM, POIS HÁ COMPROMETIMENTO DA ESTERILIDADE DO PRODUTO E RISCO DE CONTAMINAÇÃO.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abrir:</w:t>
      </w:r>
    </w:p>
    <w:p w:rsidR="00943086" w:rsidRPr="00943086" w:rsidRDefault="00943086" w:rsidP="00A44880">
      <w:pPr>
        <w:spacing w:after="0" w:line="240" w:lineRule="auto"/>
        <w:jc w:val="both"/>
        <w:rPr>
          <w:rFonts w:ascii="Arial" w:eastAsia="Times New Roman" w:hAnsi="Arial" w:cs="Arial"/>
          <w:b/>
          <w:i/>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b/>
          <w:i/>
          <w:color w:val="808080"/>
          <w:sz w:val="20"/>
          <w:szCs w:val="20"/>
        </w:rPr>
        <w:t xml:space="preserve">No caso das embalagens que possuem invólucro protetor: </w:t>
      </w:r>
      <w:r w:rsidRPr="00943086">
        <w:rPr>
          <w:rFonts w:ascii="Arial" w:eastAsia="Times New Roman" w:hAnsi="Arial" w:cs="Arial"/>
          <w:i/>
          <w:color w:val="808080"/>
          <w:sz w:val="20"/>
          <w:szCs w:val="20"/>
        </w:rPr>
        <w:t>As empresas deverão descrever as informações necessárias para a correta abertura ou retirada do invólucro protetor sem risco de contaminação do produto.</w:t>
      </w:r>
    </w:p>
    <w:p w:rsidR="00943086" w:rsidRPr="00943086" w:rsidRDefault="00943086" w:rsidP="00A44880">
      <w:pPr>
        <w:spacing w:after="0" w:line="240" w:lineRule="auto"/>
        <w:jc w:val="both"/>
        <w:rPr>
          <w:rFonts w:ascii="Arial" w:eastAsia="Times New Roman" w:hAnsi="Arial" w:cs="Arial"/>
          <w:i/>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Verificar se existem vazamentos mínimos comprimindo a embalagem primária com firmeza. Se for observado vazamento de solução, descartar a embalagem, pois a sua esterilidade pode estar comprometida.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Se for necessária medicação suplementar, seguir as instruções descritas a seguir antes de preparar a solução para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No preparo e administração das Soluções Parenterais (SP), devem ser seguidas as recomendações da Comissão de Controle de Infecção em Serviços de Saúde quanto a:</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do ambiente e de superfícies, higienização das mãos, uso de EPIs e</w:t>
      </w: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desinfecção de ampolas, frascos, pontos de adição dos medicamentos e conexões das linhas de infusão.</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 xml:space="preserve">Remover o protetor de plástico do tubo de saída da solução no fundo da embalagem, </w:t>
      </w:r>
      <w:r w:rsidRPr="00943086">
        <w:rPr>
          <w:rFonts w:ascii="Arial" w:eastAsia="Times New Roman" w:hAnsi="Arial" w:cs="Arial"/>
          <w:i/>
          <w:color w:val="808080"/>
          <w:sz w:val="20"/>
          <w:szCs w:val="20"/>
        </w:rPr>
        <w:t>quando presente</w:t>
      </w:r>
      <w:r w:rsidRPr="00943086">
        <w:rPr>
          <w:rFonts w:ascii="Arial" w:eastAsia="Times New Roman" w:hAnsi="Arial" w:cs="Arial"/>
          <w:sz w:val="20"/>
          <w:szCs w:val="20"/>
        </w:rPr>
        <w:t>;</w:t>
      </w:r>
    </w:p>
    <w:p w:rsidR="00943086" w:rsidRPr="00943086" w:rsidRDefault="00943086" w:rsidP="00A44880">
      <w:pPr>
        <w:numPr>
          <w:ilvl w:val="0"/>
          <w:numId w:val="3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Fazer a assepsia da embalagem primária utilizando álcool 70%;</w:t>
      </w:r>
    </w:p>
    <w:p w:rsidR="00943086" w:rsidRPr="00943086" w:rsidRDefault="00943086" w:rsidP="00A44880">
      <w:pPr>
        <w:numPr>
          <w:ilvl w:val="0"/>
          <w:numId w:val="3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Suspender a embalagem pela alça de sustentação;</w:t>
      </w:r>
    </w:p>
    <w:p w:rsidR="00943086" w:rsidRPr="00943086" w:rsidRDefault="00943086" w:rsidP="00A44880">
      <w:pPr>
        <w:numPr>
          <w:ilvl w:val="0"/>
          <w:numId w:val="3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Conectar o equipo de infusão da solução. Consultar as instruções de uso do equipo;</w:t>
      </w:r>
    </w:p>
    <w:p w:rsidR="00943086" w:rsidRPr="00943086" w:rsidRDefault="00943086" w:rsidP="00A44880">
      <w:pPr>
        <w:numPr>
          <w:ilvl w:val="0"/>
          <w:numId w:val="35"/>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Administrar a solução, por gotejamento contínuo, conforme prescrição médica.</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adição de medicamentos:</w:t>
      </w:r>
    </w:p>
    <w:p w:rsidR="00943086" w:rsidRPr="00943086" w:rsidRDefault="00943086" w:rsidP="00A44880">
      <w:pPr>
        <w:spacing w:after="0" w:line="240" w:lineRule="auto"/>
        <w:ind w:firstLine="708"/>
        <w:jc w:val="both"/>
        <w:rPr>
          <w:rFonts w:ascii="Arial" w:eastAsia="Times New Roman" w:hAnsi="Arial" w:cs="Arial"/>
          <w:sz w:val="20"/>
          <w:szCs w:val="20"/>
          <w:u w:val="single"/>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lastRenderedPageBreak/>
        <w:t>Atenção: verificar se há incompatibilidade entre o medicamento e a solução e, quando for o caso, se há incompatibilidade entre os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Apenas as embalagens que possuem dois sítios, um para o equipo e outro para a administração de medicamentos, poderão permitir a adição de medicamentos nas soluções parenterais.</w:t>
      </w:r>
    </w:p>
    <w:p w:rsidR="00943086" w:rsidRPr="00943086" w:rsidRDefault="00943086" w:rsidP="00A44880">
      <w:pPr>
        <w:spacing w:after="0" w:line="240" w:lineRule="auto"/>
        <w:ind w:firstLine="708"/>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antes da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de injeção fazendo sua assepsia;</w:t>
      </w:r>
    </w:p>
    <w:p w:rsidR="00943086" w:rsidRPr="00943086" w:rsidRDefault="00943086" w:rsidP="00A44880">
      <w:pPr>
        <w:numPr>
          <w:ilvl w:val="0"/>
          <w:numId w:val="36"/>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uma seringa com agulha estéril para perfurar o sítio próprio para administração de medicamentos e injetar o medicamento na solução parenteral.</w:t>
      </w:r>
    </w:p>
    <w:p w:rsidR="00943086" w:rsidRPr="00943086" w:rsidRDefault="00943086" w:rsidP="00A44880">
      <w:pPr>
        <w:numPr>
          <w:ilvl w:val="0"/>
          <w:numId w:val="36"/>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36"/>
        </w:num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rPr>
        <w:t>Pós liofilizados devem ser reconstituídos/suspendidos no diluente estéril e apirogênico adequado antes de ser adicionados à solução parenteral.</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u w:val="single"/>
        </w:rPr>
      </w:pPr>
      <w:r w:rsidRPr="00943086">
        <w:rPr>
          <w:rFonts w:ascii="Arial" w:eastAsia="Times New Roman" w:hAnsi="Arial" w:cs="Arial"/>
          <w:sz w:val="20"/>
          <w:szCs w:val="20"/>
          <w:u w:val="single"/>
        </w:rPr>
        <w:t>Para administração de medicamentos durante a administração da solução parenteral:</w:t>
      </w:r>
    </w:p>
    <w:p w:rsidR="00943086" w:rsidRPr="00943086" w:rsidRDefault="00943086" w:rsidP="00A44880">
      <w:pPr>
        <w:spacing w:after="0" w:line="240" w:lineRule="auto"/>
        <w:jc w:val="both"/>
        <w:rPr>
          <w:rFonts w:ascii="Arial" w:eastAsia="Times New Roman" w:hAnsi="Arial" w:cs="Arial"/>
          <w:sz w:val="20"/>
          <w:szCs w:val="20"/>
          <w:u w:val="single"/>
        </w:rPr>
      </w:pPr>
    </w:p>
    <w:p w:rsidR="00943086" w:rsidRPr="00943086" w:rsidRDefault="00943086" w:rsidP="00A44880">
      <w:pPr>
        <w:numPr>
          <w:ilvl w:val="0"/>
          <w:numId w:val="3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Fechar a pinça do equipo de infusão;</w:t>
      </w:r>
    </w:p>
    <w:p w:rsidR="00943086" w:rsidRPr="00943086" w:rsidRDefault="00943086" w:rsidP="00A44880">
      <w:pPr>
        <w:numPr>
          <w:ilvl w:val="0"/>
          <w:numId w:val="3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Preparar o sítio próprio para administração de medicamentos, fazendo sua assepsia;</w:t>
      </w:r>
    </w:p>
    <w:p w:rsidR="00943086" w:rsidRPr="00943086" w:rsidRDefault="00943086" w:rsidP="00A44880">
      <w:pPr>
        <w:numPr>
          <w:ilvl w:val="0"/>
          <w:numId w:val="3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Utilizar seringa com agulha estéril para perfurar o sítio e adicionar o medicamento na solução parenteral;</w:t>
      </w:r>
    </w:p>
    <w:p w:rsidR="00943086" w:rsidRPr="00943086" w:rsidRDefault="00943086" w:rsidP="00A44880">
      <w:pPr>
        <w:numPr>
          <w:ilvl w:val="0"/>
          <w:numId w:val="3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Misturar o medicamento completamente na solução parenteral;</w:t>
      </w:r>
    </w:p>
    <w:p w:rsidR="00943086" w:rsidRPr="00943086" w:rsidRDefault="00943086" w:rsidP="00A44880">
      <w:pPr>
        <w:numPr>
          <w:ilvl w:val="0"/>
          <w:numId w:val="37"/>
        </w:num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Prosseguir a administração.</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i/>
          <w:color w:val="808080"/>
          <w:sz w:val="20"/>
          <w:szCs w:val="20"/>
        </w:rPr>
      </w:pPr>
      <w:r w:rsidRPr="00943086">
        <w:rPr>
          <w:rFonts w:ascii="Arial" w:eastAsia="Times New Roman" w:hAnsi="Arial" w:cs="Arial"/>
          <w:i/>
          <w:color w:val="808080"/>
          <w:sz w:val="20"/>
          <w:szCs w:val="20"/>
        </w:rPr>
        <w:t>FAZ-SE NECESSÁRIA A ILUSTRAÇÃO, ATRAVÉS DE FIGURAS, DO MÉTODO DE PREPARO E ADMINISTRAÇÃO DA SOLUÇÃO DE ÁGUA PARA INJEÇÃO COM MEDICAMENTOS.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u w:val="single"/>
        </w:rPr>
      </w:pPr>
      <w:r w:rsidRPr="00943086">
        <w:rPr>
          <w:rFonts w:ascii="Arial" w:eastAsia="Times New Roman" w:hAnsi="Arial" w:cs="Arial"/>
          <w:color w:val="000000"/>
          <w:sz w:val="20"/>
          <w:szCs w:val="20"/>
          <w:u w:val="single"/>
        </w:rPr>
        <w:t>Posologia</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A44880"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O preparo e administração da Solução Parenteral deve</w:t>
      </w:r>
      <w:r>
        <w:rPr>
          <w:rFonts w:ascii="Arial" w:eastAsia="Times New Roman" w:hAnsi="Arial" w:cs="Arial"/>
          <w:sz w:val="20"/>
          <w:szCs w:val="20"/>
        </w:rPr>
        <w:t>m</w:t>
      </w:r>
      <w:r w:rsidRPr="00943086">
        <w:rPr>
          <w:rFonts w:ascii="Arial" w:eastAsia="Times New Roman" w:hAnsi="Arial" w:cs="Arial"/>
          <w:sz w:val="20"/>
          <w:szCs w:val="20"/>
        </w:rPr>
        <w:t xml:space="preserve"> obedecer à prescrição, precedida de criteriosa avaliação, pelo farmacêutico, da compatibilidade físico-química e da interação medicamentosa que possam ocorrer entre os seus componentes.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administração da Solução de Ringer com Lactato deve ser baseada na manutenção ou reposição calculadas de acordo com a necessidade de cada paciente.</w:t>
      </w:r>
    </w:p>
    <w:p w:rsidR="00943086" w:rsidRPr="00943086" w:rsidRDefault="00943086" w:rsidP="00A44880">
      <w:pPr>
        <w:spacing w:after="0" w:line="240" w:lineRule="auto"/>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sz w:val="20"/>
          <w:szCs w:val="20"/>
        </w:rPr>
      </w:pPr>
      <w:r w:rsidRPr="00943086">
        <w:rPr>
          <w:rFonts w:ascii="Arial" w:eastAsia="Times New Roman" w:hAnsi="Arial" w:cs="Arial"/>
          <w:b/>
          <w:sz w:val="20"/>
          <w:szCs w:val="20"/>
        </w:rPr>
        <w:t>8. REAÇÕES ADVERSAS</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As reações adversas podem ocorrer devido à solução ou à técnica de administração e incluem resposta febril, infecção no ponto de injeção, trombose venosa ou flebite irradiando-se a partir do ponto de injeção, extravasamento e hipervolemia. Se ocorrer reação adversa, suspender a infusão, avaliar o paciente, aplicar terapêutica corretiva apropriada e guardar o restante da solução para posterior investigação, se necessário.</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Por conter íons lactato deve ser administrado com cautela, pois infusão excessiva pode provocar alcalose metabólica.</w:t>
      </w:r>
    </w:p>
    <w:p w:rsidR="00943086" w:rsidRPr="00943086" w:rsidRDefault="00943086" w:rsidP="00A44880">
      <w:pPr>
        <w:shd w:val="clear" w:color="auto" w:fill="FFFFFF"/>
        <w:spacing w:after="0" w:line="240" w:lineRule="auto"/>
        <w:jc w:val="both"/>
        <w:rPr>
          <w:rFonts w:ascii="Arial" w:eastAsia="Times New Roman" w:hAnsi="Arial" w:cs="Arial"/>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r w:rsidRPr="00943086">
        <w:rPr>
          <w:rFonts w:ascii="Arial" w:eastAsia="Times New Roman" w:hAnsi="Arial" w:cs="Arial"/>
          <w:sz w:val="20"/>
          <w:szCs w:val="20"/>
        </w:rPr>
        <w:t>Hipernatremia, por ser associada a edema e exacerbação da insuficiência cardíaca congestiva, devido à retenção de água, resultando em aumento do volume do fluido extracelular.</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color w:val="0070C0"/>
          <w:sz w:val="20"/>
          <w:szCs w:val="20"/>
        </w:rPr>
      </w:pPr>
      <w:r w:rsidRPr="00943086">
        <w:rPr>
          <w:rFonts w:ascii="Arial" w:eastAsia="Times New Roman" w:hAnsi="Arial" w:cs="Arial"/>
          <w:color w:val="0070C0"/>
          <w:sz w:val="20"/>
          <w:szCs w:val="20"/>
        </w:rPr>
        <w:t xml:space="preserve">Em casos de eventos adversos, notifique ao Sistema de Notificações em Vigilância Sanitária - NOTIVISA, disponível em </w:t>
      </w:r>
      <w:hyperlink r:id="rId12" w:history="1">
        <w:r w:rsidRPr="00943086">
          <w:rPr>
            <w:rFonts w:ascii="Arial" w:eastAsia="Times New Roman" w:hAnsi="Arial" w:cs="Arial"/>
            <w:color w:val="0070C0"/>
            <w:sz w:val="20"/>
            <w:szCs w:val="20"/>
            <w:u w:val="single"/>
          </w:rPr>
          <w:t>http://www.anvisa.gov.br/hotsite/notivisa/index.htm</w:t>
        </w:r>
      </w:hyperlink>
      <w:r w:rsidRPr="00943086">
        <w:rPr>
          <w:rFonts w:ascii="Arial" w:eastAsia="Times New Roman" w:hAnsi="Arial" w:cs="Arial"/>
          <w:color w:val="0070C0"/>
          <w:sz w:val="20"/>
          <w:szCs w:val="20"/>
        </w:rPr>
        <w:t>, ou para a Vigilância Sanitária Estadual ou Municipal.</w:t>
      </w:r>
    </w:p>
    <w:p w:rsidR="00943086" w:rsidRPr="00943086" w:rsidRDefault="00943086" w:rsidP="00A44880">
      <w:pPr>
        <w:shd w:val="clear" w:color="auto" w:fill="FFFFFF"/>
        <w:spacing w:after="0" w:line="240" w:lineRule="auto"/>
        <w:jc w:val="both"/>
        <w:rPr>
          <w:rFonts w:ascii="Arial" w:eastAsia="Times New Roman" w:hAnsi="Arial" w:cs="Arial"/>
          <w:color w:val="000000"/>
          <w:sz w:val="20"/>
          <w:szCs w:val="20"/>
        </w:rPr>
      </w:pPr>
    </w:p>
    <w:p w:rsidR="00943086" w:rsidRPr="00943086" w:rsidRDefault="00943086" w:rsidP="00A44880">
      <w:pPr>
        <w:shd w:val="clear" w:color="auto" w:fill="FFFFFF"/>
        <w:spacing w:after="0" w:line="240" w:lineRule="auto"/>
        <w:jc w:val="both"/>
        <w:rPr>
          <w:rFonts w:ascii="Arial" w:eastAsia="Times New Roman" w:hAnsi="Arial" w:cs="Arial"/>
          <w:b/>
          <w:sz w:val="20"/>
          <w:szCs w:val="20"/>
        </w:rPr>
      </w:pPr>
      <w:r w:rsidRPr="00943086">
        <w:rPr>
          <w:rFonts w:ascii="Arial" w:eastAsia="Times New Roman" w:hAnsi="Arial" w:cs="Arial"/>
          <w:b/>
          <w:color w:val="000000"/>
          <w:sz w:val="20"/>
          <w:szCs w:val="20"/>
        </w:rPr>
        <w:t>9. S</w:t>
      </w:r>
      <w:r w:rsidRPr="00943086">
        <w:rPr>
          <w:rFonts w:ascii="Arial" w:eastAsia="Times New Roman" w:hAnsi="Arial" w:cs="Arial"/>
          <w:b/>
          <w:sz w:val="20"/>
          <w:szCs w:val="20"/>
        </w:rPr>
        <w:t>UPERDOSE</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solução de Ringer com Lactato em doses elevadas pode causar sintomas de desconforto tais como: náusea, vômito, dor abdominal e diarreia, cefaleia, sonolência e arritmias.</w:t>
      </w:r>
    </w:p>
    <w:p w:rsidR="00943086" w:rsidRPr="00943086" w:rsidRDefault="00943086" w:rsidP="00A44880">
      <w:pPr>
        <w:spacing w:after="0" w:line="240" w:lineRule="auto"/>
        <w:jc w:val="both"/>
        <w:rPr>
          <w:rFonts w:ascii="Arial" w:eastAsia="Times New Roman" w:hAnsi="Arial" w:cs="Arial"/>
          <w:sz w:val="20"/>
          <w:szCs w:val="20"/>
        </w:rPr>
      </w:pPr>
    </w:p>
    <w:p w:rsidR="00943086" w:rsidRPr="00943086" w:rsidRDefault="00943086" w:rsidP="00A44880">
      <w:pPr>
        <w:spacing w:after="0" w:line="240" w:lineRule="auto"/>
        <w:jc w:val="both"/>
        <w:rPr>
          <w:rFonts w:ascii="Arial" w:eastAsia="Times New Roman" w:hAnsi="Arial" w:cs="Arial"/>
          <w:sz w:val="20"/>
          <w:szCs w:val="20"/>
        </w:rPr>
      </w:pPr>
      <w:r w:rsidRPr="00943086">
        <w:rPr>
          <w:rFonts w:ascii="Arial" w:eastAsia="Times New Roman" w:hAnsi="Arial" w:cs="Arial"/>
          <w:sz w:val="20"/>
          <w:szCs w:val="20"/>
        </w:rPr>
        <w:t>A infusão de grandes volumes da solução de Ringer com Lactato pode causar hipervolemia, resultando em diluições eletrolíticas do plasma, hiper-hidratação, indução da acidose metabólica e edemas pulmonares. Nestes casos, a infusão deve ser interrompida e a terapia de apoio deve ser instalada.</w:t>
      </w:r>
    </w:p>
    <w:p w:rsidR="00943086" w:rsidRPr="00943086" w:rsidRDefault="00943086" w:rsidP="00A44880">
      <w:pPr>
        <w:spacing w:after="0" w:line="240" w:lineRule="auto"/>
        <w:jc w:val="both"/>
        <w:rPr>
          <w:rFonts w:ascii="Arial" w:eastAsia="Times New Roman" w:hAnsi="Arial" w:cs="Arial"/>
          <w:b/>
          <w:sz w:val="20"/>
          <w:szCs w:val="20"/>
        </w:rPr>
      </w:pPr>
    </w:p>
    <w:p w:rsidR="00943086" w:rsidRPr="00943086" w:rsidRDefault="00943086" w:rsidP="00A44880">
      <w:pPr>
        <w:spacing w:after="0" w:line="240" w:lineRule="auto"/>
        <w:jc w:val="both"/>
        <w:rPr>
          <w:rFonts w:ascii="Arial" w:eastAsia="Times New Roman" w:hAnsi="Arial" w:cs="Arial"/>
          <w:b/>
          <w:color w:val="0070C0"/>
          <w:sz w:val="20"/>
          <w:szCs w:val="20"/>
        </w:rPr>
      </w:pPr>
      <w:r w:rsidRPr="00943086">
        <w:rPr>
          <w:rFonts w:ascii="Arial" w:eastAsia="Times New Roman" w:hAnsi="Arial" w:cs="Arial"/>
          <w:b/>
          <w:color w:val="0070C0"/>
          <w:sz w:val="20"/>
          <w:szCs w:val="20"/>
        </w:rPr>
        <w:t>Em caso de intoxicação ligue para 0800 722 6001, se você precisar de mais orientações.</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M.S. nº: X.XXXX.XXXX.XXX-X</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Responsável Técnico: XXXXXX CRF/XX:</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Fabricado por: </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Nome completo e Endereço do Fabricante </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Registrado por:</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Nome completo e Endereço do Titular do registro</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Cadastro Nacional de Pessoa Jurídica, CNPJ.</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Indústria Brasileira </w:t>
      </w:r>
      <w:r w:rsidRPr="00943086">
        <w:rPr>
          <w:rFonts w:ascii="Arial" w:eastAsia="Times New Roman" w:hAnsi="Arial" w:cs="Arial"/>
          <w:i/>
          <w:color w:val="0070C0"/>
          <w:sz w:val="20"/>
          <w:szCs w:val="20"/>
        </w:rPr>
        <w:t>(se for o caso).</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Telefone do Serviço de Atendimento ao Consumidor da empresa – SAC</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Uso restrito a hospitais.</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Venda sob prescrição médica.</w:t>
      </w: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 xml:space="preserve">Venda proibida ao comércio. </w:t>
      </w:r>
      <w:r w:rsidRPr="00943086">
        <w:rPr>
          <w:rFonts w:ascii="Arial" w:eastAsia="Times New Roman" w:hAnsi="Arial" w:cs="Arial"/>
          <w:i/>
          <w:color w:val="0070C0"/>
          <w:sz w:val="20"/>
          <w:szCs w:val="20"/>
        </w:rPr>
        <w:t>(somente para os medicamentos com destinação institucional).</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color w:val="0070C0"/>
          <w:sz w:val="20"/>
          <w:szCs w:val="20"/>
        </w:rPr>
        <w:t>Esta bula foi atualizada conforme Bula Padrão aprovada pela Anvisa em dia/mês/ano.</w:t>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r w:rsidRPr="00943086">
        <w:rPr>
          <w:rFonts w:ascii="Arial" w:eastAsia="Times New Roman" w:hAnsi="Arial" w:cs="Arial"/>
          <w:b/>
          <w:noProof/>
          <w:color w:val="0070C0"/>
          <w:sz w:val="20"/>
          <w:szCs w:val="20"/>
        </w:rPr>
        <w:drawing>
          <wp:inline distT="0" distB="0" distL="0" distR="0" wp14:anchorId="204C40D8" wp14:editId="28607038">
            <wp:extent cx="368300" cy="36195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8300" cy="361950"/>
                    </a:xfrm>
                    <a:prstGeom prst="rect">
                      <a:avLst/>
                    </a:prstGeom>
                    <a:noFill/>
                    <a:ln>
                      <a:noFill/>
                    </a:ln>
                  </pic:spPr>
                </pic:pic>
              </a:graphicData>
            </a:graphic>
          </wp:inline>
        </w:drawing>
      </w: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spacing w:after="0" w:line="240" w:lineRule="auto"/>
        <w:rPr>
          <w:rFonts w:ascii="Arial" w:eastAsia="Times New Roman" w:hAnsi="Arial" w:cs="Arial"/>
          <w:b/>
          <w:color w:val="0070C0"/>
          <w:sz w:val="20"/>
          <w:szCs w:val="20"/>
        </w:rPr>
      </w:pPr>
    </w:p>
    <w:p w:rsidR="00943086" w:rsidRPr="00943086" w:rsidRDefault="00943086" w:rsidP="00A44880">
      <w:pPr>
        <w:autoSpaceDE w:val="0"/>
        <w:autoSpaceDN w:val="0"/>
        <w:adjustRightInd w:val="0"/>
        <w:spacing w:after="0" w:line="240" w:lineRule="auto"/>
        <w:jc w:val="both"/>
        <w:rPr>
          <w:rFonts w:ascii="Arial" w:hAnsi="Arial" w:cs="Arial"/>
          <w:color w:val="000000"/>
          <w:sz w:val="20"/>
          <w:szCs w:val="20"/>
        </w:rPr>
      </w:pPr>
    </w:p>
    <w:sectPr w:rsidR="00943086" w:rsidRPr="00943086" w:rsidSect="006835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253"/>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
    <w:nsid w:val="065E6B14"/>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
    <w:nsid w:val="07BE3E68"/>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
    <w:nsid w:val="08030395"/>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4">
    <w:nsid w:val="0855511B"/>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nsid w:val="0CCF082F"/>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6">
    <w:nsid w:val="10B40225"/>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7">
    <w:nsid w:val="11A21872"/>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8">
    <w:nsid w:val="16463B5B"/>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1A183AF4"/>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0">
    <w:nsid w:val="1BBA71D6"/>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1">
    <w:nsid w:val="201169D4"/>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nsid w:val="21C947A6"/>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3">
    <w:nsid w:val="22A722F8"/>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4">
    <w:nsid w:val="24935BE2"/>
    <w:multiLevelType w:val="hybridMultilevel"/>
    <w:tmpl w:val="BDA60306"/>
    <w:lvl w:ilvl="0" w:tplc="5344CFCE">
      <w:start w:val="1"/>
      <w:numFmt w:val="ordinal"/>
      <w:suff w:val="space"/>
      <w:lvlText w:val="Art. %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61D4DE0"/>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6">
    <w:nsid w:val="269611A6"/>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7">
    <w:nsid w:val="30DA5214"/>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8">
    <w:nsid w:val="38EB3C84"/>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9">
    <w:nsid w:val="3B6D011F"/>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0">
    <w:nsid w:val="3CEA1994"/>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1">
    <w:nsid w:val="3E4A7004"/>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2">
    <w:nsid w:val="3EBC7B28"/>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3">
    <w:nsid w:val="46C94A46"/>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nsid w:val="4A060F96"/>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nsid w:val="4E7220AD"/>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54A2023A"/>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5BD37AEC"/>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5E8D23D7"/>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9">
    <w:nsid w:val="5ECF0722"/>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0">
    <w:nsid w:val="66E7773A"/>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1">
    <w:nsid w:val="67B97E25"/>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2">
    <w:nsid w:val="698D1B1B"/>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3">
    <w:nsid w:val="6AF62946"/>
    <w:multiLevelType w:val="hybridMultilevel"/>
    <w:tmpl w:val="CB04DF70"/>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4">
    <w:nsid w:val="70D20A54"/>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5">
    <w:nsid w:val="732A6D50"/>
    <w:multiLevelType w:val="hybridMultilevel"/>
    <w:tmpl w:val="FCEC8890"/>
    <w:lvl w:ilvl="0" w:tplc="47E6D996">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36">
    <w:nsid w:val="778E4C45"/>
    <w:multiLevelType w:val="hybridMultilevel"/>
    <w:tmpl w:val="373C4E36"/>
    <w:lvl w:ilvl="0" w:tplc="C1A6A28A">
      <w:start w:val="1"/>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num w:numId="1">
    <w:abstractNumId w:val="14"/>
  </w:num>
  <w:num w:numId="2">
    <w:abstractNumId w:val="2"/>
  </w:num>
  <w:num w:numId="3">
    <w:abstractNumId w:val="17"/>
  </w:num>
  <w:num w:numId="4">
    <w:abstractNumId w:val="32"/>
  </w:num>
  <w:num w:numId="5">
    <w:abstractNumId w:val="25"/>
  </w:num>
  <w:num w:numId="6">
    <w:abstractNumId w:val="21"/>
  </w:num>
  <w:num w:numId="7">
    <w:abstractNumId w:val="26"/>
  </w:num>
  <w:num w:numId="8">
    <w:abstractNumId w:val="23"/>
  </w:num>
  <w:num w:numId="9">
    <w:abstractNumId w:val="36"/>
  </w:num>
  <w:num w:numId="10">
    <w:abstractNumId w:val="6"/>
  </w:num>
  <w:num w:numId="11">
    <w:abstractNumId w:val="7"/>
  </w:num>
  <w:num w:numId="12">
    <w:abstractNumId w:val="31"/>
  </w:num>
  <w:num w:numId="13">
    <w:abstractNumId w:val="16"/>
  </w:num>
  <w:num w:numId="14">
    <w:abstractNumId w:val="11"/>
  </w:num>
  <w:num w:numId="15">
    <w:abstractNumId w:val="3"/>
  </w:num>
  <w:num w:numId="16">
    <w:abstractNumId w:val="4"/>
  </w:num>
  <w:num w:numId="17">
    <w:abstractNumId w:val="30"/>
  </w:num>
  <w:num w:numId="18">
    <w:abstractNumId w:val="20"/>
  </w:num>
  <w:num w:numId="19">
    <w:abstractNumId w:val="34"/>
  </w:num>
  <w:num w:numId="20">
    <w:abstractNumId w:val="0"/>
  </w:num>
  <w:num w:numId="21">
    <w:abstractNumId w:val="18"/>
  </w:num>
  <w:num w:numId="22">
    <w:abstractNumId w:val="13"/>
  </w:num>
  <w:num w:numId="23">
    <w:abstractNumId w:val="5"/>
  </w:num>
  <w:num w:numId="24">
    <w:abstractNumId w:val="15"/>
  </w:num>
  <w:num w:numId="25">
    <w:abstractNumId w:val="35"/>
  </w:num>
  <w:num w:numId="26">
    <w:abstractNumId w:val="12"/>
  </w:num>
  <w:num w:numId="27">
    <w:abstractNumId w:val="10"/>
  </w:num>
  <w:num w:numId="28">
    <w:abstractNumId w:val="8"/>
  </w:num>
  <w:num w:numId="29">
    <w:abstractNumId w:val="22"/>
  </w:num>
  <w:num w:numId="30">
    <w:abstractNumId w:val="19"/>
  </w:num>
  <w:num w:numId="31">
    <w:abstractNumId w:val="28"/>
  </w:num>
  <w:num w:numId="32">
    <w:abstractNumId w:val="33"/>
  </w:num>
  <w:num w:numId="33">
    <w:abstractNumId w:val="29"/>
  </w:num>
  <w:num w:numId="34">
    <w:abstractNumId w:val="27"/>
  </w:num>
  <w:num w:numId="35">
    <w:abstractNumId w:val="24"/>
  </w:num>
  <w:num w:numId="36">
    <w:abstractNumId w:val="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178"/>
    <w:rsid w:val="00006937"/>
    <w:rsid w:val="00181854"/>
    <w:rsid w:val="001F6F27"/>
    <w:rsid w:val="00277596"/>
    <w:rsid w:val="002A5CE5"/>
    <w:rsid w:val="002E304F"/>
    <w:rsid w:val="0035113D"/>
    <w:rsid w:val="003A0173"/>
    <w:rsid w:val="004339C3"/>
    <w:rsid w:val="004962A5"/>
    <w:rsid w:val="0056096B"/>
    <w:rsid w:val="00560EEE"/>
    <w:rsid w:val="005B462F"/>
    <w:rsid w:val="00683501"/>
    <w:rsid w:val="006B7E00"/>
    <w:rsid w:val="007A1948"/>
    <w:rsid w:val="007B49A3"/>
    <w:rsid w:val="00926178"/>
    <w:rsid w:val="00943086"/>
    <w:rsid w:val="00A064CF"/>
    <w:rsid w:val="00A44880"/>
    <w:rsid w:val="00AB76AF"/>
    <w:rsid w:val="00B47FB1"/>
    <w:rsid w:val="00B91E84"/>
    <w:rsid w:val="00BF35D3"/>
    <w:rsid w:val="00C4118F"/>
    <w:rsid w:val="00DC7737"/>
    <w:rsid w:val="00F14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B76AF"/>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Fontepargpadro"/>
    <w:rsid w:val="00B91E84"/>
  </w:style>
  <w:style w:type="paragraph" w:styleId="NormalWeb">
    <w:name w:val="Normal (Web)"/>
    <w:basedOn w:val="Normal"/>
    <w:uiPriority w:val="99"/>
    <w:unhideWhenUsed/>
    <w:rsid w:val="00181854"/>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775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596"/>
    <w:rPr>
      <w:rFonts w:ascii="Tahoma" w:hAnsi="Tahoma" w:cs="Tahoma"/>
      <w:sz w:val="16"/>
      <w:szCs w:val="16"/>
    </w:rPr>
  </w:style>
  <w:style w:type="character" w:styleId="Hyperlink">
    <w:name w:val="Hyperlink"/>
    <w:basedOn w:val="Fontepargpadro"/>
    <w:uiPriority w:val="99"/>
    <w:unhideWhenUsed/>
    <w:rsid w:val="00A44880"/>
    <w:rPr>
      <w:color w:val="0000FF" w:themeColor="hyperlink"/>
      <w:u w:val="single"/>
    </w:rPr>
  </w:style>
  <w:style w:type="paragraph" w:styleId="PargrafodaLista">
    <w:name w:val="List Paragraph"/>
    <w:basedOn w:val="Normal"/>
    <w:uiPriority w:val="34"/>
    <w:qFormat/>
    <w:rsid w:val="00A448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B76AF"/>
    <w:pPr>
      <w:autoSpaceDE w:val="0"/>
      <w:autoSpaceDN w:val="0"/>
      <w:adjustRightInd w:val="0"/>
      <w:spacing w:after="0" w:line="240" w:lineRule="auto"/>
    </w:pPr>
    <w:rPr>
      <w:rFonts w:ascii="Arial" w:eastAsia="Calibri" w:hAnsi="Arial" w:cs="Arial"/>
      <w:color w:val="000000"/>
      <w:sz w:val="24"/>
      <w:szCs w:val="24"/>
    </w:rPr>
  </w:style>
  <w:style w:type="character" w:customStyle="1" w:styleId="apple-converted-space">
    <w:name w:val="apple-converted-space"/>
    <w:basedOn w:val="Fontepargpadro"/>
    <w:rsid w:val="00B91E84"/>
  </w:style>
  <w:style w:type="paragraph" w:styleId="NormalWeb">
    <w:name w:val="Normal (Web)"/>
    <w:basedOn w:val="Normal"/>
    <w:uiPriority w:val="99"/>
    <w:unhideWhenUsed/>
    <w:rsid w:val="00181854"/>
    <w:pPr>
      <w:spacing w:before="100" w:beforeAutospacing="1" w:after="100" w:afterAutospacing="1" w:line="240" w:lineRule="auto"/>
    </w:pPr>
    <w:rPr>
      <w:rFonts w:ascii="Times New Roman" w:eastAsia="Times New Roman" w:hAnsi="Times New Roman" w:cs="Times New Roman"/>
      <w:sz w:val="24"/>
      <w:szCs w:val="24"/>
    </w:rPr>
  </w:style>
  <w:style w:type="paragraph" w:styleId="Textodebalo">
    <w:name w:val="Balloon Text"/>
    <w:basedOn w:val="Normal"/>
    <w:link w:val="TextodebaloChar"/>
    <w:uiPriority w:val="99"/>
    <w:semiHidden/>
    <w:unhideWhenUsed/>
    <w:rsid w:val="0027759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7596"/>
    <w:rPr>
      <w:rFonts w:ascii="Tahoma" w:hAnsi="Tahoma" w:cs="Tahoma"/>
      <w:sz w:val="16"/>
      <w:szCs w:val="16"/>
    </w:rPr>
  </w:style>
  <w:style w:type="character" w:styleId="Hyperlink">
    <w:name w:val="Hyperlink"/>
    <w:basedOn w:val="Fontepargpadro"/>
    <w:uiPriority w:val="99"/>
    <w:unhideWhenUsed/>
    <w:rsid w:val="00A44880"/>
    <w:rPr>
      <w:color w:val="0000FF" w:themeColor="hyperlink"/>
      <w:u w:val="single"/>
    </w:rPr>
  </w:style>
  <w:style w:type="paragraph" w:styleId="PargrafodaLista">
    <w:name w:val="List Paragraph"/>
    <w:basedOn w:val="Normal"/>
    <w:uiPriority w:val="34"/>
    <w:qFormat/>
    <w:rsid w:val="00A44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637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nvisa.gov.br/hotsite/notivisa/index.ht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www.anvisa.gov.br/hotsite/notivisa/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visa.gov.br/hotsite/notivisa/index.htm" TargetMode="External"/><Relationship Id="rId11" Type="http://schemas.openxmlformats.org/officeDocument/2006/relationships/hyperlink" Target="http://www.anvisa.gov.br/hotsite/notivisa/index.htm" TargetMode="External"/><Relationship Id="rId5" Type="http://schemas.openxmlformats.org/officeDocument/2006/relationships/webSettings" Target="webSettings.xml"/><Relationship Id="rId10" Type="http://schemas.openxmlformats.org/officeDocument/2006/relationships/hyperlink" Target="http://www.anvisa.gov.br/hotsite/notivisa/index.htm" TargetMode="External"/><Relationship Id="rId4" Type="http://schemas.openxmlformats.org/officeDocument/2006/relationships/settings" Target="settings.xml"/><Relationship Id="rId9" Type="http://schemas.openxmlformats.org/officeDocument/2006/relationships/hyperlink" Target="http://www.anvisa.gov.br/hotsite/notivisa/index.htm"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56</Pages>
  <Words>22085</Words>
  <Characters>119262</Characters>
  <Application>Microsoft Office Word</Application>
  <DocSecurity>0</DocSecurity>
  <Lines>993</Lines>
  <Paragraphs>282</Paragraphs>
  <ScaleCrop>false</ScaleCrop>
  <HeadingPairs>
    <vt:vector size="2" baseType="variant">
      <vt:variant>
        <vt:lpstr>Título</vt:lpstr>
      </vt:variant>
      <vt:variant>
        <vt:i4>1</vt:i4>
      </vt:variant>
    </vt:vector>
  </HeadingPairs>
  <TitlesOfParts>
    <vt:vector size="1" baseType="lpstr">
      <vt:lpstr/>
    </vt:vector>
  </TitlesOfParts>
  <Company>ANVISA</Company>
  <LinksUpToDate>false</LinksUpToDate>
  <CharactersWithSpaces>141065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THAIS.PEREIRA</dc:creator>
  <cp:lastModifiedBy>Cyro Barbosa Caldeira</cp:lastModifiedBy>
  <cp:revision>2</cp:revision>
  <cp:lastPrinted>2016-08-25T11:43:00Z</cp:lastPrinted>
  <dcterms:created xsi:type="dcterms:W3CDTF">2016-08-25T11:44:00Z</dcterms:created>
  <dcterms:modified xsi:type="dcterms:W3CDTF">2016-08-25T11:44:00Z</dcterms:modified>
</cp:coreProperties>
</file>