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755954" w14:textId="77777777" w:rsidR="006E3142" w:rsidRPr="00054F04" w:rsidRDefault="006E3142" w:rsidP="00615A71">
      <w:pPr>
        <w:spacing w:before="120" w:after="120" w:line="360" w:lineRule="auto"/>
        <w:jc w:val="center"/>
        <w:rPr>
          <w:rFonts w:ascii="Arial" w:hAnsi="Arial" w:cs="Arial"/>
          <w:b/>
          <w:sz w:val="22"/>
          <w:szCs w:val="22"/>
        </w:rPr>
      </w:pPr>
      <w:r w:rsidRPr="00054F04">
        <w:rPr>
          <w:rFonts w:ascii="Arial" w:hAnsi="Arial" w:cs="Arial"/>
          <w:b/>
          <w:sz w:val="22"/>
          <w:szCs w:val="22"/>
        </w:rPr>
        <w:t>FORMULÁRIO DE COMENTÁRIOS E SUGESTÕES</w:t>
      </w:r>
    </w:p>
    <w:p w14:paraId="38F0A3CA" w14:textId="5B7BA6D6" w:rsidR="006E3142" w:rsidRPr="00054F04" w:rsidRDefault="006E3142" w:rsidP="00615A71">
      <w:pPr>
        <w:pStyle w:val="Caption"/>
        <w:spacing w:before="120" w:after="120" w:line="360" w:lineRule="auto"/>
        <w:jc w:val="center"/>
        <w:rPr>
          <w:rFonts w:cs="Arial"/>
          <w:sz w:val="22"/>
          <w:szCs w:val="22"/>
        </w:rPr>
      </w:pPr>
      <w:r w:rsidRPr="00054F04">
        <w:rPr>
          <w:rFonts w:cs="Arial"/>
          <w:sz w:val="22"/>
          <w:szCs w:val="22"/>
        </w:rPr>
        <w:t xml:space="preserve">CONSULTA PÚBLICA Nº </w:t>
      </w:r>
      <w:r w:rsidR="00864380">
        <w:rPr>
          <w:rFonts w:cs="Arial"/>
          <w:sz w:val="22"/>
          <w:szCs w:val="22"/>
        </w:rPr>
        <w:t>1</w:t>
      </w:r>
      <w:r w:rsidR="00513E03">
        <w:rPr>
          <w:rFonts w:cs="Arial"/>
          <w:sz w:val="22"/>
          <w:szCs w:val="22"/>
        </w:rPr>
        <w:t>5</w:t>
      </w:r>
      <w:r w:rsidR="001718B8" w:rsidRPr="00054F04">
        <w:rPr>
          <w:rFonts w:cs="Arial"/>
          <w:sz w:val="22"/>
          <w:szCs w:val="22"/>
        </w:rPr>
        <w:t>/2018</w:t>
      </w:r>
    </w:p>
    <w:p w14:paraId="02C83FAC" w14:textId="77777777" w:rsidR="006E3142" w:rsidRPr="00054F04" w:rsidRDefault="006E3142" w:rsidP="00842086">
      <w:pPr>
        <w:pStyle w:val="Caption"/>
        <w:jc w:val="both"/>
        <w:rPr>
          <w:rFonts w:cs="Arial"/>
          <w:b/>
          <w:sz w:val="22"/>
          <w:szCs w:val="22"/>
        </w:rPr>
      </w:pPr>
    </w:p>
    <w:p w14:paraId="573F614E" w14:textId="77777777" w:rsidR="006E3142" w:rsidRPr="00054F04" w:rsidRDefault="006E3142" w:rsidP="00842086">
      <w:pPr>
        <w:pStyle w:val="Caption"/>
        <w:jc w:val="both"/>
        <w:rPr>
          <w:rFonts w:cs="Arial"/>
          <w:b/>
          <w:sz w:val="22"/>
          <w:szCs w:val="22"/>
        </w:rPr>
      </w:pPr>
    </w:p>
    <w:tbl>
      <w:tblPr>
        <w:tblStyle w:val="TableGrid"/>
        <w:tblW w:w="5000" w:type="pct"/>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ook w:val="04A0" w:firstRow="1" w:lastRow="0" w:firstColumn="1" w:lastColumn="0" w:noHBand="0" w:noVBand="1"/>
      </w:tblPr>
      <w:tblGrid>
        <w:gridCol w:w="1476"/>
        <w:gridCol w:w="1903"/>
        <w:gridCol w:w="1431"/>
        <w:gridCol w:w="5111"/>
        <w:gridCol w:w="4029"/>
      </w:tblGrid>
      <w:tr w:rsidR="006E3142" w:rsidRPr="00054F04" w14:paraId="55EECB82" w14:textId="77777777" w:rsidTr="00864380">
        <w:trPr>
          <w:trHeight w:val="850"/>
          <w:tblHeader/>
        </w:trPr>
        <w:tc>
          <w:tcPr>
            <w:tcW w:w="529" w:type="pct"/>
            <w:tcBorders>
              <w:bottom w:val="dashSmallGap" w:sz="4" w:space="0" w:color="BFBFBF" w:themeColor="background1" w:themeShade="BF"/>
            </w:tcBorders>
            <w:vAlign w:val="center"/>
          </w:tcPr>
          <w:p w14:paraId="3584D38B" w14:textId="77777777" w:rsidR="006E3142" w:rsidRPr="00054F04" w:rsidRDefault="006E3142" w:rsidP="000C0894">
            <w:pPr>
              <w:pStyle w:val="Caption"/>
              <w:jc w:val="center"/>
              <w:rPr>
                <w:rFonts w:cs="Arial"/>
                <w:b/>
                <w:color w:val="000000" w:themeColor="text1"/>
                <w:sz w:val="22"/>
                <w:szCs w:val="22"/>
              </w:rPr>
            </w:pPr>
            <w:r w:rsidRPr="00054F04">
              <w:rPr>
                <w:rFonts w:cs="Arial"/>
                <w:b/>
                <w:color w:val="000000" w:themeColor="text1"/>
                <w:sz w:val="22"/>
                <w:szCs w:val="22"/>
              </w:rPr>
              <w:t>Documento</w:t>
            </w:r>
          </w:p>
        </w:tc>
        <w:tc>
          <w:tcPr>
            <w:tcW w:w="682" w:type="pct"/>
            <w:tcBorders>
              <w:bottom w:val="dashSmallGap" w:sz="4" w:space="0" w:color="BFBFBF" w:themeColor="background1" w:themeShade="BF"/>
            </w:tcBorders>
            <w:vAlign w:val="center"/>
          </w:tcPr>
          <w:p w14:paraId="43B43CAF" w14:textId="77777777" w:rsidR="006E3142" w:rsidRPr="00054F04" w:rsidRDefault="006E3142" w:rsidP="000C0894">
            <w:pPr>
              <w:pStyle w:val="Caption"/>
              <w:jc w:val="center"/>
              <w:rPr>
                <w:rFonts w:cs="Arial"/>
                <w:b/>
                <w:color w:val="000000" w:themeColor="text1"/>
                <w:sz w:val="22"/>
                <w:szCs w:val="22"/>
              </w:rPr>
            </w:pPr>
            <w:r w:rsidRPr="00054F04">
              <w:rPr>
                <w:rFonts w:cs="Arial"/>
                <w:b/>
                <w:color w:val="000000" w:themeColor="text1"/>
                <w:sz w:val="22"/>
                <w:szCs w:val="22"/>
              </w:rPr>
              <w:t>Natureza da sugestão</w:t>
            </w:r>
          </w:p>
        </w:tc>
        <w:tc>
          <w:tcPr>
            <w:tcW w:w="513" w:type="pct"/>
            <w:tcBorders>
              <w:bottom w:val="dashSmallGap" w:sz="4" w:space="0" w:color="BFBFBF" w:themeColor="background1" w:themeShade="BF"/>
            </w:tcBorders>
            <w:vAlign w:val="center"/>
          </w:tcPr>
          <w:p w14:paraId="7488E076" w14:textId="77777777" w:rsidR="006E3142" w:rsidRPr="00054F04" w:rsidRDefault="006E3142" w:rsidP="000C0894">
            <w:pPr>
              <w:pStyle w:val="Caption"/>
              <w:jc w:val="center"/>
              <w:rPr>
                <w:rFonts w:cs="Arial"/>
                <w:b/>
                <w:color w:val="000000" w:themeColor="text1"/>
                <w:sz w:val="22"/>
                <w:szCs w:val="22"/>
              </w:rPr>
            </w:pPr>
            <w:r w:rsidRPr="00054F04">
              <w:rPr>
                <w:rFonts w:cs="Arial"/>
                <w:b/>
                <w:color w:val="000000" w:themeColor="text1"/>
                <w:sz w:val="22"/>
                <w:szCs w:val="22"/>
              </w:rPr>
              <w:t>Item</w:t>
            </w:r>
          </w:p>
        </w:tc>
        <w:tc>
          <w:tcPr>
            <w:tcW w:w="1832" w:type="pct"/>
            <w:tcBorders>
              <w:bottom w:val="dashSmallGap" w:sz="4" w:space="0" w:color="BFBFBF" w:themeColor="background1" w:themeShade="BF"/>
            </w:tcBorders>
            <w:vAlign w:val="center"/>
          </w:tcPr>
          <w:p w14:paraId="4217F55F" w14:textId="77777777" w:rsidR="006E3142" w:rsidRPr="00054F04" w:rsidRDefault="006E3142" w:rsidP="000C0894">
            <w:pPr>
              <w:pStyle w:val="Caption"/>
              <w:jc w:val="center"/>
              <w:rPr>
                <w:rFonts w:cs="Arial"/>
                <w:b/>
                <w:color w:val="000000" w:themeColor="text1"/>
                <w:sz w:val="22"/>
                <w:szCs w:val="22"/>
              </w:rPr>
            </w:pPr>
            <w:r w:rsidRPr="00054F04">
              <w:rPr>
                <w:rFonts w:cs="Arial"/>
                <w:b/>
                <w:color w:val="000000" w:themeColor="text1"/>
                <w:sz w:val="22"/>
                <w:szCs w:val="22"/>
              </w:rPr>
              <w:t>Proposta de alteração</w:t>
            </w:r>
          </w:p>
        </w:tc>
        <w:tc>
          <w:tcPr>
            <w:tcW w:w="1444" w:type="pct"/>
            <w:tcBorders>
              <w:bottom w:val="dashSmallGap" w:sz="4" w:space="0" w:color="BFBFBF" w:themeColor="background1" w:themeShade="BF"/>
            </w:tcBorders>
            <w:vAlign w:val="center"/>
          </w:tcPr>
          <w:p w14:paraId="2C2D0392" w14:textId="77777777" w:rsidR="006E3142" w:rsidRPr="00054F04" w:rsidRDefault="006E3142" w:rsidP="000C0894">
            <w:pPr>
              <w:pStyle w:val="Caption"/>
              <w:jc w:val="center"/>
              <w:rPr>
                <w:rFonts w:cs="Arial"/>
                <w:b/>
                <w:color w:val="000000" w:themeColor="text1"/>
                <w:sz w:val="22"/>
                <w:szCs w:val="22"/>
              </w:rPr>
            </w:pPr>
            <w:r w:rsidRPr="00054F04">
              <w:rPr>
                <w:rFonts w:cs="Arial"/>
                <w:b/>
                <w:color w:val="000000" w:themeColor="text1"/>
                <w:sz w:val="22"/>
                <w:szCs w:val="22"/>
              </w:rPr>
              <w:t>Justificativa</w:t>
            </w:r>
          </w:p>
        </w:tc>
      </w:tr>
      <w:tr w:rsidR="0051798F" w:rsidRPr="00054F04" w14:paraId="57020B91" w14:textId="77777777" w:rsidTr="00864380">
        <w:trPr>
          <w:trHeight w:val="2268"/>
        </w:trPr>
        <w:tc>
          <w:tcPr>
            <w:tcW w:w="529" w:type="pct"/>
            <w:vAlign w:val="center"/>
          </w:tcPr>
          <w:p w14:paraId="11F3BF24" w14:textId="04829325" w:rsidR="0051798F" w:rsidRPr="00054F04" w:rsidRDefault="0051798F" w:rsidP="00B531C7">
            <w:pPr>
              <w:pStyle w:val="Caption"/>
              <w:jc w:val="center"/>
              <w:rPr>
                <w:rFonts w:cs="Arial"/>
                <w:color w:val="000000" w:themeColor="text1"/>
                <w:sz w:val="22"/>
                <w:szCs w:val="22"/>
              </w:rPr>
            </w:pPr>
            <w:r>
              <w:rPr>
                <w:rFonts w:cs="Arial"/>
                <w:color w:val="000000" w:themeColor="text1"/>
                <w:sz w:val="22"/>
                <w:szCs w:val="22"/>
              </w:rPr>
              <w:t>Edital</w:t>
            </w:r>
          </w:p>
        </w:tc>
        <w:tc>
          <w:tcPr>
            <w:tcW w:w="682" w:type="pct"/>
            <w:vAlign w:val="center"/>
          </w:tcPr>
          <w:p w14:paraId="4EF88F09" w14:textId="137929B4" w:rsidR="0051798F" w:rsidRPr="00054F04" w:rsidRDefault="009A72DC" w:rsidP="00B531C7">
            <w:pPr>
              <w:pStyle w:val="Caption"/>
              <w:jc w:val="center"/>
              <w:rPr>
                <w:rFonts w:cs="Arial"/>
                <w:color w:val="000000" w:themeColor="text1"/>
                <w:sz w:val="22"/>
                <w:szCs w:val="22"/>
              </w:rPr>
            </w:pPr>
            <w:r>
              <w:rPr>
                <w:rFonts w:cs="Arial"/>
                <w:color w:val="000000" w:themeColor="text1"/>
                <w:sz w:val="22"/>
                <w:szCs w:val="22"/>
              </w:rPr>
              <w:t>Alteração</w:t>
            </w:r>
          </w:p>
        </w:tc>
        <w:tc>
          <w:tcPr>
            <w:tcW w:w="513" w:type="pct"/>
            <w:vAlign w:val="center"/>
          </w:tcPr>
          <w:p w14:paraId="309426A2" w14:textId="2A41AB6B" w:rsidR="0051798F" w:rsidRPr="00054F04" w:rsidRDefault="009A72DC" w:rsidP="00B531C7">
            <w:pPr>
              <w:pStyle w:val="Caption"/>
              <w:jc w:val="center"/>
              <w:rPr>
                <w:rFonts w:cs="Arial"/>
                <w:sz w:val="22"/>
                <w:szCs w:val="22"/>
              </w:rPr>
            </w:pPr>
            <w:r>
              <w:rPr>
                <w:rFonts w:cs="Arial"/>
                <w:sz w:val="22"/>
                <w:szCs w:val="22"/>
              </w:rPr>
              <w:t>1.3</w:t>
            </w:r>
          </w:p>
        </w:tc>
        <w:tc>
          <w:tcPr>
            <w:tcW w:w="1832" w:type="pct"/>
            <w:vAlign w:val="center"/>
          </w:tcPr>
          <w:p w14:paraId="3E9AF0F0" w14:textId="704F9EA8" w:rsidR="0051798F" w:rsidRPr="00054F04" w:rsidRDefault="009A72DC" w:rsidP="00D015B0">
            <w:pPr>
              <w:pStyle w:val="CTOAsubpargrafo"/>
              <w:numPr>
                <w:ilvl w:val="0"/>
                <w:numId w:val="0"/>
              </w:numPr>
              <w:spacing w:before="120" w:after="120" w:line="240" w:lineRule="auto"/>
              <w:jc w:val="left"/>
              <w:rPr>
                <w:rFonts w:cs="Arial"/>
                <w:color w:val="000000" w:themeColor="text1"/>
                <w:szCs w:val="22"/>
                <w:lang w:val="pt-BR"/>
              </w:rPr>
            </w:pPr>
            <w:r w:rsidRPr="009A72DC">
              <w:rPr>
                <w:rFonts w:cs="Arial"/>
                <w:color w:val="000000" w:themeColor="text1"/>
                <w:szCs w:val="22"/>
                <w:lang w:val="pt-BR"/>
              </w:rPr>
              <w:t>Para os blocos em que a Petrobras exerceu seu direito de preferência em atuar como operadora e o excedente em óleo para a União da oferta vencedora for superior ao mínimo estabelecido no edital, a Petrobras deverá, na sessão pública de apresentação de ofertas, manifestar seu interesse em compor o consórcio que assinará o contrato</w:t>
            </w:r>
            <w:r>
              <w:rPr>
                <w:rFonts w:cs="Arial"/>
                <w:color w:val="000000" w:themeColor="text1"/>
                <w:szCs w:val="22"/>
                <w:lang w:val="pt-BR"/>
              </w:rPr>
              <w:t xml:space="preserve">, sendo certo que a Petrobras, caso decida </w:t>
            </w:r>
            <w:r w:rsidRPr="009A72DC">
              <w:rPr>
                <w:rFonts w:cs="Arial"/>
                <w:color w:val="000000" w:themeColor="text1"/>
                <w:szCs w:val="22"/>
                <w:lang w:val="pt-BR"/>
              </w:rPr>
              <w:t>compor o consórcio que assinará o contrato</w:t>
            </w:r>
            <w:r>
              <w:rPr>
                <w:rFonts w:cs="Arial"/>
                <w:color w:val="000000" w:themeColor="text1"/>
                <w:szCs w:val="22"/>
                <w:lang w:val="pt-BR"/>
              </w:rPr>
              <w:t xml:space="preserve">, deverá aderir à proposta vencedora e </w:t>
            </w:r>
            <w:r w:rsidR="007C0A74">
              <w:rPr>
                <w:rFonts w:cs="Arial"/>
                <w:color w:val="000000" w:themeColor="text1"/>
                <w:szCs w:val="22"/>
                <w:lang w:val="pt-BR"/>
              </w:rPr>
              <w:t>a</w:t>
            </w:r>
            <w:r>
              <w:rPr>
                <w:rFonts w:cs="Arial"/>
                <w:color w:val="000000" w:themeColor="text1"/>
                <w:szCs w:val="22"/>
                <w:lang w:val="pt-BR"/>
              </w:rPr>
              <w:t xml:space="preserve">os termos e condições dos documentos particulares firmados </w:t>
            </w:r>
            <w:r w:rsidR="00D015B0">
              <w:rPr>
                <w:rFonts w:cs="Arial"/>
                <w:color w:val="000000" w:themeColor="text1"/>
                <w:szCs w:val="22"/>
                <w:lang w:val="pt-BR"/>
              </w:rPr>
              <w:t>entre os</w:t>
            </w:r>
            <w:r>
              <w:rPr>
                <w:rFonts w:cs="Arial"/>
                <w:color w:val="000000" w:themeColor="text1"/>
                <w:szCs w:val="22"/>
                <w:lang w:val="pt-BR"/>
              </w:rPr>
              <w:t xml:space="preserve"> membros do consórcio </w:t>
            </w:r>
            <w:r w:rsidR="00734D4E">
              <w:rPr>
                <w:rFonts w:cs="Arial"/>
                <w:color w:val="000000" w:themeColor="text1"/>
                <w:szCs w:val="22"/>
                <w:lang w:val="pt-BR"/>
              </w:rPr>
              <w:t xml:space="preserve">vencedor </w:t>
            </w:r>
            <w:r w:rsidR="00D015B0">
              <w:rPr>
                <w:rFonts w:cs="Arial"/>
                <w:color w:val="000000" w:themeColor="text1"/>
                <w:szCs w:val="22"/>
                <w:lang w:val="pt-BR"/>
              </w:rPr>
              <w:t xml:space="preserve">e </w:t>
            </w:r>
            <w:r>
              <w:rPr>
                <w:rFonts w:cs="Arial"/>
                <w:color w:val="000000" w:themeColor="text1"/>
                <w:szCs w:val="22"/>
                <w:lang w:val="pt-BR"/>
              </w:rPr>
              <w:t xml:space="preserve">que regem </w:t>
            </w:r>
            <w:r w:rsidR="007C0A74">
              <w:rPr>
                <w:rFonts w:cs="Arial"/>
                <w:color w:val="000000" w:themeColor="text1"/>
                <w:szCs w:val="22"/>
                <w:lang w:val="pt-BR"/>
              </w:rPr>
              <w:t xml:space="preserve">sua </w:t>
            </w:r>
            <w:r>
              <w:rPr>
                <w:rFonts w:cs="Arial"/>
                <w:color w:val="000000" w:themeColor="text1"/>
                <w:szCs w:val="22"/>
                <w:lang w:val="pt-BR"/>
              </w:rPr>
              <w:t xml:space="preserve">participação </w:t>
            </w:r>
            <w:r w:rsidR="007C0A74">
              <w:rPr>
                <w:rFonts w:cs="Arial"/>
                <w:color w:val="000000" w:themeColor="text1"/>
                <w:szCs w:val="22"/>
                <w:lang w:val="pt-BR"/>
              </w:rPr>
              <w:t>na licitação</w:t>
            </w:r>
            <w:r w:rsidR="007C0A74">
              <w:rPr>
                <w:lang w:val="pt-BR"/>
              </w:rPr>
              <w:t xml:space="preserve"> e nas futuras operações sob o contrato, conforme aplicável</w:t>
            </w:r>
            <w:r w:rsidRPr="009A72DC">
              <w:rPr>
                <w:rFonts w:cs="Arial"/>
                <w:color w:val="000000" w:themeColor="text1"/>
                <w:szCs w:val="22"/>
                <w:lang w:val="pt-BR"/>
              </w:rPr>
              <w:t>. O disposto neste parágrafo não se aplica caso a Petrobras seja a licitante vencedora, isoladamente ou em consórcio.</w:t>
            </w:r>
          </w:p>
        </w:tc>
        <w:tc>
          <w:tcPr>
            <w:tcW w:w="1444" w:type="pct"/>
            <w:vAlign w:val="center"/>
          </w:tcPr>
          <w:p w14:paraId="591A0A17" w14:textId="1D3ED1B8" w:rsidR="0051798F" w:rsidRPr="00054F04" w:rsidRDefault="007C0A74" w:rsidP="00D015B0">
            <w:pPr>
              <w:pStyle w:val="CTOAsubpargrafo"/>
              <w:numPr>
                <w:ilvl w:val="0"/>
                <w:numId w:val="0"/>
              </w:numPr>
              <w:spacing w:before="120" w:after="120" w:line="240" w:lineRule="auto"/>
              <w:jc w:val="left"/>
              <w:rPr>
                <w:rFonts w:cs="Arial"/>
                <w:color w:val="000000" w:themeColor="text1"/>
                <w:szCs w:val="22"/>
                <w:lang w:val="pt-BR"/>
              </w:rPr>
            </w:pPr>
            <w:r>
              <w:rPr>
                <w:rFonts w:cs="Arial"/>
                <w:color w:val="000000" w:themeColor="text1"/>
                <w:szCs w:val="22"/>
                <w:lang w:val="pt-BR"/>
              </w:rPr>
              <w:t xml:space="preserve">Conforme prática internacional e brasileira, todos os consorciados, para fins de participação na licitação, terão firmado acordos, como </w:t>
            </w:r>
            <w:r w:rsidRPr="007C0A74">
              <w:rPr>
                <w:rFonts w:cs="Arial"/>
                <w:i/>
                <w:color w:val="000000" w:themeColor="text1"/>
                <w:szCs w:val="22"/>
                <w:lang w:val="pt-BR"/>
              </w:rPr>
              <w:t>Joint Bidding Agreements</w:t>
            </w:r>
            <w:r w:rsidR="00D015B0">
              <w:rPr>
                <w:rFonts w:cs="Arial"/>
                <w:color w:val="000000" w:themeColor="text1"/>
                <w:szCs w:val="22"/>
                <w:lang w:val="pt-BR"/>
              </w:rPr>
              <w:t>,</w:t>
            </w:r>
            <w:r>
              <w:rPr>
                <w:rFonts w:cs="Arial"/>
                <w:color w:val="000000" w:themeColor="text1"/>
                <w:szCs w:val="22"/>
                <w:lang w:val="pt-BR"/>
              </w:rPr>
              <w:t xml:space="preserve"> para reger seus direitos e obrigações relacionados aos certamente, e que estabelecem também princípios para o futuro acordo de operações conjuntas, conforme aplicável. Dessa forma, o propósito dessa alteração é deixar claro que a Petrobras deverá respeitar tais acordos firmados pelo consorciados vencedores, não podendo prejudicar os direitos e obrigações acordados anteriormente à entrada da Petrobras no consórcio vencedor.</w:t>
            </w:r>
            <w:r w:rsidR="00D015B0">
              <w:rPr>
                <w:rFonts w:cs="Arial"/>
                <w:color w:val="000000" w:themeColor="text1"/>
                <w:szCs w:val="22"/>
                <w:lang w:val="pt-BR"/>
              </w:rPr>
              <w:t xml:space="preserve"> O consórcio vencedor não pode ser prejudicado pelo exercício desse direito </w:t>
            </w:r>
            <w:r w:rsidR="00734D4E">
              <w:rPr>
                <w:rFonts w:cs="Arial"/>
                <w:color w:val="000000" w:themeColor="text1"/>
                <w:szCs w:val="22"/>
                <w:lang w:val="pt-BR"/>
              </w:rPr>
              <w:t xml:space="preserve">legal </w:t>
            </w:r>
            <w:r w:rsidR="00D015B0">
              <w:rPr>
                <w:rFonts w:cs="Arial"/>
                <w:color w:val="000000" w:themeColor="text1"/>
                <w:szCs w:val="22"/>
                <w:lang w:val="pt-BR"/>
              </w:rPr>
              <w:t xml:space="preserve">da Petrobras, que é </w:t>
            </w:r>
            <w:r w:rsidR="00D015B0">
              <w:rPr>
                <w:rFonts w:cs="Arial"/>
                <w:color w:val="000000" w:themeColor="text1"/>
                <w:szCs w:val="22"/>
                <w:lang w:val="pt-BR"/>
              </w:rPr>
              <w:lastRenderedPageBreak/>
              <w:t>extraordinário e sem precedentes na prática mundial.</w:t>
            </w:r>
          </w:p>
        </w:tc>
      </w:tr>
      <w:tr w:rsidR="00B531C7" w:rsidRPr="00054F04" w14:paraId="00F3F422" w14:textId="77777777" w:rsidTr="00864380">
        <w:trPr>
          <w:trHeight w:val="2268"/>
        </w:trPr>
        <w:tc>
          <w:tcPr>
            <w:tcW w:w="529" w:type="pct"/>
            <w:vAlign w:val="center"/>
          </w:tcPr>
          <w:p w14:paraId="45022167" w14:textId="77777777" w:rsidR="00B531C7" w:rsidRPr="00054F04" w:rsidRDefault="00B531C7" w:rsidP="00B531C7">
            <w:pPr>
              <w:pStyle w:val="Caption"/>
              <w:jc w:val="center"/>
              <w:rPr>
                <w:rFonts w:cs="Arial"/>
                <w:color w:val="000000" w:themeColor="text1"/>
                <w:sz w:val="22"/>
                <w:szCs w:val="22"/>
              </w:rPr>
            </w:pPr>
            <w:r w:rsidRPr="00054F04">
              <w:rPr>
                <w:rFonts w:cs="Arial"/>
                <w:color w:val="000000" w:themeColor="text1"/>
                <w:sz w:val="22"/>
                <w:szCs w:val="22"/>
              </w:rPr>
              <w:lastRenderedPageBreak/>
              <w:t>Minuta do contrato</w:t>
            </w:r>
          </w:p>
        </w:tc>
        <w:tc>
          <w:tcPr>
            <w:tcW w:w="682" w:type="pct"/>
            <w:vAlign w:val="center"/>
          </w:tcPr>
          <w:p w14:paraId="7DC84AD3" w14:textId="77777777" w:rsidR="00B531C7" w:rsidRPr="00054F04" w:rsidRDefault="00B531C7" w:rsidP="00B531C7">
            <w:pPr>
              <w:pStyle w:val="Caption"/>
              <w:jc w:val="center"/>
              <w:rPr>
                <w:rFonts w:cs="Arial"/>
                <w:color w:val="000000" w:themeColor="text1"/>
                <w:sz w:val="22"/>
                <w:szCs w:val="22"/>
              </w:rPr>
            </w:pPr>
            <w:r w:rsidRPr="00054F04">
              <w:rPr>
                <w:rFonts w:cs="Arial"/>
                <w:color w:val="000000" w:themeColor="text1"/>
                <w:sz w:val="22"/>
                <w:szCs w:val="22"/>
              </w:rPr>
              <w:t>Inclusão</w:t>
            </w:r>
          </w:p>
        </w:tc>
        <w:tc>
          <w:tcPr>
            <w:tcW w:w="513" w:type="pct"/>
            <w:vAlign w:val="center"/>
          </w:tcPr>
          <w:p w14:paraId="07EB7BC3" w14:textId="77777777" w:rsidR="00B531C7" w:rsidRPr="00054F04" w:rsidRDefault="00B531C7" w:rsidP="00B531C7">
            <w:pPr>
              <w:pStyle w:val="Caption"/>
              <w:jc w:val="center"/>
              <w:rPr>
                <w:rFonts w:cs="Arial"/>
                <w:color w:val="000000" w:themeColor="text1"/>
                <w:sz w:val="22"/>
                <w:szCs w:val="22"/>
              </w:rPr>
            </w:pPr>
            <w:r w:rsidRPr="00054F04">
              <w:rPr>
                <w:rFonts w:cs="Arial"/>
                <w:sz w:val="22"/>
                <w:szCs w:val="22"/>
              </w:rPr>
              <w:t>1.2</w:t>
            </w:r>
            <w:r w:rsidR="00524057" w:rsidRPr="00054F04">
              <w:rPr>
                <w:rFonts w:cs="Arial"/>
                <w:sz w:val="22"/>
                <w:szCs w:val="22"/>
              </w:rPr>
              <w:t>.(25)</w:t>
            </w:r>
          </w:p>
        </w:tc>
        <w:tc>
          <w:tcPr>
            <w:tcW w:w="1832" w:type="pct"/>
            <w:vAlign w:val="center"/>
          </w:tcPr>
          <w:p w14:paraId="6FF7AC19" w14:textId="77777777" w:rsidR="00B531C7" w:rsidRPr="00054F04" w:rsidRDefault="00B531C7" w:rsidP="00B531C7">
            <w:pPr>
              <w:pStyle w:val="CTOAsubpargrafo"/>
              <w:numPr>
                <w:ilvl w:val="0"/>
                <w:numId w:val="0"/>
              </w:numPr>
              <w:spacing w:before="120" w:after="120" w:line="240" w:lineRule="auto"/>
              <w:jc w:val="left"/>
              <w:rPr>
                <w:rFonts w:cs="Arial"/>
                <w:color w:val="000000" w:themeColor="text1"/>
                <w:szCs w:val="22"/>
                <w:lang w:val="pt-BR"/>
              </w:rPr>
            </w:pPr>
            <w:r w:rsidRPr="00054F04">
              <w:rPr>
                <w:rFonts w:cs="Arial"/>
                <w:color w:val="000000" w:themeColor="text1"/>
                <w:szCs w:val="22"/>
                <w:lang w:val="pt-BR"/>
              </w:rPr>
              <w:t>Força Maior: “Caso Fortuito” ou “Força Maior” conforme definido no Artigo 393 do Código Civil Brasileiro</w:t>
            </w:r>
            <w:r w:rsidRPr="00054F04">
              <w:rPr>
                <w:rFonts w:cs="Arial"/>
                <w:szCs w:val="22"/>
                <w:lang w:val="pt-BR"/>
              </w:rPr>
              <w:t>, e causas similares que prejudiquem a execução, como o fato da administração, o fato do príncipe e as interferências imprevistas</w:t>
            </w:r>
            <w:r w:rsidRPr="00054F04">
              <w:rPr>
                <w:rFonts w:cs="Arial"/>
                <w:color w:val="000000" w:themeColor="text1"/>
                <w:szCs w:val="22"/>
                <w:lang w:val="pt-BR"/>
              </w:rPr>
              <w:t>.</w:t>
            </w:r>
          </w:p>
        </w:tc>
        <w:tc>
          <w:tcPr>
            <w:tcW w:w="1444" w:type="pct"/>
            <w:vAlign w:val="center"/>
          </w:tcPr>
          <w:p w14:paraId="0B922722" w14:textId="77777777" w:rsidR="00B531C7" w:rsidRPr="00054F04" w:rsidRDefault="00B531C7" w:rsidP="00B531C7">
            <w:pPr>
              <w:pStyle w:val="CTOAsubpargrafo"/>
              <w:numPr>
                <w:ilvl w:val="0"/>
                <w:numId w:val="0"/>
              </w:numPr>
              <w:spacing w:before="120" w:after="120" w:line="240" w:lineRule="auto"/>
              <w:ind w:firstLine="17"/>
              <w:jc w:val="left"/>
              <w:rPr>
                <w:rFonts w:cs="Arial"/>
                <w:color w:val="000000" w:themeColor="text1"/>
                <w:szCs w:val="22"/>
                <w:lang w:val="pt-BR"/>
              </w:rPr>
            </w:pPr>
            <w:r w:rsidRPr="00054F04">
              <w:rPr>
                <w:rFonts w:cs="Arial"/>
                <w:color w:val="000000" w:themeColor="text1"/>
                <w:szCs w:val="22"/>
                <w:lang w:val="pt-BR"/>
              </w:rPr>
              <w:t>O Contrato deve ser consistente com o conceito de Força Maior do Código Civil Brasileiro e é importante definir o termo para f</w:t>
            </w:r>
            <w:r w:rsidR="00524057" w:rsidRPr="00054F04">
              <w:rPr>
                <w:rFonts w:cs="Arial"/>
                <w:color w:val="000000" w:themeColor="text1"/>
                <w:szCs w:val="22"/>
                <w:lang w:val="pt-BR"/>
              </w:rPr>
              <w:t>ins de clareza. O termo iniciado por letra maiúscula</w:t>
            </w:r>
            <w:r w:rsidRPr="00054F04">
              <w:rPr>
                <w:rFonts w:cs="Arial"/>
                <w:color w:val="000000" w:themeColor="text1"/>
                <w:szCs w:val="22"/>
                <w:lang w:val="pt-BR"/>
              </w:rPr>
              <w:t xml:space="preserve"> de</w:t>
            </w:r>
            <w:r w:rsidR="00524057" w:rsidRPr="00054F04">
              <w:rPr>
                <w:rFonts w:cs="Arial"/>
                <w:color w:val="000000" w:themeColor="text1"/>
                <w:szCs w:val="22"/>
                <w:lang w:val="pt-BR"/>
              </w:rPr>
              <w:t>ve</w:t>
            </w:r>
            <w:r w:rsidRPr="00054F04">
              <w:rPr>
                <w:rFonts w:cs="Arial"/>
                <w:color w:val="000000" w:themeColor="text1"/>
                <w:szCs w:val="22"/>
                <w:lang w:val="pt-BR"/>
              </w:rPr>
              <w:t xml:space="preserve"> ser utilizado ao longo do Contrato.</w:t>
            </w:r>
          </w:p>
        </w:tc>
      </w:tr>
      <w:tr w:rsidR="00BA709C" w:rsidRPr="00054F04" w14:paraId="4AD0A975" w14:textId="77777777" w:rsidTr="00864380">
        <w:trPr>
          <w:trHeight w:val="838"/>
        </w:trPr>
        <w:tc>
          <w:tcPr>
            <w:tcW w:w="529" w:type="pct"/>
            <w:vAlign w:val="center"/>
          </w:tcPr>
          <w:p w14:paraId="29E97958" w14:textId="77777777" w:rsidR="00BA709C" w:rsidRPr="0094236C" w:rsidDel="003872E7" w:rsidRDefault="00BA709C" w:rsidP="00BA709C">
            <w:pPr>
              <w:pStyle w:val="Caption"/>
              <w:spacing w:before="120" w:after="120"/>
              <w:jc w:val="center"/>
              <w:rPr>
                <w:rFonts w:cs="Arial"/>
                <w:color w:val="000000" w:themeColor="text1"/>
                <w:sz w:val="22"/>
                <w:szCs w:val="22"/>
              </w:rPr>
            </w:pPr>
            <w:r w:rsidRPr="0094236C">
              <w:rPr>
                <w:rFonts w:cs="Arial"/>
                <w:color w:val="000000" w:themeColor="text1"/>
                <w:sz w:val="22"/>
                <w:szCs w:val="22"/>
              </w:rPr>
              <w:t>Minuta do contrato</w:t>
            </w:r>
          </w:p>
        </w:tc>
        <w:tc>
          <w:tcPr>
            <w:tcW w:w="682" w:type="pct"/>
            <w:vAlign w:val="center"/>
          </w:tcPr>
          <w:p w14:paraId="7CE0F943" w14:textId="77777777" w:rsidR="00BA709C" w:rsidRPr="0094236C" w:rsidDel="00840D1D" w:rsidRDefault="00BA709C" w:rsidP="00BA709C">
            <w:pPr>
              <w:pStyle w:val="Caption"/>
              <w:spacing w:before="120" w:after="120"/>
              <w:jc w:val="center"/>
              <w:rPr>
                <w:rFonts w:cs="Arial"/>
                <w:color w:val="000000" w:themeColor="text1"/>
                <w:sz w:val="22"/>
                <w:szCs w:val="22"/>
              </w:rPr>
            </w:pPr>
            <w:r w:rsidRPr="0094236C">
              <w:rPr>
                <w:rFonts w:cs="Arial"/>
                <w:color w:val="000000" w:themeColor="text1"/>
                <w:sz w:val="22"/>
                <w:szCs w:val="22"/>
              </w:rPr>
              <w:t>Inclusão</w:t>
            </w:r>
          </w:p>
        </w:tc>
        <w:tc>
          <w:tcPr>
            <w:tcW w:w="513" w:type="pct"/>
            <w:vAlign w:val="center"/>
          </w:tcPr>
          <w:p w14:paraId="5DC771F1" w14:textId="77777777" w:rsidR="00BA709C" w:rsidRPr="0094236C" w:rsidDel="003872E7" w:rsidRDefault="00BA709C" w:rsidP="00BA709C">
            <w:pPr>
              <w:pStyle w:val="Caption"/>
              <w:jc w:val="center"/>
              <w:rPr>
                <w:rFonts w:cs="Arial"/>
                <w:sz w:val="22"/>
                <w:szCs w:val="22"/>
              </w:rPr>
            </w:pPr>
            <w:bookmarkStart w:id="0" w:name="_GoBack"/>
            <w:bookmarkEnd w:id="0"/>
            <w:r w:rsidRPr="0094236C">
              <w:rPr>
                <w:rFonts w:cs="Arial"/>
                <w:sz w:val="22"/>
                <w:szCs w:val="22"/>
              </w:rPr>
              <w:t>1.2(.39)</w:t>
            </w:r>
          </w:p>
        </w:tc>
        <w:tc>
          <w:tcPr>
            <w:tcW w:w="1832" w:type="pct"/>
            <w:vAlign w:val="center"/>
          </w:tcPr>
          <w:p w14:paraId="476B10AE" w14:textId="77777777" w:rsidR="00BA709C" w:rsidRPr="0094236C" w:rsidDel="003872E7" w:rsidRDefault="00BA709C" w:rsidP="00BA709C">
            <w:pPr>
              <w:pStyle w:val="CTOAsubpargrafo"/>
              <w:numPr>
                <w:ilvl w:val="0"/>
                <w:numId w:val="0"/>
              </w:numPr>
              <w:spacing w:before="120" w:after="120" w:line="240" w:lineRule="auto"/>
              <w:jc w:val="left"/>
              <w:rPr>
                <w:rFonts w:cs="Arial"/>
                <w:szCs w:val="22"/>
                <w:lang w:val="pt-BR"/>
              </w:rPr>
            </w:pPr>
            <w:r w:rsidRPr="0094236C">
              <w:rPr>
                <w:rFonts w:cs="Arial"/>
                <w:color w:val="000000" w:themeColor="text1"/>
                <w:szCs w:val="22"/>
                <w:lang w:val="pt-BR"/>
              </w:rPr>
              <w:t>Ponto de Medição: para Petróleo e Gás Natural, o ponto de transferência de custódia onde o Petróleo e o Gás Natural são medidos para determinação de Royalties e alocação dos volumes de Petróleo e Gás Natural a serem entregues para as Partes, e onde a propriedade e o risco de perda do Petróleo e Gás Natural são transferidos para a Parte que fizer o levantamento, cuja localização é especificada no Plano de Desenvolvimento aprovado. Para fins da legislação, o mesmo Ponto de Entrega será considerado tanto como o Ponto de Medição e como o Ponto de Partilha de Produção, conforme definidos na Lei nº 12.351/2010.</w:t>
            </w:r>
          </w:p>
        </w:tc>
        <w:tc>
          <w:tcPr>
            <w:tcW w:w="1444" w:type="pct"/>
            <w:vAlign w:val="center"/>
          </w:tcPr>
          <w:p w14:paraId="716BACCA" w14:textId="77777777" w:rsidR="00BA709C" w:rsidRPr="0094236C" w:rsidDel="00840D1D" w:rsidRDefault="00BA709C" w:rsidP="00BA709C">
            <w:pPr>
              <w:pStyle w:val="Caption"/>
              <w:jc w:val="both"/>
              <w:rPr>
                <w:rFonts w:cs="Arial"/>
                <w:color w:val="000000" w:themeColor="text1"/>
                <w:sz w:val="22"/>
                <w:szCs w:val="22"/>
              </w:rPr>
            </w:pPr>
            <w:r w:rsidRPr="0094236C">
              <w:rPr>
                <w:rFonts w:cs="Arial"/>
                <w:sz w:val="22"/>
                <w:szCs w:val="22"/>
              </w:rPr>
              <w:t>A sugestão torna o ponto de medição e ponto de partilha de produção consistentes com as Melhores Práticas da Indústria do Petróleo e com outros Contratos de Partilha utilizados globalmente. A nova definição deverá ser replicada ao longo do Contrato.</w:t>
            </w:r>
          </w:p>
        </w:tc>
      </w:tr>
      <w:tr w:rsidR="00BA709C" w:rsidRPr="00054F04" w14:paraId="2ABA6124" w14:textId="77777777" w:rsidTr="00864380">
        <w:trPr>
          <w:trHeight w:val="2268"/>
        </w:trPr>
        <w:tc>
          <w:tcPr>
            <w:tcW w:w="529" w:type="pct"/>
            <w:vAlign w:val="center"/>
          </w:tcPr>
          <w:p w14:paraId="4201D2E2"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lastRenderedPageBreak/>
              <w:t>Minuta do contrato</w:t>
            </w:r>
          </w:p>
        </w:tc>
        <w:tc>
          <w:tcPr>
            <w:tcW w:w="682" w:type="pct"/>
            <w:vAlign w:val="center"/>
          </w:tcPr>
          <w:p w14:paraId="5B03F8B9" w14:textId="77777777" w:rsidR="00BA709C" w:rsidRPr="00054F04" w:rsidRDefault="00BA709C" w:rsidP="00BA709C">
            <w:pPr>
              <w:pStyle w:val="Caption"/>
              <w:spacing w:before="120" w:after="120"/>
              <w:jc w:val="center"/>
              <w:rPr>
                <w:rFonts w:cs="Arial"/>
                <w:color w:val="000000" w:themeColor="text1"/>
                <w:sz w:val="22"/>
                <w:szCs w:val="22"/>
              </w:rPr>
            </w:pPr>
            <w:r>
              <w:rPr>
                <w:rFonts w:cs="Arial"/>
                <w:color w:val="000000" w:themeColor="text1"/>
                <w:sz w:val="22"/>
                <w:szCs w:val="22"/>
              </w:rPr>
              <w:t>Alteração</w:t>
            </w:r>
          </w:p>
        </w:tc>
        <w:tc>
          <w:tcPr>
            <w:tcW w:w="513" w:type="pct"/>
            <w:vAlign w:val="center"/>
          </w:tcPr>
          <w:p w14:paraId="4269BC21" w14:textId="77777777" w:rsidR="00BA709C" w:rsidRPr="00054F04" w:rsidRDefault="00BA709C" w:rsidP="00BA709C">
            <w:pPr>
              <w:pStyle w:val="Caption"/>
              <w:jc w:val="center"/>
              <w:rPr>
                <w:rFonts w:cs="Arial"/>
                <w:color w:val="000000" w:themeColor="text1"/>
                <w:sz w:val="22"/>
                <w:szCs w:val="22"/>
              </w:rPr>
            </w:pPr>
            <w:r w:rsidRPr="00054F04">
              <w:rPr>
                <w:rFonts w:cs="Arial"/>
                <w:color w:val="000000" w:themeColor="text1"/>
                <w:sz w:val="22"/>
                <w:szCs w:val="22"/>
              </w:rPr>
              <w:t>1.2.42</w:t>
            </w:r>
          </w:p>
        </w:tc>
        <w:tc>
          <w:tcPr>
            <w:tcW w:w="1832" w:type="pct"/>
            <w:vAlign w:val="center"/>
          </w:tcPr>
          <w:p w14:paraId="6D631F8B" w14:textId="77777777" w:rsidR="00BA709C" w:rsidRPr="00054F04" w:rsidRDefault="00BA709C" w:rsidP="009E5CD3">
            <w:pPr>
              <w:pStyle w:val="Caption"/>
              <w:spacing w:before="120" w:after="120"/>
              <w:rPr>
                <w:rFonts w:cs="Arial"/>
                <w:color w:val="000000" w:themeColor="text1"/>
                <w:sz w:val="22"/>
                <w:szCs w:val="22"/>
              </w:rPr>
            </w:pPr>
            <w:r w:rsidRPr="00054F04">
              <w:rPr>
                <w:rFonts w:cs="Arial"/>
                <w:color w:val="000000" w:themeColor="text1"/>
                <w:sz w:val="22"/>
                <w:szCs w:val="22"/>
              </w:rPr>
              <w:t xml:space="preserve">Programa de Desativação das Instalações: o plano para cada Área de Desenvolvimento para o abandono de estruturas, construções, dutos, poços, ou outras instalações de produção construídas e/ou operadas pelo Contratado dentro de tal Área de Desenvolvimento, </w:t>
            </w:r>
            <w:r w:rsidR="009E5CD3">
              <w:rPr>
                <w:rFonts w:cs="Arial"/>
                <w:color w:val="000000" w:themeColor="text1"/>
                <w:sz w:val="22"/>
                <w:szCs w:val="22"/>
              </w:rPr>
              <w:t>conforme detalhado na Cláusula 14.5.</w:t>
            </w:r>
          </w:p>
        </w:tc>
        <w:tc>
          <w:tcPr>
            <w:tcW w:w="1444" w:type="pct"/>
            <w:vAlign w:val="center"/>
          </w:tcPr>
          <w:p w14:paraId="0EBE045F" w14:textId="77777777" w:rsidR="00BA709C" w:rsidRPr="00054F04" w:rsidRDefault="00BA709C" w:rsidP="00BA709C">
            <w:pPr>
              <w:numPr>
                <w:ilvl w:val="3"/>
                <w:numId w:val="0"/>
              </w:numPr>
              <w:spacing w:before="120" w:after="120"/>
              <w:rPr>
                <w:rFonts w:ascii="Arial" w:hAnsi="Arial" w:cs="Arial"/>
                <w:color w:val="000000" w:themeColor="text1"/>
                <w:sz w:val="22"/>
                <w:szCs w:val="22"/>
              </w:rPr>
            </w:pPr>
            <w:r w:rsidRPr="00054F04">
              <w:rPr>
                <w:rFonts w:ascii="Arial" w:hAnsi="Arial" w:cs="Arial"/>
                <w:color w:val="000000" w:themeColor="text1"/>
                <w:sz w:val="22"/>
                <w:szCs w:val="22"/>
              </w:rPr>
              <w:t>As alterações fazem com que o programa de desativação seja consistente com as Melhores Práticas da Indústria do Petróleo.</w:t>
            </w:r>
          </w:p>
        </w:tc>
      </w:tr>
      <w:tr w:rsidR="00BA709C" w:rsidRPr="00054F04" w14:paraId="027E0526" w14:textId="77777777" w:rsidTr="00864380">
        <w:trPr>
          <w:trHeight w:val="2268"/>
        </w:trPr>
        <w:tc>
          <w:tcPr>
            <w:tcW w:w="529" w:type="pct"/>
            <w:vAlign w:val="center"/>
          </w:tcPr>
          <w:p w14:paraId="4B2D777F"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Minuta do contrato</w:t>
            </w:r>
          </w:p>
        </w:tc>
        <w:tc>
          <w:tcPr>
            <w:tcW w:w="682" w:type="pct"/>
            <w:vAlign w:val="center"/>
          </w:tcPr>
          <w:p w14:paraId="2A4E1FAD"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Alteração</w:t>
            </w:r>
          </w:p>
        </w:tc>
        <w:tc>
          <w:tcPr>
            <w:tcW w:w="513" w:type="pct"/>
            <w:vAlign w:val="center"/>
          </w:tcPr>
          <w:p w14:paraId="1221EFD7" w14:textId="77777777" w:rsidR="00BA709C" w:rsidRPr="00482FDC" w:rsidRDefault="00BA709C" w:rsidP="00BA709C">
            <w:pPr>
              <w:pStyle w:val="Caption"/>
              <w:jc w:val="center"/>
              <w:rPr>
                <w:rFonts w:cs="Arial"/>
                <w:color w:val="000000" w:themeColor="text1"/>
                <w:sz w:val="22"/>
                <w:szCs w:val="22"/>
              </w:rPr>
            </w:pPr>
            <w:r w:rsidRPr="00482FDC">
              <w:rPr>
                <w:rFonts w:cs="Arial"/>
                <w:color w:val="000000" w:themeColor="text1"/>
                <w:sz w:val="22"/>
                <w:szCs w:val="22"/>
              </w:rPr>
              <w:t>2.4</w:t>
            </w:r>
          </w:p>
        </w:tc>
        <w:tc>
          <w:tcPr>
            <w:tcW w:w="1832" w:type="pct"/>
            <w:vAlign w:val="center"/>
          </w:tcPr>
          <w:p w14:paraId="3AFAC33A" w14:textId="77777777" w:rsidR="00BA709C" w:rsidRPr="00482FDC" w:rsidRDefault="00BA709C" w:rsidP="00750FF0">
            <w:pPr>
              <w:pStyle w:val="CTOAsubpargrafo"/>
              <w:numPr>
                <w:ilvl w:val="0"/>
                <w:numId w:val="0"/>
              </w:numPr>
              <w:spacing w:before="120" w:after="120" w:line="240" w:lineRule="auto"/>
              <w:jc w:val="left"/>
              <w:rPr>
                <w:rFonts w:cs="Arial"/>
                <w:szCs w:val="22"/>
                <w:lang w:val="pt-BR"/>
              </w:rPr>
            </w:pPr>
            <w:r w:rsidRPr="00482FDC">
              <w:rPr>
                <w:rFonts w:cs="Arial"/>
                <w:szCs w:val="22"/>
                <w:lang w:val="pt-BR"/>
              </w:rPr>
              <w:t xml:space="preserve">O Contratado é </w:t>
            </w:r>
            <w:r w:rsidR="00750FF0" w:rsidRPr="00482FDC">
              <w:rPr>
                <w:rFonts w:cs="Arial"/>
                <w:szCs w:val="22"/>
                <w:lang w:val="pt-BR"/>
              </w:rPr>
              <w:t xml:space="preserve">integral, </w:t>
            </w:r>
            <w:r w:rsidRPr="00482FDC">
              <w:rPr>
                <w:rFonts w:cs="Arial"/>
                <w:szCs w:val="22"/>
                <w:lang w:val="pt-BR"/>
              </w:rPr>
              <w:t>solid</w:t>
            </w:r>
            <w:r w:rsidR="00750FF0" w:rsidRPr="00482FDC">
              <w:rPr>
                <w:rFonts w:cs="Arial"/>
                <w:szCs w:val="22"/>
                <w:lang w:val="pt-BR"/>
              </w:rPr>
              <w:t xml:space="preserve">ária e objetivamente </w:t>
            </w:r>
            <w:r w:rsidRPr="00482FDC">
              <w:rPr>
                <w:rFonts w:cs="Arial"/>
                <w:szCs w:val="22"/>
                <w:lang w:val="pt-BR"/>
              </w:rPr>
              <w:t>responsável pelas perdas e danos causados, direta ou indiretamente, à Contratante, à ANP ou à Gestora em virtude da execução das Operações.</w:t>
            </w:r>
          </w:p>
        </w:tc>
        <w:tc>
          <w:tcPr>
            <w:tcW w:w="1444" w:type="pct"/>
            <w:vAlign w:val="center"/>
          </w:tcPr>
          <w:p w14:paraId="412063C8" w14:textId="56460A61" w:rsidR="00BA709C" w:rsidRPr="00054F04" w:rsidRDefault="00BA709C" w:rsidP="00BA709C">
            <w:pPr>
              <w:pStyle w:val="CTOAsubpargrafo"/>
              <w:numPr>
                <w:ilvl w:val="0"/>
                <w:numId w:val="0"/>
              </w:numPr>
              <w:spacing w:before="120" w:after="120" w:line="240" w:lineRule="auto"/>
              <w:ind w:firstLine="17"/>
              <w:jc w:val="left"/>
              <w:rPr>
                <w:rFonts w:cs="Arial"/>
                <w:szCs w:val="22"/>
                <w:lang w:val="pt-BR"/>
              </w:rPr>
            </w:pPr>
            <w:r w:rsidRPr="00054F04">
              <w:rPr>
                <w:rFonts w:cs="Arial"/>
                <w:szCs w:val="22"/>
                <w:lang w:val="pt-BR"/>
              </w:rPr>
              <w:t xml:space="preserve">A responsabilidade </w:t>
            </w:r>
            <w:r w:rsidR="00C26A8B">
              <w:rPr>
                <w:rFonts w:cs="Arial"/>
                <w:szCs w:val="22"/>
                <w:lang w:val="pt-BR"/>
              </w:rPr>
              <w:t xml:space="preserve">solidária e </w:t>
            </w:r>
            <w:r w:rsidRPr="00054F04">
              <w:rPr>
                <w:rFonts w:cs="Arial"/>
                <w:szCs w:val="22"/>
                <w:lang w:val="pt-BR"/>
              </w:rPr>
              <w:t xml:space="preserve">objetiva deve ser limitada somente aos casos previstos em lei. O Contrato de Partilha não pode impor responsabilidade </w:t>
            </w:r>
            <w:r w:rsidR="00C26A8B">
              <w:rPr>
                <w:rFonts w:cs="Arial"/>
                <w:szCs w:val="22"/>
                <w:lang w:val="pt-BR"/>
              </w:rPr>
              <w:t>solidária e</w:t>
            </w:r>
            <w:r w:rsidR="00C26A8B" w:rsidRPr="00054F04">
              <w:rPr>
                <w:rFonts w:cs="Arial"/>
                <w:szCs w:val="22"/>
                <w:lang w:val="pt-BR"/>
              </w:rPr>
              <w:t xml:space="preserve"> </w:t>
            </w:r>
            <w:r w:rsidRPr="00054F04">
              <w:rPr>
                <w:rFonts w:cs="Arial"/>
                <w:szCs w:val="22"/>
                <w:lang w:val="pt-BR"/>
              </w:rPr>
              <w:t>objetiva se a lei assim não a determina, principalmente porque isso cria um excessivo ônus para os potenciais licitantes e poderá afetar participação nas Rodadas.</w:t>
            </w:r>
          </w:p>
          <w:p w14:paraId="12A0D616" w14:textId="610821FA" w:rsidR="00BA709C" w:rsidRPr="00054F04" w:rsidRDefault="00C26A8B" w:rsidP="00BA709C">
            <w:pPr>
              <w:pStyle w:val="CTO-TxtClau"/>
              <w:numPr>
                <w:ilvl w:val="0"/>
                <w:numId w:val="0"/>
              </w:numPr>
              <w:spacing w:before="120" w:after="120" w:line="240" w:lineRule="auto"/>
              <w:jc w:val="left"/>
              <w:rPr>
                <w:rFonts w:cs="Arial"/>
                <w:szCs w:val="22"/>
                <w:lang w:val="pt-BR"/>
              </w:rPr>
            </w:pPr>
            <w:r>
              <w:rPr>
                <w:rFonts w:cs="Arial"/>
                <w:szCs w:val="22"/>
                <w:lang w:val="pt-BR"/>
              </w:rPr>
              <w:t>Além disso</w:t>
            </w:r>
            <w:r w:rsidR="00BA709C" w:rsidRPr="00054F04">
              <w:rPr>
                <w:rFonts w:cs="Arial"/>
                <w:szCs w:val="22"/>
                <w:lang w:val="pt-BR"/>
              </w:rPr>
              <w:t xml:space="preserve">, os Contratados não podem assumir responsabilidade solidária perante terceiros. Isto é inconsistente com as práticas internacionais e esse dispositivo não pode criar relação contratual onde </w:t>
            </w:r>
            <w:r>
              <w:rPr>
                <w:rFonts w:cs="Arial"/>
                <w:szCs w:val="22"/>
                <w:lang w:val="pt-BR"/>
              </w:rPr>
              <w:t xml:space="preserve">essa </w:t>
            </w:r>
            <w:r w:rsidR="00BA709C" w:rsidRPr="00054F04">
              <w:rPr>
                <w:rFonts w:cs="Arial"/>
                <w:szCs w:val="22"/>
                <w:lang w:val="pt-BR"/>
              </w:rPr>
              <w:t xml:space="preserve">não existe. </w:t>
            </w:r>
          </w:p>
          <w:p w14:paraId="3F41C915" w14:textId="77777777" w:rsidR="00BA709C" w:rsidRPr="00054F04" w:rsidRDefault="00BA709C" w:rsidP="00BA709C">
            <w:pPr>
              <w:pStyle w:val="CTO-TxtClau"/>
              <w:numPr>
                <w:ilvl w:val="0"/>
                <w:numId w:val="0"/>
              </w:numPr>
              <w:spacing w:before="120" w:after="120" w:line="240" w:lineRule="auto"/>
              <w:jc w:val="left"/>
              <w:rPr>
                <w:rFonts w:cs="Arial"/>
                <w:szCs w:val="22"/>
                <w:lang w:val="pt-BR"/>
              </w:rPr>
            </w:pPr>
            <w:r w:rsidRPr="00054F04">
              <w:rPr>
                <w:rFonts w:cs="Arial"/>
                <w:szCs w:val="22"/>
                <w:lang w:val="pt-BR"/>
              </w:rPr>
              <w:t xml:space="preserve">A legislação brasileira não determina expressamente responsabilidade solidária perante terceiros, a não ser na única e exclusiva hipótese de a Petrobras ser Operadora, de acordo com o artigo 20, §3º, da Lei do Pré-Sal. </w:t>
            </w:r>
            <w:r>
              <w:rPr>
                <w:rFonts w:cs="Arial"/>
                <w:szCs w:val="22"/>
                <w:lang w:val="pt-BR"/>
              </w:rPr>
              <w:t xml:space="preserve">De acordo com os princípios da </w:t>
            </w:r>
            <w:r>
              <w:rPr>
                <w:rFonts w:cs="Arial"/>
                <w:szCs w:val="22"/>
                <w:lang w:val="pt-BR"/>
              </w:rPr>
              <w:lastRenderedPageBreak/>
              <w:t xml:space="preserve">lei brasileira, a responsabilidade solidária não pode estar implícita. </w:t>
            </w:r>
            <w:r w:rsidRPr="00054F04">
              <w:rPr>
                <w:rFonts w:cs="Arial"/>
                <w:szCs w:val="22"/>
                <w:lang w:val="pt-BR"/>
              </w:rPr>
              <w:t>Como nenhuma outra previsão legal relacionada à indústria do petróleo cria obrigação solidária com relação a terceiros de forma cogente, o Contrato de Partilha não deve fazer isto.</w:t>
            </w:r>
          </w:p>
          <w:p w14:paraId="59CC0238" w14:textId="77777777" w:rsidR="00BA709C" w:rsidRPr="00054F04" w:rsidRDefault="00BA709C" w:rsidP="00BA709C">
            <w:pPr>
              <w:pStyle w:val="CTO-TxtClau"/>
              <w:numPr>
                <w:ilvl w:val="0"/>
                <w:numId w:val="0"/>
              </w:numPr>
              <w:spacing w:before="120" w:after="120" w:line="240" w:lineRule="auto"/>
              <w:jc w:val="left"/>
              <w:rPr>
                <w:rFonts w:cs="Arial"/>
                <w:szCs w:val="22"/>
                <w:lang w:val="pt-BR"/>
              </w:rPr>
            </w:pPr>
            <w:r w:rsidRPr="00054F04">
              <w:rPr>
                <w:rFonts w:cs="Arial"/>
                <w:szCs w:val="22"/>
                <w:lang w:val="pt-BR"/>
              </w:rPr>
              <w:t>Finalmente, incluímos linguagem mais clara com relação ao Contratado arcar com o risco operacional de acordo com o Contrato.</w:t>
            </w:r>
          </w:p>
        </w:tc>
      </w:tr>
      <w:tr w:rsidR="00BA709C" w:rsidRPr="00054F04" w14:paraId="49BB7DCE" w14:textId="77777777" w:rsidTr="00864380">
        <w:trPr>
          <w:trHeight w:val="2268"/>
        </w:trPr>
        <w:tc>
          <w:tcPr>
            <w:tcW w:w="529" w:type="pct"/>
            <w:vAlign w:val="center"/>
          </w:tcPr>
          <w:p w14:paraId="37983E60"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lastRenderedPageBreak/>
              <w:t>Minuta do contrato</w:t>
            </w:r>
          </w:p>
        </w:tc>
        <w:tc>
          <w:tcPr>
            <w:tcW w:w="682" w:type="pct"/>
            <w:vAlign w:val="center"/>
          </w:tcPr>
          <w:p w14:paraId="669DABDC"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Alteração</w:t>
            </w:r>
          </w:p>
        </w:tc>
        <w:tc>
          <w:tcPr>
            <w:tcW w:w="513" w:type="pct"/>
            <w:vAlign w:val="center"/>
          </w:tcPr>
          <w:p w14:paraId="49D71699" w14:textId="77777777" w:rsidR="00BA709C" w:rsidRPr="00054F04" w:rsidRDefault="00BA709C" w:rsidP="00BA709C">
            <w:pPr>
              <w:pStyle w:val="Caption"/>
              <w:jc w:val="center"/>
              <w:rPr>
                <w:rFonts w:cs="Arial"/>
                <w:color w:val="000000" w:themeColor="text1"/>
                <w:sz w:val="22"/>
                <w:szCs w:val="22"/>
              </w:rPr>
            </w:pPr>
            <w:r w:rsidRPr="00054F04">
              <w:rPr>
                <w:rFonts w:cs="Arial"/>
                <w:color w:val="000000" w:themeColor="text1"/>
                <w:sz w:val="22"/>
                <w:szCs w:val="22"/>
              </w:rPr>
              <w:t>2.4.1</w:t>
            </w:r>
          </w:p>
        </w:tc>
        <w:tc>
          <w:tcPr>
            <w:tcW w:w="1832" w:type="pct"/>
            <w:vAlign w:val="center"/>
          </w:tcPr>
          <w:p w14:paraId="5B8AD933" w14:textId="6198D93A" w:rsidR="00BA709C" w:rsidRPr="00054F04" w:rsidRDefault="00750FF0" w:rsidP="00892A12">
            <w:pPr>
              <w:pStyle w:val="CTO-TxtClau"/>
              <w:numPr>
                <w:ilvl w:val="0"/>
                <w:numId w:val="0"/>
              </w:numPr>
              <w:spacing w:before="120" w:after="120" w:line="240" w:lineRule="auto"/>
              <w:jc w:val="left"/>
              <w:rPr>
                <w:rFonts w:cs="Arial"/>
                <w:noProof/>
                <w:szCs w:val="22"/>
                <w:lang w:val="pt-BR"/>
              </w:rPr>
            </w:pPr>
            <w:r w:rsidRPr="00750FF0">
              <w:rPr>
                <w:noProof/>
                <w:lang w:val="pt-BR"/>
              </w:rPr>
              <w:t>O Contratado deverá ressarcir a Contratante, a ANP ou a Gestora por todo e qualquer prejuízo decorrente de ação, recurso, demanda ou impugnação judicial, sentença arbitral, auditoria, inspeção, investigação ou controvérsia de qualquer espécie, bem como por quaisquer indenizações, compensações, punições, multas ou penalidades de qualquer natureza,</w:t>
            </w:r>
            <w:r>
              <w:rPr>
                <w:noProof/>
                <w:lang w:val="pt-BR"/>
              </w:rPr>
              <w:t xml:space="preserve"> </w:t>
            </w:r>
            <w:r w:rsidR="00892A12">
              <w:rPr>
                <w:noProof/>
                <w:lang w:val="pt-BR"/>
              </w:rPr>
              <w:t>propostas</w:t>
            </w:r>
            <w:r>
              <w:rPr>
                <w:noProof/>
                <w:lang w:val="pt-BR"/>
              </w:rPr>
              <w:t xml:space="preserve"> por terceiros,</w:t>
            </w:r>
            <w:r w:rsidRPr="00750FF0">
              <w:rPr>
                <w:noProof/>
                <w:lang w:val="pt-BR"/>
              </w:rPr>
              <w:t xml:space="preserve"> relacionados à execução do Contrato</w:t>
            </w:r>
            <w:r w:rsidR="00BA709C" w:rsidRPr="00054F04">
              <w:rPr>
                <w:rFonts w:cs="Arial"/>
                <w:noProof/>
                <w:szCs w:val="22"/>
                <w:lang w:val="pt-BR"/>
              </w:rPr>
              <w:t>.</w:t>
            </w:r>
          </w:p>
        </w:tc>
        <w:tc>
          <w:tcPr>
            <w:tcW w:w="1444" w:type="pct"/>
            <w:vAlign w:val="center"/>
          </w:tcPr>
          <w:p w14:paraId="78BB6FC3" w14:textId="5D1C0082" w:rsidR="00BA709C" w:rsidRPr="00054F04" w:rsidRDefault="00482FDC" w:rsidP="00864380">
            <w:pPr>
              <w:pStyle w:val="Caption"/>
              <w:spacing w:before="120" w:after="120"/>
              <w:rPr>
                <w:rFonts w:cs="Arial"/>
                <w:color w:val="000000" w:themeColor="text1"/>
                <w:sz w:val="22"/>
                <w:szCs w:val="22"/>
              </w:rPr>
            </w:pPr>
            <w:r>
              <w:rPr>
                <w:rFonts w:cs="Arial"/>
                <w:color w:val="000000" w:themeColor="text1"/>
                <w:sz w:val="22"/>
                <w:szCs w:val="22"/>
              </w:rPr>
              <w:t xml:space="preserve">Indenizações </w:t>
            </w:r>
            <w:r w:rsidR="00892A12">
              <w:rPr>
                <w:rFonts w:cs="Arial"/>
                <w:color w:val="000000" w:themeColor="text1"/>
                <w:sz w:val="22"/>
                <w:szCs w:val="22"/>
              </w:rPr>
              <w:t>a</w:t>
            </w:r>
            <w:r>
              <w:rPr>
                <w:rFonts w:cs="Arial"/>
                <w:color w:val="000000" w:themeColor="text1"/>
                <w:sz w:val="22"/>
                <w:szCs w:val="22"/>
              </w:rPr>
              <w:t xml:space="preserve"> terceiros devem resultar de contrato ou da lei. Não é razoável</w:t>
            </w:r>
            <w:r w:rsidR="00864380">
              <w:rPr>
                <w:rFonts w:cs="Arial"/>
                <w:color w:val="000000" w:themeColor="text1"/>
                <w:sz w:val="22"/>
                <w:szCs w:val="22"/>
              </w:rPr>
              <w:t xml:space="preserve"> que o PSC imponha indenização a</w:t>
            </w:r>
            <w:r>
              <w:rPr>
                <w:rFonts w:cs="Arial"/>
                <w:color w:val="000000" w:themeColor="text1"/>
                <w:sz w:val="22"/>
                <w:szCs w:val="22"/>
              </w:rPr>
              <w:t xml:space="preserve"> terceiros. As disposições contratuais relacionadas à indenização </w:t>
            </w:r>
            <w:r w:rsidR="00864380">
              <w:rPr>
                <w:rFonts w:cs="Arial"/>
                <w:color w:val="000000" w:themeColor="text1"/>
                <w:sz w:val="22"/>
                <w:szCs w:val="22"/>
              </w:rPr>
              <w:t>tem</w:t>
            </w:r>
            <w:r>
              <w:rPr>
                <w:rFonts w:cs="Arial"/>
                <w:color w:val="000000" w:themeColor="text1"/>
                <w:sz w:val="22"/>
                <w:szCs w:val="22"/>
              </w:rPr>
              <w:t xml:space="preserve"> o objetivo de alocar responsabilidades entre as partes de um contrato e não criar direitos </w:t>
            </w:r>
            <w:r w:rsidR="00892A12">
              <w:rPr>
                <w:rFonts w:cs="Arial"/>
                <w:color w:val="000000" w:themeColor="text1"/>
                <w:sz w:val="22"/>
                <w:szCs w:val="22"/>
              </w:rPr>
              <w:t xml:space="preserve">de </w:t>
            </w:r>
            <w:r>
              <w:rPr>
                <w:rFonts w:cs="Arial"/>
                <w:color w:val="000000" w:themeColor="text1"/>
                <w:sz w:val="22"/>
                <w:szCs w:val="22"/>
              </w:rPr>
              <w:t xml:space="preserve">terceiros. </w:t>
            </w:r>
            <w:r w:rsidR="00864380">
              <w:rPr>
                <w:rFonts w:cs="Arial"/>
                <w:color w:val="000000" w:themeColor="text1"/>
                <w:sz w:val="22"/>
                <w:szCs w:val="22"/>
              </w:rPr>
              <w:t>R</w:t>
            </w:r>
            <w:r>
              <w:rPr>
                <w:rFonts w:cs="Arial"/>
                <w:color w:val="000000" w:themeColor="text1"/>
                <w:sz w:val="22"/>
                <w:szCs w:val="22"/>
              </w:rPr>
              <w:t>ecomendamos fortement</w:t>
            </w:r>
            <w:r w:rsidR="00664F10">
              <w:rPr>
                <w:rFonts w:cs="Arial"/>
                <w:color w:val="000000" w:themeColor="text1"/>
                <w:sz w:val="22"/>
                <w:szCs w:val="22"/>
              </w:rPr>
              <w:t>e que esta cláusula seja revisada em conformidade.</w:t>
            </w:r>
          </w:p>
        </w:tc>
      </w:tr>
      <w:tr w:rsidR="00BA709C" w:rsidRPr="00054F04" w14:paraId="35A34AF5" w14:textId="77777777" w:rsidTr="00864380">
        <w:trPr>
          <w:trHeight w:val="2268"/>
        </w:trPr>
        <w:tc>
          <w:tcPr>
            <w:tcW w:w="529" w:type="pct"/>
            <w:vAlign w:val="center"/>
          </w:tcPr>
          <w:p w14:paraId="38D62C51"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Minuta do contrato</w:t>
            </w:r>
          </w:p>
        </w:tc>
        <w:tc>
          <w:tcPr>
            <w:tcW w:w="682" w:type="pct"/>
            <w:vAlign w:val="center"/>
          </w:tcPr>
          <w:p w14:paraId="0B6EE929"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Alteração</w:t>
            </w:r>
          </w:p>
        </w:tc>
        <w:tc>
          <w:tcPr>
            <w:tcW w:w="513" w:type="pct"/>
            <w:vAlign w:val="center"/>
          </w:tcPr>
          <w:p w14:paraId="38F3732E" w14:textId="77777777" w:rsidR="00BA709C" w:rsidRPr="00054F04" w:rsidRDefault="00BA709C" w:rsidP="00BA709C">
            <w:pPr>
              <w:pStyle w:val="Caption"/>
              <w:jc w:val="center"/>
              <w:rPr>
                <w:rFonts w:cs="Arial"/>
                <w:color w:val="000000" w:themeColor="text1"/>
                <w:sz w:val="22"/>
                <w:szCs w:val="22"/>
              </w:rPr>
            </w:pPr>
            <w:r w:rsidRPr="00054F04">
              <w:rPr>
                <w:rFonts w:cs="Arial"/>
                <w:color w:val="000000" w:themeColor="text1"/>
                <w:sz w:val="22"/>
                <w:szCs w:val="22"/>
              </w:rPr>
              <w:t>2.5</w:t>
            </w:r>
          </w:p>
        </w:tc>
        <w:tc>
          <w:tcPr>
            <w:tcW w:w="1832" w:type="pct"/>
            <w:vAlign w:val="center"/>
          </w:tcPr>
          <w:p w14:paraId="6E9688C5" w14:textId="77777777" w:rsidR="00BA709C" w:rsidRPr="00054F04" w:rsidRDefault="00D570D5" w:rsidP="00D570D5">
            <w:pPr>
              <w:pStyle w:val="CTO-TxtClau"/>
              <w:numPr>
                <w:ilvl w:val="0"/>
                <w:numId w:val="0"/>
              </w:numPr>
              <w:spacing w:before="120" w:after="120" w:line="240" w:lineRule="auto"/>
              <w:jc w:val="left"/>
              <w:rPr>
                <w:rFonts w:cs="Arial"/>
                <w:b/>
                <w:szCs w:val="22"/>
                <w:lang w:val="pt-BR"/>
              </w:rPr>
            </w:pPr>
            <w:r w:rsidRPr="00FC51FA">
              <w:rPr>
                <w:lang w:val="pt-BR"/>
              </w:rPr>
              <w:t>O Contratado suportará todos os prejuízos em que venha a incorrer, inclusive aqueles resultantes de caso fortuito ou de força maior, bem como de acidentes ou de eventos da natureza que afetem a Exploração e Produção de Petróleo e Gás Natural na Área do Contrato</w:t>
            </w:r>
            <w:r w:rsidR="00BA709C" w:rsidRPr="00054F04">
              <w:rPr>
                <w:rFonts w:cs="Arial"/>
                <w:szCs w:val="22"/>
                <w:lang w:val="pt-BR"/>
              </w:rPr>
              <w:t>.</w:t>
            </w:r>
            <w:r>
              <w:rPr>
                <w:rFonts w:cs="Arial"/>
                <w:szCs w:val="22"/>
                <w:lang w:val="pt-BR"/>
              </w:rPr>
              <w:t xml:space="preserve"> Tais perdas devem ser consideradas como despesas relacionadas às atividades, nos termos deste Contrato. </w:t>
            </w:r>
          </w:p>
        </w:tc>
        <w:tc>
          <w:tcPr>
            <w:tcW w:w="1444" w:type="pct"/>
            <w:vAlign w:val="center"/>
          </w:tcPr>
          <w:p w14:paraId="2009DE56" w14:textId="0E9621D8" w:rsidR="00BA709C" w:rsidRPr="00054F04" w:rsidRDefault="00482FDC" w:rsidP="00864380">
            <w:pPr>
              <w:pStyle w:val="Caption"/>
              <w:spacing w:before="120" w:after="120"/>
              <w:rPr>
                <w:rFonts w:cs="Arial"/>
                <w:color w:val="000000" w:themeColor="text1"/>
                <w:sz w:val="22"/>
                <w:szCs w:val="22"/>
              </w:rPr>
            </w:pPr>
            <w:r>
              <w:rPr>
                <w:rFonts w:cs="Arial"/>
                <w:color w:val="000000" w:themeColor="text1"/>
                <w:sz w:val="22"/>
                <w:szCs w:val="22"/>
              </w:rPr>
              <w:t>Tais perdas, incluindo aquelas resultantes de caso fortuito ou força maior, devem ser consid</w:t>
            </w:r>
            <w:r w:rsidR="00864380">
              <w:rPr>
                <w:rFonts w:cs="Arial"/>
                <w:color w:val="000000" w:themeColor="text1"/>
                <w:sz w:val="22"/>
                <w:szCs w:val="22"/>
              </w:rPr>
              <w:t>eradas como despesas para fins</w:t>
            </w:r>
            <w:r>
              <w:rPr>
                <w:rFonts w:cs="Arial"/>
                <w:color w:val="000000" w:themeColor="text1"/>
                <w:sz w:val="22"/>
                <w:szCs w:val="22"/>
              </w:rPr>
              <w:t xml:space="preserve"> deste Contrato, inclusive para recuperação dos custos. Esta é a prática internacional. </w:t>
            </w:r>
          </w:p>
        </w:tc>
      </w:tr>
      <w:tr w:rsidR="00BA709C" w:rsidRPr="00054F04" w14:paraId="0F181391" w14:textId="77777777" w:rsidTr="00864380">
        <w:trPr>
          <w:trHeight w:val="2268"/>
        </w:trPr>
        <w:tc>
          <w:tcPr>
            <w:tcW w:w="529" w:type="pct"/>
            <w:vAlign w:val="center"/>
          </w:tcPr>
          <w:p w14:paraId="547F57F1"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lastRenderedPageBreak/>
              <w:t>Minuta do contrato</w:t>
            </w:r>
          </w:p>
        </w:tc>
        <w:tc>
          <w:tcPr>
            <w:tcW w:w="682" w:type="pct"/>
            <w:vAlign w:val="center"/>
          </w:tcPr>
          <w:p w14:paraId="345DA892"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Alteração</w:t>
            </w:r>
          </w:p>
        </w:tc>
        <w:tc>
          <w:tcPr>
            <w:tcW w:w="513" w:type="pct"/>
            <w:vAlign w:val="center"/>
          </w:tcPr>
          <w:p w14:paraId="0818B1B9" w14:textId="77777777" w:rsidR="00BA709C" w:rsidRPr="00054F04" w:rsidRDefault="00BA709C" w:rsidP="00D570D5">
            <w:pPr>
              <w:pStyle w:val="Caption"/>
              <w:spacing w:before="120" w:after="120"/>
              <w:jc w:val="center"/>
              <w:rPr>
                <w:rFonts w:cs="Arial"/>
                <w:color w:val="000000" w:themeColor="text1"/>
                <w:sz w:val="22"/>
                <w:szCs w:val="22"/>
              </w:rPr>
            </w:pPr>
            <w:r w:rsidRPr="00054F04">
              <w:rPr>
                <w:rFonts w:cs="Arial"/>
                <w:color w:val="000000" w:themeColor="text1"/>
                <w:sz w:val="22"/>
                <w:szCs w:val="22"/>
              </w:rPr>
              <w:t>2.</w:t>
            </w:r>
            <w:r w:rsidR="00D570D5">
              <w:rPr>
                <w:rFonts w:cs="Arial"/>
                <w:color w:val="000000" w:themeColor="text1"/>
                <w:sz w:val="22"/>
                <w:szCs w:val="22"/>
              </w:rPr>
              <w:t>7</w:t>
            </w:r>
          </w:p>
        </w:tc>
        <w:tc>
          <w:tcPr>
            <w:tcW w:w="1832" w:type="pct"/>
            <w:vAlign w:val="center"/>
          </w:tcPr>
          <w:p w14:paraId="3666C107" w14:textId="77777777" w:rsidR="00BA709C" w:rsidRPr="00054F04" w:rsidRDefault="00BA709C" w:rsidP="00BA709C">
            <w:pPr>
              <w:pStyle w:val="CTO-TxtClau"/>
              <w:numPr>
                <w:ilvl w:val="0"/>
                <w:numId w:val="0"/>
              </w:numPr>
              <w:spacing w:before="120" w:after="120" w:line="240" w:lineRule="auto"/>
              <w:jc w:val="left"/>
              <w:rPr>
                <w:rFonts w:cs="Arial"/>
                <w:b/>
                <w:szCs w:val="22"/>
                <w:lang w:val="pt-BR"/>
              </w:rPr>
            </w:pPr>
            <w:r w:rsidRPr="00054F04">
              <w:rPr>
                <w:rFonts w:cs="Arial"/>
                <w:szCs w:val="22"/>
                <w:lang w:val="pt-BR"/>
              </w:rPr>
              <w:t>A Contratante, a Gestora e a ANP não assumirão quaisquer riscos ou perdas operacionais, nem tampouco arcarão com os custos e investimentos relacionados com a execução das Operações e suas consequências, ressalvados os casos de violação deste Contrato ou de qualquer outro acordo do qual sejam Partes e, em relação à Contratante, a hipótese prevista no artigo 6º, parágrafo único, da Lei nº 12.351/2010.</w:t>
            </w:r>
          </w:p>
        </w:tc>
        <w:tc>
          <w:tcPr>
            <w:tcW w:w="1444" w:type="pct"/>
            <w:vAlign w:val="center"/>
          </w:tcPr>
          <w:p w14:paraId="1F07F393" w14:textId="77777777" w:rsidR="00BA709C" w:rsidRPr="00054F04" w:rsidRDefault="00BA709C" w:rsidP="00BA709C">
            <w:pPr>
              <w:pStyle w:val="Caption"/>
              <w:spacing w:before="120" w:after="120"/>
              <w:rPr>
                <w:rFonts w:cs="Arial"/>
                <w:color w:val="000000" w:themeColor="text1"/>
                <w:sz w:val="22"/>
                <w:szCs w:val="22"/>
              </w:rPr>
            </w:pPr>
            <w:r w:rsidRPr="00054F04">
              <w:rPr>
                <w:rFonts w:cs="Arial"/>
                <w:color w:val="000000" w:themeColor="text1"/>
                <w:sz w:val="22"/>
                <w:szCs w:val="22"/>
              </w:rPr>
              <w:t>Veja nosso comentário ao 2.4 acima.</w:t>
            </w:r>
          </w:p>
        </w:tc>
      </w:tr>
      <w:tr w:rsidR="00BA709C" w:rsidRPr="00054F04" w14:paraId="662376FF" w14:textId="77777777" w:rsidTr="00864380">
        <w:trPr>
          <w:trHeight w:val="697"/>
        </w:trPr>
        <w:tc>
          <w:tcPr>
            <w:tcW w:w="529" w:type="pct"/>
            <w:vAlign w:val="center"/>
          </w:tcPr>
          <w:p w14:paraId="29B347E4"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Minuta do contrato</w:t>
            </w:r>
          </w:p>
        </w:tc>
        <w:tc>
          <w:tcPr>
            <w:tcW w:w="682" w:type="pct"/>
            <w:vAlign w:val="center"/>
          </w:tcPr>
          <w:p w14:paraId="5DD9C1BB"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Alteração</w:t>
            </w:r>
          </w:p>
        </w:tc>
        <w:tc>
          <w:tcPr>
            <w:tcW w:w="513" w:type="pct"/>
            <w:vAlign w:val="center"/>
          </w:tcPr>
          <w:p w14:paraId="05E9FCDA"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5.2</w:t>
            </w:r>
          </w:p>
        </w:tc>
        <w:tc>
          <w:tcPr>
            <w:tcW w:w="1832" w:type="pct"/>
            <w:vAlign w:val="center"/>
          </w:tcPr>
          <w:p w14:paraId="7C95E978" w14:textId="77777777" w:rsidR="00BA709C" w:rsidRPr="00054F04" w:rsidRDefault="00BA709C" w:rsidP="00BA709C">
            <w:pPr>
              <w:pStyle w:val="Contrato-Pargrafo-Nvel2"/>
              <w:numPr>
                <w:ilvl w:val="0"/>
                <w:numId w:val="0"/>
              </w:numPr>
              <w:spacing w:before="120" w:after="120"/>
              <w:jc w:val="left"/>
            </w:pPr>
            <w:r w:rsidRPr="00054F04">
              <w:rPr>
                <w:noProof/>
                <w:lang w:val="en-US" w:eastAsia="en-US"/>
              </w:rPr>
              <mc:AlternateContent>
                <mc:Choice Requires="wpi">
                  <w:drawing>
                    <wp:anchor distT="1426" distB="1786" distL="115726" distR="116086" simplePos="0" relativeHeight="251663360" behindDoc="0" locked="0" layoutInCell="1" allowOverlap="1" wp14:anchorId="7DF84FED" wp14:editId="3A1F2F5C">
                      <wp:simplePos x="0" y="0"/>
                      <wp:positionH relativeFrom="column">
                        <wp:posOffset>10626724</wp:posOffset>
                      </wp:positionH>
                      <wp:positionV relativeFrom="paragraph">
                        <wp:posOffset>970279</wp:posOffset>
                      </wp:positionV>
                      <wp:extent cx="0" cy="0"/>
                      <wp:effectExtent l="38100" t="38100" r="38100" b="38100"/>
                      <wp:wrapNone/>
                      <wp:docPr id="410" name="Tinta 410"/>
                      <wp:cNvGraphicFramePr>
                        <a:graphicFrameLocks xmlns:a="http://schemas.openxmlformats.org/drawingml/2006/main"/>
                      </wp:cNvGraphicFramePr>
                      <a:graphic xmlns:a="http://schemas.openxmlformats.org/drawingml/2006/main">
                        <a:graphicData uri="http://schemas.microsoft.com/office/word/2010/wordprocessingInk">
                          <w14:contentPart bwMode="auto" r:id="rId8">
                            <w14:nvContentPartPr>
                              <w14:cNvContentPartPr>
                                <a14:cpLocks xmlns:a14="http://schemas.microsoft.com/office/drawing/2010/main" noRot="1"/>
                              </w14:cNvContentPartPr>
                            </w14:nvContentPartPr>
                            <w14:xfrm>
                              <a:off x="0" y="0"/>
                              <a:ext cx="0" cy="0"/>
                            </w14:xfrm>
                          </w14:contentPart>
                        </a:graphicData>
                      </a:graphic>
                      <wp14:sizeRelH relativeFrom="page">
                        <wp14:pctWidth>0</wp14:pctWidth>
                      </wp14:sizeRelH>
                      <wp14:sizeRelV relativeFrom="page">
                        <wp14:pctHeight>0</wp14:pctHeight>
                      </wp14:sizeRelV>
                    </wp:anchor>
                  </w:drawing>
                </mc:Choice>
                <mc:Fallback>
                  <w:pict>
                    <v:shapetype w14:anchorId="20B12242"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Tinta 410" o:spid="_x0000_s1026" type="#_x0000_t75" style="position:absolute;margin-left:836.75pt;margin-top:76.4pt;width:0;height:0;z-index:251663360;visibility:visible;mso-wrap-style:square;mso-width-percent:0;mso-height-percent:0;mso-wrap-distance-left:3.21461mm;mso-wrap-distance-top:.03961mm;mso-wrap-distance-right:3.22461mm;mso-wrap-distance-bottom:.04961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">
                      <v:imagedata r:id="rId11" o:title=""/>
                      <v:path arrowok="t"/>
                      <o:lock v:ext="edit" rotation="t" aspectratio="f"/>
                    </v:shape>
                  </w:pict>
                </mc:Fallback>
              </mc:AlternateContent>
            </w:r>
            <w:r>
              <w:t>Serão recuperados</w:t>
            </w:r>
            <w:r w:rsidRPr="00054F04">
              <w:t xml:space="preserve"> como Custo em Óleo</w:t>
            </w:r>
            <w:r>
              <w:t>,</w:t>
            </w:r>
            <w:r w:rsidRPr="00054F04">
              <w:t xml:space="preserve"> segundo a metodologia e procedimentos estabelecidos no Anexo VII</w:t>
            </w:r>
            <w:r>
              <w:t>,</w:t>
            </w:r>
            <w:r w:rsidRPr="00054F04">
              <w:t xml:space="preserve"> </w:t>
            </w:r>
            <w:r>
              <w:t>os gastos que tenham sido</w:t>
            </w:r>
            <w:r w:rsidRPr="00054F04">
              <w:t>:</w:t>
            </w:r>
          </w:p>
          <w:p w14:paraId="1E2A9C3A" w14:textId="77777777" w:rsidR="00BA709C" w:rsidRPr="00054F04" w:rsidRDefault="00BA709C" w:rsidP="00BA709C">
            <w:pPr>
              <w:pStyle w:val="Contrato-Alnea"/>
              <w:numPr>
                <w:ilvl w:val="0"/>
                <w:numId w:val="5"/>
              </w:numPr>
              <w:spacing w:before="120" w:after="120"/>
              <w:ind w:left="851" w:hanging="284"/>
              <w:jc w:val="left"/>
            </w:pPr>
            <w:r>
              <w:t>previamente</w:t>
            </w:r>
            <w:r w:rsidRPr="00054F04">
              <w:t xml:space="preserve"> aprovados pelo Comitê Operacional, </w:t>
            </w:r>
            <w:r w:rsidR="00EF55D7">
              <w:t>ou cuja aprovação seja dispensada por este Contrato</w:t>
            </w:r>
            <w:r w:rsidRPr="00054F04">
              <w:t xml:space="preserve">; e </w:t>
            </w:r>
          </w:p>
          <w:p w14:paraId="63B82BD1" w14:textId="3B48CC7A" w:rsidR="00BA709C" w:rsidRPr="00054F04" w:rsidRDefault="00EF55D7" w:rsidP="007F599F">
            <w:pPr>
              <w:pStyle w:val="Contrato-Alnea"/>
              <w:numPr>
                <w:ilvl w:val="0"/>
                <w:numId w:val="5"/>
              </w:numPr>
              <w:spacing w:before="120" w:after="120"/>
              <w:ind w:left="851" w:hanging="284"/>
              <w:jc w:val="left"/>
            </w:pPr>
            <w:r>
              <w:t xml:space="preserve">reconhecidos pela Gestora, cujo reconhecimento não </w:t>
            </w:r>
            <w:r w:rsidR="007F599F">
              <w:t xml:space="preserve">poderá </w:t>
            </w:r>
            <w:r>
              <w:t xml:space="preserve">ser negado </w:t>
            </w:r>
            <w:r w:rsidR="007F599F">
              <w:t>caso</w:t>
            </w:r>
            <w:r>
              <w:t xml:space="preserve"> as despesas </w:t>
            </w:r>
            <w:r w:rsidR="007F599F">
              <w:t>sejam</w:t>
            </w:r>
            <w:r>
              <w:t xml:space="preserve"> consistentes com o Programa de Trabalho e Orçamento aprovado.</w:t>
            </w:r>
          </w:p>
        </w:tc>
        <w:tc>
          <w:tcPr>
            <w:tcW w:w="1444" w:type="pct"/>
            <w:vAlign w:val="center"/>
          </w:tcPr>
          <w:p w14:paraId="2B75ED75" w14:textId="115DAD11" w:rsidR="00BA709C" w:rsidRPr="00054F04" w:rsidRDefault="00BA709C" w:rsidP="007F599F">
            <w:pPr>
              <w:pStyle w:val="Caption"/>
              <w:spacing w:before="120" w:after="120"/>
              <w:rPr>
                <w:rFonts w:cs="Arial"/>
                <w:sz w:val="22"/>
                <w:szCs w:val="22"/>
              </w:rPr>
            </w:pPr>
            <w:r w:rsidRPr="00054F04">
              <w:rPr>
                <w:rFonts w:cs="Arial"/>
                <w:sz w:val="22"/>
                <w:szCs w:val="22"/>
              </w:rPr>
              <w:t>As mudanças proporcionam maior clareza com relação ao procedimento de recuperação de custo</w:t>
            </w:r>
            <w:r w:rsidR="007F599F">
              <w:rPr>
                <w:rFonts w:cs="Arial"/>
                <w:sz w:val="22"/>
                <w:szCs w:val="22"/>
              </w:rPr>
              <w:t xml:space="preserve"> e dão conforto às Contratadas acerca dos padrões a serem adotados pela Gestão para o reconhecimento/revisão de despesas</w:t>
            </w:r>
            <w:r w:rsidRPr="00054F04">
              <w:rPr>
                <w:rFonts w:cs="Arial"/>
                <w:sz w:val="22"/>
                <w:szCs w:val="22"/>
              </w:rPr>
              <w:t>.</w:t>
            </w:r>
          </w:p>
        </w:tc>
      </w:tr>
      <w:tr w:rsidR="00BA709C" w:rsidRPr="00054F04" w14:paraId="3D18C4FA" w14:textId="77777777" w:rsidTr="00864380">
        <w:trPr>
          <w:trHeight w:val="2268"/>
        </w:trPr>
        <w:tc>
          <w:tcPr>
            <w:tcW w:w="529" w:type="pct"/>
            <w:vAlign w:val="center"/>
          </w:tcPr>
          <w:p w14:paraId="7998F823"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Minuta do contrato</w:t>
            </w:r>
          </w:p>
        </w:tc>
        <w:tc>
          <w:tcPr>
            <w:tcW w:w="682" w:type="pct"/>
            <w:vAlign w:val="center"/>
          </w:tcPr>
          <w:p w14:paraId="7C745F4E"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Alteração</w:t>
            </w:r>
          </w:p>
        </w:tc>
        <w:tc>
          <w:tcPr>
            <w:tcW w:w="513" w:type="pct"/>
            <w:vAlign w:val="center"/>
          </w:tcPr>
          <w:p w14:paraId="177938A3"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5.4.2</w:t>
            </w:r>
          </w:p>
        </w:tc>
        <w:tc>
          <w:tcPr>
            <w:tcW w:w="1832" w:type="pct"/>
            <w:vAlign w:val="center"/>
          </w:tcPr>
          <w:p w14:paraId="207E7E16" w14:textId="1ACC5DE6" w:rsidR="00BA709C" w:rsidRPr="00EF55D7" w:rsidRDefault="00EF55D7" w:rsidP="009703EF">
            <w:pPr>
              <w:pStyle w:val="CTO-TxtClau"/>
              <w:numPr>
                <w:ilvl w:val="0"/>
                <w:numId w:val="0"/>
              </w:numPr>
              <w:spacing w:before="120" w:after="120" w:line="240" w:lineRule="auto"/>
              <w:jc w:val="left"/>
              <w:rPr>
                <w:rFonts w:cs="Arial"/>
                <w:szCs w:val="22"/>
                <w:lang w:val="pt-BR"/>
              </w:rPr>
            </w:pPr>
            <w:r w:rsidRPr="00EF55D7">
              <w:rPr>
                <w:lang w:val="pt-BR"/>
              </w:rPr>
              <w:t>Os gastos reconhecidos como Custo em Óleo serão anualmente atualizados pelo Índice Nacional de Preços ao Consumidor Amplo - IPCA do Instituto Brasileiro de Geografia e Estatística - IBGE, ou por outro índice</w:t>
            </w:r>
            <w:r>
              <w:rPr>
                <w:lang w:val="pt-BR"/>
              </w:rPr>
              <w:t xml:space="preserve"> mutuamente acordado entre as Partes</w:t>
            </w:r>
            <w:r w:rsidR="009703EF">
              <w:rPr>
                <w:lang w:val="pt-BR"/>
              </w:rPr>
              <w:t>,</w:t>
            </w:r>
            <w:r>
              <w:rPr>
                <w:lang w:val="pt-BR"/>
              </w:rPr>
              <w:t xml:space="preserve"> e</w:t>
            </w:r>
            <w:r w:rsidRPr="00EF55D7">
              <w:rPr>
                <w:lang w:val="pt-BR"/>
              </w:rPr>
              <w:t xml:space="preserve"> que melhor reflita os gastos do setor, sendo vedada a remuneração de capital</w:t>
            </w:r>
          </w:p>
        </w:tc>
        <w:tc>
          <w:tcPr>
            <w:tcW w:w="1444" w:type="pct"/>
            <w:vAlign w:val="center"/>
          </w:tcPr>
          <w:p w14:paraId="2FB7E6AA" w14:textId="77777777" w:rsidR="00BA709C" w:rsidRPr="00054F04" w:rsidRDefault="00BA709C" w:rsidP="00131645">
            <w:pPr>
              <w:pStyle w:val="Caption"/>
              <w:spacing w:before="120" w:after="120"/>
              <w:rPr>
                <w:rFonts w:cs="Arial"/>
                <w:sz w:val="22"/>
                <w:szCs w:val="22"/>
              </w:rPr>
            </w:pPr>
            <w:r w:rsidRPr="00054F04">
              <w:rPr>
                <w:rFonts w:cs="Arial"/>
                <w:sz w:val="22"/>
                <w:szCs w:val="22"/>
              </w:rPr>
              <w:t xml:space="preserve">A previsão objetiva dar maior </w:t>
            </w:r>
            <w:r w:rsidR="00131645">
              <w:rPr>
                <w:rFonts w:cs="Arial"/>
                <w:sz w:val="22"/>
                <w:szCs w:val="22"/>
              </w:rPr>
              <w:t>clareza ao processo de recuperação de custos</w:t>
            </w:r>
            <w:r w:rsidRPr="00054F04">
              <w:rPr>
                <w:rFonts w:cs="Arial"/>
                <w:sz w:val="22"/>
                <w:szCs w:val="22"/>
              </w:rPr>
              <w:t>.</w:t>
            </w:r>
          </w:p>
        </w:tc>
      </w:tr>
      <w:tr w:rsidR="00BA709C" w:rsidRPr="00054F04" w14:paraId="43A65F6E" w14:textId="77777777" w:rsidTr="00864380">
        <w:trPr>
          <w:trHeight w:val="2268"/>
        </w:trPr>
        <w:tc>
          <w:tcPr>
            <w:tcW w:w="529" w:type="pct"/>
            <w:vAlign w:val="center"/>
          </w:tcPr>
          <w:p w14:paraId="7A496DA7"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lastRenderedPageBreak/>
              <w:t>Minuta do contrato</w:t>
            </w:r>
          </w:p>
        </w:tc>
        <w:tc>
          <w:tcPr>
            <w:tcW w:w="682" w:type="pct"/>
            <w:vAlign w:val="center"/>
          </w:tcPr>
          <w:p w14:paraId="6E00A0C4"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Alteração</w:t>
            </w:r>
          </w:p>
        </w:tc>
        <w:tc>
          <w:tcPr>
            <w:tcW w:w="513" w:type="pct"/>
            <w:vAlign w:val="center"/>
          </w:tcPr>
          <w:p w14:paraId="29247E35"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5.5</w:t>
            </w:r>
          </w:p>
        </w:tc>
        <w:tc>
          <w:tcPr>
            <w:tcW w:w="1832" w:type="pct"/>
            <w:vAlign w:val="center"/>
          </w:tcPr>
          <w:p w14:paraId="780A8C98" w14:textId="77777777" w:rsidR="00BA709C" w:rsidRPr="00054F04" w:rsidRDefault="00BA709C" w:rsidP="00BA709C">
            <w:pPr>
              <w:spacing w:before="120" w:after="120"/>
              <w:rPr>
                <w:rFonts w:ascii="Arial" w:hAnsi="Arial" w:cs="Arial"/>
                <w:sz w:val="22"/>
                <w:szCs w:val="22"/>
              </w:rPr>
            </w:pPr>
            <w:r w:rsidRPr="00054F04">
              <w:rPr>
                <w:rFonts w:ascii="Arial" w:hAnsi="Arial" w:cs="Arial"/>
                <w:sz w:val="22"/>
                <w:szCs w:val="22"/>
              </w:rPr>
              <w:t xml:space="preserve">Sujeito ao mecanismo de resolução de disputas do Artigo 36, a gestão do processo de apuração, reconhecimento e recuperação do Custo em Óleo será de competência exclusiva da Gestora, que administrará, inclusive, a conta Custo em Óleo. </w:t>
            </w:r>
          </w:p>
        </w:tc>
        <w:tc>
          <w:tcPr>
            <w:tcW w:w="1444" w:type="pct"/>
            <w:vAlign w:val="center"/>
          </w:tcPr>
          <w:p w14:paraId="47C09F26" w14:textId="76B9C55D" w:rsidR="00BA709C" w:rsidRPr="00054F04" w:rsidRDefault="00BA709C" w:rsidP="009703EF">
            <w:pPr>
              <w:pStyle w:val="Caption"/>
              <w:spacing w:before="120" w:after="120"/>
              <w:rPr>
                <w:rFonts w:cs="Arial"/>
                <w:sz w:val="22"/>
                <w:szCs w:val="22"/>
              </w:rPr>
            </w:pPr>
            <w:r w:rsidRPr="00054F04">
              <w:rPr>
                <w:rFonts w:cs="Arial"/>
                <w:sz w:val="22"/>
                <w:szCs w:val="22"/>
              </w:rPr>
              <w:t xml:space="preserve">A previsão </w:t>
            </w:r>
            <w:r w:rsidR="009703EF">
              <w:rPr>
                <w:rFonts w:cs="Arial"/>
                <w:sz w:val="22"/>
                <w:szCs w:val="22"/>
              </w:rPr>
              <w:t>pretende</w:t>
            </w:r>
            <w:r w:rsidRPr="00054F04">
              <w:rPr>
                <w:rFonts w:cs="Arial"/>
                <w:sz w:val="22"/>
                <w:szCs w:val="22"/>
              </w:rPr>
              <w:t xml:space="preserve"> dar maior conforto aos investidores garantindo que quaisquer possíveis disputas sejam </w:t>
            </w:r>
            <w:r>
              <w:rPr>
                <w:rFonts w:cs="Arial"/>
                <w:sz w:val="22"/>
                <w:szCs w:val="22"/>
              </w:rPr>
              <w:t xml:space="preserve">arbitráveis e </w:t>
            </w:r>
            <w:r w:rsidRPr="00054F04">
              <w:rPr>
                <w:rFonts w:cs="Arial"/>
                <w:sz w:val="22"/>
                <w:szCs w:val="22"/>
              </w:rPr>
              <w:t>sujeitas a uma decisão independente.</w:t>
            </w:r>
            <w:r w:rsidR="00131645">
              <w:rPr>
                <w:rFonts w:cs="Arial"/>
                <w:sz w:val="22"/>
                <w:szCs w:val="22"/>
              </w:rPr>
              <w:t xml:space="preserve"> Apesar de já existir previsão nesse sentido na cláusula de Arbitragem, os investidores buscam clareza e segurança jurídica</w:t>
            </w:r>
            <w:r w:rsidR="009703EF">
              <w:rPr>
                <w:rFonts w:cs="Arial"/>
                <w:sz w:val="22"/>
                <w:szCs w:val="22"/>
              </w:rPr>
              <w:t>, não havendo qualquer prejuízo ao MME, ANP ou à PPSA com aceitação dessa mudança</w:t>
            </w:r>
            <w:r w:rsidR="00131645">
              <w:rPr>
                <w:rFonts w:cs="Arial"/>
                <w:sz w:val="22"/>
                <w:szCs w:val="22"/>
              </w:rPr>
              <w:t>.</w:t>
            </w:r>
          </w:p>
        </w:tc>
      </w:tr>
      <w:tr w:rsidR="00BA709C" w:rsidRPr="00054F04" w14:paraId="2610DAB8" w14:textId="77777777" w:rsidTr="00864380">
        <w:trPr>
          <w:trHeight w:val="555"/>
        </w:trPr>
        <w:tc>
          <w:tcPr>
            <w:tcW w:w="529" w:type="pct"/>
            <w:vAlign w:val="center"/>
          </w:tcPr>
          <w:p w14:paraId="60A7C4A5"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Minuta do contrato</w:t>
            </w:r>
          </w:p>
        </w:tc>
        <w:tc>
          <w:tcPr>
            <w:tcW w:w="682" w:type="pct"/>
            <w:vAlign w:val="center"/>
          </w:tcPr>
          <w:p w14:paraId="1F2FC4EF"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Alteração</w:t>
            </w:r>
          </w:p>
        </w:tc>
        <w:tc>
          <w:tcPr>
            <w:tcW w:w="513" w:type="pct"/>
            <w:vAlign w:val="center"/>
          </w:tcPr>
          <w:p w14:paraId="06A2DA3F"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10.9</w:t>
            </w:r>
          </w:p>
        </w:tc>
        <w:tc>
          <w:tcPr>
            <w:tcW w:w="1832" w:type="pct"/>
            <w:vAlign w:val="center"/>
          </w:tcPr>
          <w:p w14:paraId="309B5910" w14:textId="3439EB03" w:rsidR="00BA709C" w:rsidRPr="00054F04" w:rsidRDefault="00BA709C" w:rsidP="009703EF">
            <w:pPr>
              <w:keepNext/>
              <w:spacing w:before="120" w:after="120"/>
              <w:outlineLvl w:val="2"/>
              <w:rPr>
                <w:rFonts w:ascii="Arial" w:hAnsi="Arial" w:cs="Arial"/>
                <w:sz w:val="22"/>
                <w:szCs w:val="22"/>
              </w:rPr>
            </w:pPr>
            <w:r>
              <w:rPr>
                <w:rFonts w:ascii="Arial" w:hAnsi="Arial" w:cs="Arial"/>
                <w:sz w:val="22"/>
                <w:szCs w:val="22"/>
              </w:rPr>
              <w:t>A inexecução integral</w:t>
            </w:r>
            <w:r w:rsidRPr="00054F04">
              <w:rPr>
                <w:rFonts w:ascii="Arial" w:hAnsi="Arial" w:cs="Arial"/>
                <w:sz w:val="22"/>
                <w:szCs w:val="22"/>
              </w:rPr>
              <w:t xml:space="preserve"> do Programa Exploratór</w:t>
            </w:r>
            <w:r>
              <w:rPr>
                <w:rFonts w:ascii="Arial" w:hAnsi="Arial" w:cs="Arial"/>
                <w:sz w:val="22"/>
                <w:szCs w:val="22"/>
              </w:rPr>
              <w:t>io Mínimo</w:t>
            </w:r>
            <w:r w:rsidRPr="00054F04">
              <w:rPr>
                <w:rFonts w:ascii="Arial" w:hAnsi="Arial" w:cs="Arial"/>
                <w:sz w:val="22"/>
                <w:szCs w:val="22"/>
              </w:rPr>
              <w:t xml:space="preserve"> implica a extinção de pleno direito do Contrato, </w:t>
            </w:r>
            <w:r w:rsidR="009703EF">
              <w:rPr>
                <w:rFonts w:ascii="Arial" w:hAnsi="Arial" w:cs="Arial"/>
                <w:sz w:val="22"/>
                <w:szCs w:val="22"/>
              </w:rPr>
              <w:t>sendo certo</w:t>
            </w:r>
            <w:r w:rsidRPr="00054F04">
              <w:rPr>
                <w:rFonts w:ascii="Arial" w:hAnsi="Arial" w:cs="Arial"/>
                <w:sz w:val="22"/>
                <w:szCs w:val="22"/>
              </w:rPr>
              <w:t xml:space="preserve"> que, no caso de inexecução parcial, ao invés d</w:t>
            </w:r>
            <w:r w:rsidR="009703EF">
              <w:rPr>
                <w:rFonts w:ascii="Arial" w:hAnsi="Arial" w:cs="Arial"/>
                <w:sz w:val="22"/>
                <w:szCs w:val="22"/>
              </w:rPr>
              <w:t>a</w:t>
            </w:r>
            <w:r w:rsidRPr="00054F04">
              <w:rPr>
                <w:rFonts w:ascii="Arial" w:hAnsi="Arial" w:cs="Arial"/>
                <w:sz w:val="22"/>
                <w:szCs w:val="22"/>
              </w:rPr>
              <w:t xml:space="preserve"> rescisão, a Contratante </w:t>
            </w:r>
            <w:r w:rsidR="009703EF">
              <w:rPr>
                <w:rFonts w:ascii="Arial" w:hAnsi="Arial" w:cs="Arial"/>
                <w:sz w:val="22"/>
                <w:szCs w:val="22"/>
              </w:rPr>
              <w:t>deverá</w:t>
            </w:r>
            <w:r>
              <w:rPr>
                <w:rFonts w:ascii="Arial" w:hAnsi="Arial" w:cs="Arial"/>
                <w:sz w:val="22"/>
                <w:szCs w:val="22"/>
              </w:rPr>
              <w:t xml:space="preserve"> executar</w:t>
            </w:r>
            <w:r w:rsidRPr="00054F04">
              <w:rPr>
                <w:rFonts w:ascii="Arial" w:hAnsi="Arial" w:cs="Arial"/>
                <w:sz w:val="22"/>
                <w:szCs w:val="22"/>
              </w:rPr>
              <w:t xml:space="preserve"> a </w:t>
            </w:r>
            <w:r>
              <w:rPr>
                <w:rFonts w:ascii="Arial" w:hAnsi="Arial" w:cs="Arial"/>
                <w:sz w:val="22"/>
                <w:szCs w:val="22"/>
              </w:rPr>
              <w:t>cláusula penal compensatória prevista</w:t>
            </w:r>
            <w:r w:rsidRPr="00054F04">
              <w:rPr>
                <w:rFonts w:ascii="Arial" w:hAnsi="Arial" w:cs="Arial"/>
                <w:sz w:val="22"/>
                <w:szCs w:val="22"/>
              </w:rPr>
              <w:t xml:space="preserve"> na Cláusula Décima Primeira</w:t>
            </w:r>
            <w:r>
              <w:rPr>
                <w:rFonts w:ascii="Arial" w:hAnsi="Arial" w:cs="Arial"/>
                <w:sz w:val="22"/>
                <w:szCs w:val="22"/>
              </w:rPr>
              <w:t>, não sendo aplicáveis</w:t>
            </w:r>
            <w:r w:rsidRPr="00054F04">
              <w:rPr>
                <w:rFonts w:ascii="Arial" w:hAnsi="Arial" w:cs="Arial"/>
                <w:sz w:val="22"/>
                <w:szCs w:val="22"/>
              </w:rPr>
              <w:t xml:space="preserve"> quaisquer outras penalidades</w:t>
            </w:r>
            <w:r>
              <w:rPr>
                <w:rFonts w:ascii="Arial" w:hAnsi="Arial" w:cs="Arial"/>
                <w:sz w:val="22"/>
                <w:szCs w:val="22"/>
              </w:rPr>
              <w:t xml:space="preserve"> em razão da referida inexecução</w:t>
            </w:r>
            <w:r w:rsidRPr="00054F04">
              <w:rPr>
                <w:rFonts w:ascii="Arial" w:hAnsi="Arial" w:cs="Arial"/>
                <w:sz w:val="22"/>
                <w:szCs w:val="22"/>
              </w:rPr>
              <w:t>.</w:t>
            </w:r>
          </w:p>
        </w:tc>
        <w:tc>
          <w:tcPr>
            <w:tcW w:w="1444" w:type="pct"/>
            <w:vAlign w:val="center"/>
          </w:tcPr>
          <w:p w14:paraId="52B47ACD" w14:textId="563C9F50" w:rsidR="00BA709C" w:rsidRDefault="00BA709C" w:rsidP="00BA709C">
            <w:pPr>
              <w:keepNext/>
              <w:spacing w:before="120" w:after="120"/>
              <w:outlineLvl w:val="2"/>
              <w:rPr>
                <w:rFonts w:ascii="Arial" w:hAnsi="Arial" w:cs="Arial"/>
                <w:sz w:val="22"/>
                <w:szCs w:val="22"/>
              </w:rPr>
            </w:pPr>
            <w:r w:rsidRPr="00054F04">
              <w:rPr>
                <w:rFonts w:ascii="Arial" w:hAnsi="Arial" w:cs="Arial"/>
                <w:sz w:val="22"/>
                <w:szCs w:val="22"/>
              </w:rPr>
              <w:t xml:space="preserve">O </w:t>
            </w:r>
            <w:r w:rsidR="009703EF">
              <w:rPr>
                <w:rFonts w:ascii="Arial" w:hAnsi="Arial" w:cs="Arial"/>
                <w:sz w:val="22"/>
                <w:szCs w:val="22"/>
              </w:rPr>
              <w:t>inexecução</w:t>
            </w:r>
            <w:r w:rsidRPr="00054F04">
              <w:rPr>
                <w:rFonts w:ascii="Arial" w:hAnsi="Arial" w:cs="Arial"/>
                <w:sz w:val="22"/>
                <w:szCs w:val="22"/>
              </w:rPr>
              <w:t xml:space="preserve"> parcial do Programa Exploratório Mínimo não deve resultar em extinção do Contrato, e este tem sido o posicionamento e prática da ANP. O remédio adequado é </w:t>
            </w:r>
            <w:r w:rsidR="009703EF">
              <w:rPr>
                <w:rFonts w:ascii="Arial" w:hAnsi="Arial" w:cs="Arial"/>
                <w:sz w:val="22"/>
                <w:szCs w:val="22"/>
              </w:rPr>
              <w:t>a execução da</w:t>
            </w:r>
            <w:r w:rsidRPr="00054F04">
              <w:rPr>
                <w:rFonts w:ascii="Arial" w:hAnsi="Arial" w:cs="Arial"/>
                <w:sz w:val="22"/>
                <w:szCs w:val="22"/>
              </w:rPr>
              <w:t xml:space="preserve"> garantia financeira.</w:t>
            </w:r>
          </w:p>
          <w:p w14:paraId="70D7E8F4" w14:textId="534D8959" w:rsidR="00131645" w:rsidRPr="00054F04" w:rsidRDefault="00562929" w:rsidP="009703EF">
            <w:pPr>
              <w:keepNext/>
              <w:spacing w:before="120" w:after="120"/>
              <w:outlineLvl w:val="2"/>
              <w:rPr>
                <w:rFonts w:ascii="Arial" w:hAnsi="Arial" w:cs="Arial"/>
                <w:sz w:val="22"/>
                <w:szCs w:val="22"/>
              </w:rPr>
            </w:pPr>
            <w:r>
              <w:rPr>
                <w:rFonts w:ascii="Arial" w:hAnsi="Arial" w:cs="Arial"/>
                <w:sz w:val="22"/>
                <w:szCs w:val="22"/>
              </w:rPr>
              <w:t>A extinção do Contrato</w:t>
            </w:r>
            <w:r w:rsidR="00131645">
              <w:rPr>
                <w:rFonts w:ascii="Arial" w:hAnsi="Arial" w:cs="Arial"/>
                <w:sz w:val="22"/>
                <w:szCs w:val="22"/>
              </w:rPr>
              <w:t xml:space="preserve"> devido </w:t>
            </w:r>
            <w:r>
              <w:rPr>
                <w:rFonts w:ascii="Arial" w:hAnsi="Arial" w:cs="Arial"/>
                <w:sz w:val="22"/>
                <w:szCs w:val="22"/>
              </w:rPr>
              <w:t>ao</w:t>
            </w:r>
            <w:r w:rsidR="00131645">
              <w:rPr>
                <w:rFonts w:ascii="Arial" w:hAnsi="Arial" w:cs="Arial"/>
                <w:sz w:val="22"/>
                <w:szCs w:val="22"/>
              </w:rPr>
              <w:t xml:space="preserve"> </w:t>
            </w:r>
            <w:r>
              <w:rPr>
                <w:rFonts w:ascii="Arial" w:hAnsi="Arial" w:cs="Arial"/>
                <w:sz w:val="22"/>
                <w:szCs w:val="22"/>
              </w:rPr>
              <w:t>não cumprimento</w:t>
            </w:r>
            <w:r w:rsidR="00131645">
              <w:rPr>
                <w:rFonts w:ascii="Arial" w:hAnsi="Arial" w:cs="Arial"/>
                <w:sz w:val="22"/>
                <w:szCs w:val="22"/>
              </w:rPr>
              <w:t xml:space="preserve"> parcial ou </w:t>
            </w:r>
            <w:r w:rsidR="009703EF">
              <w:rPr>
                <w:rFonts w:ascii="Arial" w:hAnsi="Arial" w:cs="Arial"/>
                <w:sz w:val="22"/>
                <w:szCs w:val="22"/>
              </w:rPr>
              <w:t>não substancial</w:t>
            </w:r>
            <w:r w:rsidR="00131645">
              <w:rPr>
                <w:rFonts w:ascii="Arial" w:hAnsi="Arial" w:cs="Arial"/>
                <w:sz w:val="22"/>
                <w:szCs w:val="22"/>
              </w:rPr>
              <w:t xml:space="preserve"> do Programa Exploratório M</w:t>
            </w:r>
            <w:r>
              <w:rPr>
                <w:rFonts w:ascii="Arial" w:hAnsi="Arial" w:cs="Arial"/>
                <w:sz w:val="22"/>
                <w:szCs w:val="22"/>
              </w:rPr>
              <w:t xml:space="preserve">ínimo </w:t>
            </w:r>
            <w:r w:rsidR="00864380">
              <w:rPr>
                <w:rFonts w:ascii="Arial" w:hAnsi="Arial" w:cs="Arial"/>
                <w:sz w:val="22"/>
                <w:szCs w:val="22"/>
              </w:rPr>
              <w:t xml:space="preserve">não é razoável e </w:t>
            </w:r>
            <w:r>
              <w:rPr>
                <w:rFonts w:ascii="Arial" w:hAnsi="Arial" w:cs="Arial"/>
                <w:sz w:val="22"/>
                <w:szCs w:val="22"/>
              </w:rPr>
              <w:t>pode ser vista</w:t>
            </w:r>
            <w:r w:rsidR="00131645">
              <w:rPr>
                <w:rFonts w:ascii="Arial" w:hAnsi="Arial" w:cs="Arial"/>
                <w:sz w:val="22"/>
                <w:szCs w:val="22"/>
              </w:rPr>
              <w:t xml:space="preserve"> como </w:t>
            </w:r>
            <w:r>
              <w:rPr>
                <w:rFonts w:ascii="Arial" w:hAnsi="Arial" w:cs="Arial"/>
                <w:sz w:val="22"/>
                <w:szCs w:val="22"/>
              </w:rPr>
              <w:t xml:space="preserve">uma </w:t>
            </w:r>
            <w:r w:rsidR="00131645">
              <w:rPr>
                <w:rFonts w:ascii="Arial" w:hAnsi="Arial" w:cs="Arial"/>
                <w:sz w:val="22"/>
                <w:szCs w:val="22"/>
              </w:rPr>
              <w:t>forma de expropriação indireta</w:t>
            </w:r>
            <w:r>
              <w:rPr>
                <w:rFonts w:ascii="Arial" w:hAnsi="Arial" w:cs="Arial"/>
                <w:sz w:val="22"/>
                <w:szCs w:val="22"/>
              </w:rPr>
              <w:t xml:space="preserve"> de direitos contratuais </w:t>
            </w:r>
            <w:r w:rsidR="009703EF">
              <w:rPr>
                <w:rFonts w:ascii="Arial" w:hAnsi="Arial" w:cs="Arial"/>
                <w:sz w:val="22"/>
                <w:szCs w:val="22"/>
              </w:rPr>
              <w:t>dos</w:t>
            </w:r>
            <w:r>
              <w:rPr>
                <w:rFonts w:ascii="Arial" w:hAnsi="Arial" w:cs="Arial"/>
                <w:sz w:val="22"/>
                <w:szCs w:val="22"/>
              </w:rPr>
              <w:t xml:space="preserve"> investidores. </w:t>
            </w:r>
          </w:p>
        </w:tc>
      </w:tr>
      <w:tr w:rsidR="00BA709C" w:rsidRPr="00054F04" w14:paraId="55C5837F" w14:textId="77777777" w:rsidTr="00864380">
        <w:trPr>
          <w:trHeight w:val="2268"/>
        </w:trPr>
        <w:tc>
          <w:tcPr>
            <w:tcW w:w="529" w:type="pct"/>
            <w:vAlign w:val="center"/>
          </w:tcPr>
          <w:p w14:paraId="6FA384E8"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lastRenderedPageBreak/>
              <w:t>Minuta do contrato</w:t>
            </w:r>
          </w:p>
        </w:tc>
        <w:tc>
          <w:tcPr>
            <w:tcW w:w="682" w:type="pct"/>
            <w:vAlign w:val="center"/>
          </w:tcPr>
          <w:p w14:paraId="6F2E9DBB"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Alteração</w:t>
            </w:r>
          </w:p>
        </w:tc>
        <w:tc>
          <w:tcPr>
            <w:tcW w:w="513" w:type="pct"/>
            <w:vAlign w:val="center"/>
          </w:tcPr>
          <w:p w14:paraId="6A660D09" w14:textId="77777777" w:rsidR="00BA709C" w:rsidRPr="00054F04" w:rsidRDefault="00BA709C" w:rsidP="00BA709C">
            <w:pPr>
              <w:keepNext/>
              <w:spacing w:before="120" w:after="120"/>
              <w:outlineLvl w:val="2"/>
              <w:rPr>
                <w:rFonts w:ascii="Arial" w:hAnsi="Arial" w:cs="Arial"/>
                <w:sz w:val="22"/>
                <w:szCs w:val="22"/>
              </w:rPr>
            </w:pPr>
            <w:r w:rsidRPr="00054F04">
              <w:rPr>
                <w:rFonts w:ascii="Arial" w:hAnsi="Arial" w:cs="Arial"/>
                <w:sz w:val="22"/>
                <w:szCs w:val="22"/>
              </w:rPr>
              <w:t>13.9.1</w:t>
            </w:r>
          </w:p>
        </w:tc>
        <w:tc>
          <w:tcPr>
            <w:tcW w:w="1832" w:type="pct"/>
            <w:vAlign w:val="center"/>
          </w:tcPr>
          <w:p w14:paraId="680F0715" w14:textId="77777777" w:rsidR="00BA709C" w:rsidRPr="00054F04" w:rsidRDefault="00BA709C" w:rsidP="00562929">
            <w:pPr>
              <w:pStyle w:val="CTO-TxtClau"/>
              <w:numPr>
                <w:ilvl w:val="0"/>
                <w:numId w:val="0"/>
              </w:numPr>
              <w:spacing w:before="120" w:after="120" w:line="240" w:lineRule="auto"/>
              <w:jc w:val="left"/>
              <w:rPr>
                <w:rFonts w:cs="Arial"/>
                <w:szCs w:val="22"/>
                <w:lang w:val="pt-BR"/>
              </w:rPr>
            </w:pPr>
            <w:r w:rsidRPr="00054F04">
              <w:rPr>
                <w:rFonts w:cs="Arial"/>
                <w:szCs w:val="22"/>
                <w:lang w:val="pt-BR"/>
              </w:rPr>
              <w:t>Caso decida apresentar Declaração de Comercialidade, o Consorciado deverá submeter um</w:t>
            </w:r>
            <w:r w:rsidR="00562929">
              <w:rPr>
                <w:rFonts w:cs="Arial"/>
                <w:szCs w:val="22"/>
                <w:lang w:val="pt-BR"/>
              </w:rPr>
              <w:t>a versão inicial do</w:t>
            </w:r>
            <w:r w:rsidRPr="00054F04">
              <w:rPr>
                <w:rFonts w:cs="Arial"/>
                <w:szCs w:val="22"/>
                <w:lang w:val="pt-BR"/>
              </w:rPr>
              <w:t xml:space="preserve"> Plano de Desenvolvimento à aprovação da ANP no prazo máximo de </w:t>
            </w:r>
            <w:r w:rsidR="00562929">
              <w:rPr>
                <w:rFonts w:cs="Arial"/>
                <w:szCs w:val="22"/>
                <w:lang w:val="pt-BR"/>
              </w:rPr>
              <w:t xml:space="preserve">180 </w:t>
            </w:r>
            <w:r w:rsidRPr="00054F04">
              <w:rPr>
                <w:rFonts w:cs="Arial"/>
                <w:szCs w:val="22"/>
                <w:lang w:val="pt-BR"/>
              </w:rPr>
              <w:t>(</w:t>
            </w:r>
            <w:r w:rsidR="00562929">
              <w:rPr>
                <w:rFonts w:cs="Arial"/>
                <w:szCs w:val="22"/>
                <w:lang w:val="pt-BR"/>
              </w:rPr>
              <w:t>cento e oitenta</w:t>
            </w:r>
            <w:r w:rsidRPr="00054F04">
              <w:rPr>
                <w:rFonts w:cs="Arial"/>
                <w:szCs w:val="22"/>
                <w:lang w:val="pt-BR"/>
              </w:rPr>
              <w:t>) dias contados da referida notificação, não se aplicando o disposto no parágrafo 15.1.</w:t>
            </w:r>
          </w:p>
        </w:tc>
        <w:tc>
          <w:tcPr>
            <w:tcW w:w="1444" w:type="pct"/>
            <w:vAlign w:val="center"/>
          </w:tcPr>
          <w:p w14:paraId="238F914A" w14:textId="77777777" w:rsidR="00BA709C" w:rsidRPr="00054F04" w:rsidRDefault="00BA709C" w:rsidP="00BA709C">
            <w:pPr>
              <w:pStyle w:val="Caption"/>
              <w:spacing w:before="120" w:after="120"/>
              <w:rPr>
                <w:rFonts w:cs="Arial"/>
                <w:color w:val="000000" w:themeColor="text1"/>
                <w:sz w:val="22"/>
                <w:szCs w:val="22"/>
              </w:rPr>
            </w:pPr>
            <w:r w:rsidRPr="00054F04">
              <w:rPr>
                <w:rFonts w:cs="Arial"/>
                <w:color w:val="000000" w:themeColor="text1"/>
                <w:sz w:val="22"/>
                <w:szCs w:val="22"/>
              </w:rPr>
              <w:t>A experiência da indústria mostra que o período de 180 dias é muito curto para elaborar um plano de desenvolvimento sólido para atender aos requisitos necessários. Se o Contratado tiver mais tempo para redigir o plano de desenvolvimento, provavelmente evitará discussões desnecessárias e consumo de tempo e recursos (isso pode acontecer, por exemplo, se o Contratado tiver que entregar um plano preliminar apenas para cumprir o prazo).</w:t>
            </w:r>
          </w:p>
        </w:tc>
      </w:tr>
      <w:tr w:rsidR="00BA709C" w:rsidRPr="00054F04" w14:paraId="25B7FD29" w14:textId="77777777" w:rsidTr="00864380">
        <w:trPr>
          <w:trHeight w:val="2268"/>
        </w:trPr>
        <w:tc>
          <w:tcPr>
            <w:tcW w:w="529" w:type="pct"/>
            <w:vAlign w:val="center"/>
          </w:tcPr>
          <w:p w14:paraId="15528125"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Minuta do contrato</w:t>
            </w:r>
          </w:p>
        </w:tc>
        <w:tc>
          <w:tcPr>
            <w:tcW w:w="682" w:type="pct"/>
            <w:vAlign w:val="center"/>
          </w:tcPr>
          <w:p w14:paraId="19313266"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Alteração</w:t>
            </w:r>
          </w:p>
        </w:tc>
        <w:tc>
          <w:tcPr>
            <w:tcW w:w="513" w:type="pct"/>
            <w:vAlign w:val="center"/>
          </w:tcPr>
          <w:p w14:paraId="0F673140" w14:textId="77777777" w:rsidR="00BA709C" w:rsidRPr="00054F04" w:rsidRDefault="00BA709C" w:rsidP="00BA709C">
            <w:pPr>
              <w:pStyle w:val="Caption"/>
              <w:spacing w:before="120" w:after="120"/>
              <w:rPr>
                <w:rFonts w:cs="Arial"/>
                <w:color w:val="000000" w:themeColor="text1"/>
                <w:sz w:val="22"/>
                <w:szCs w:val="22"/>
              </w:rPr>
            </w:pPr>
            <w:r w:rsidRPr="00054F04">
              <w:rPr>
                <w:rFonts w:cs="Arial"/>
                <w:color w:val="000000" w:themeColor="text1"/>
                <w:sz w:val="22"/>
                <w:szCs w:val="22"/>
              </w:rPr>
              <w:t>14.5</w:t>
            </w:r>
          </w:p>
        </w:tc>
        <w:tc>
          <w:tcPr>
            <w:tcW w:w="1832" w:type="pct"/>
            <w:vAlign w:val="center"/>
          </w:tcPr>
          <w:p w14:paraId="04D90E97" w14:textId="3646F57F" w:rsidR="00BA709C" w:rsidRDefault="00BA709C" w:rsidP="00BA709C">
            <w:pPr>
              <w:pStyle w:val="CTO-TxtClau"/>
              <w:numPr>
                <w:ilvl w:val="0"/>
                <w:numId w:val="0"/>
              </w:numPr>
              <w:spacing w:before="120" w:after="120"/>
              <w:jc w:val="left"/>
              <w:rPr>
                <w:rFonts w:cs="Arial"/>
                <w:color w:val="000000" w:themeColor="text1"/>
                <w:szCs w:val="22"/>
                <w:lang w:val="pt-BR"/>
              </w:rPr>
            </w:pPr>
            <w:r w:rsidRPr="00054F04">
              <w:rPr>
                <w:rFonts w:cs="Arial"/>
                <w:color w:val="000000" w:themeColor="text1"/>
                <w:szCs w:val="22"/>
                <w:lang w:val="pt-BR"/>
              </w:rPr>
              <w:t>Os Consorciados deverão submeter à ANP um Programa de Desativação das Instalações em conformidade com a Legislação Aplicável e as Melhores Práticas da Indústria do Petróleo. O Programa de Desativação das Instalações deve</w:t>
            </w:r>
            <w:r w:rsidR="00E25052">
              <w:rPr>
                <w:rFonts w:cs="Arial"/>
                <w:color w:val="000000" w:themeColor="text1"/>
                <w:szCs w:val="22"/>
                <w:lang w:val="pt-BR"/>
              </w:rPr>
              <w:t>rá incluir</w:t>
            </w:r>
            <w:r w:rsidRPr="00054F04">
              <w:rPr>
                <w:rFonts w:cs="Arial"/>
                <w:color w:val="000000" w:themeColor="text1"/>
                <w:szCs w:val="22"/>
                <w:lang w:val="pt-BR"/>
              </w:rPr>
              <w:t>.</w:t>
            </w:r>
          </w:p>
          <w:p w14:paraId="16115C06" w14:textId="77777777" w:rsidR="009E5CD3" w:rsidRPr="00E25052" w:rsidRDefault="009E5CD3" w:rsidP="009E5CD3">
            <w:pPr>
              <w:pStyle w:val="Caption"/>
              <w:spacing w:before="120" w:after="120"/>
              <w:rPr>
                <w:rFonts w:cs="Arial"/>
                <w:color w:val="000000" w:themeColor="text1"/>
                <w:sz w:val="22"/>
                <w:szCs w:val="22"/>
              </w:rPr>
            </w:pPr>
            <w:r w:rsidRPr="00E25052">
              <w:rPr>
                <w:rFonts w:cs="Arial"/>
                <w:color w:val="000000" w:themeColor="text1"/>
                <w:sz w:val="22"/>
                <w:szCs w:val="22"/>
              </w:rPr>
              <w:t>a)</w:t>
            </w:r>
            <w:r w:rsidRPr="00E25052">
              <w:rPr>
                <w:rFonts w:cs="Arial"/>
                <w:color w:val="000000" w:themeColor="text1"/>
                <w:sz w:val="22"/>
                <w:szCs w:val="22"/>
              </w:rPr>
              <w:tab/>
              <w:t>informação sobre qualquer instalação de produção (estruturas, construções, poços, etc.) sujeita a abandono e sua localização;</w:t>
            </w:r>
          </w:p>
          <w:p w14:paraId="33040941" w14:textId="77777777" w:rsidR="009E5CD3" w:rsidRPr="00E25052" w:rsidRDefault="009E5CD3" w:rsidP="009E5CD3">
            <w:pPr>
              <w:pStyle w:val="Caption"/>
              <w:spacing w:before="120" w:after="120"/>
              <w:rPr>
                <w:rFonts w:cs="Arial"/>
                <w:color w:val="000000" w:themeColor="text1"/>
                <w:sz w:val="22"/>
                <w:szCs w:val="22"/>
              </w:rPr>
            </w:pPr>
            <w:r w:rsidRPr="00E25052">
              <w:rPr>
                <w:rFonts w:cs="Arial"/>
                <w:color w:val="000000" w:themeColor="text1"/>
                <w:sz w:val="22"/>
                <w:szCs w:val="22"/>
              </w:rPr>
              <w:t>(b)</w:t>
            </w:r>
            <w:r w:rsidRPr="00E25052">
              <w:rPr>
                <w:rFonts w:cs="Arial"/>
                <w:color w:val="000000" w:themeColor="text1"/>
                <w:sz w:val="22"/>
                <w:szCs w:val="22"/>
              </w:rPr>
              <w:tab/>
              <w:t>o projeto técnico para o abandono, listando todas as obras necessárias e as despesas exigidas e estabelecendo o procedimento e cronograma para realizar tais trabalhos, em conformidade com as Melhores Práticas da Indústria do Petróleo; e</w:t>
            </w:r>
          </w:p>
          <w:p w14:paraId="3CE3C97F" w14:textId="77777777" w:rsidR="009E5CD3" w:rsidRPr="00E25052" w:rsidRDefault="009E5CD3" w:rsidP="009E5CD3">
            <w:pPr>
              <w:pStyle w:val="Caption"/>
              <w:spacing w:before="120" w:after="120"/>
              <w:rPr>
                <w:rFonts w:cs="Arial"/>
                <w:color w:val="000000" w:themeColor="text1"/>
                <w:sz w:val="22"/>
                <w:szCs w:val="22"/>
              </w:rPr>
            </w:pPr>
            <w:r w:rsidRPr="00E25052">
              <w:rPr>
                <w:rFonts w:cs="Arial"/>
                <w:color w:val="000000" w:themeColor="text1"/>
                <w:sz w:val="22"/>
                <w:szCs w:val="22"/>
              </w:rPr>
              <w:t>(c)</w:t>
            </w:r>
            <w:r w:rsidRPr="00E25052">
              <w:rPr>
                <w:rFonts w:cs="Arial"/>
                <w:color w:val="000000" w:themeColor="text1"/>
                <w:sz w:val="22"/>
                <w:szCs w:val="22"/>
              </w:rPr>
              <w:tab/>
            </w:r>
            <w:r w:rsidR="00E25052" w:rsidRPr="00E25052">
              <w:rPr>
                <w:rFonts w:cs="Arial"/>
                <w:color w:val="000000" w:themeColor="text1"/>
                <w:sz w:val="22"/>
                <w:szCs w:val="22"/>
              </w:rPr>
              <w:t xml:space="preserve">data estimada para o descomissionamento e </w:t>
            </w:r>
            <w:r w:rsidRPr="00E25052">
              <w:rPr>
                <w:rFonts w:cs="Arial"/>
                <w:color w:val="000000" w:themeColor="text1"/>
                <w:sz w:val="22"/>
                <w:szCs w:val="22"/>
              </w:rPr>
              <w:t xml:space="preserve">estimativas de custo para </w:t>
            </w:r>
            <w:r w:rsidRPr="00E25052">
              <w:rPr>
                <w:rFonts w:cs="Arial"/>
                <w:color w:val="000000" w:themeColor="text1"/>
                <w:sz w:val="22"/>
                <w:szCs w:val="22"/>
              </w:rPr>
              <w:lastRenderedPageBreak/>
              <w:t>os trabalhos necessários para o abandono e desativação</w:t>
            </w:r>
            <w:r w:rsidR="00E25052" w:rsidRPr="00E25052">
              <w:rPr>
                <w:rFonts w:cs="Arial"/>
                <w:color w:val="000000" w:themeColor="text1"/>
                <w:sz w:val="22"/>
                <w:szCs w:val="22"/>
              </w:rPr>
              <w:t>.</w:t>
            </w:r>
            <w:r w:rsidR="00E25052">
              <w:rPr>
                <w:rFonts w:cs="Arial"/>
                <w:color w:val="000000" w:themeColor="text1"/>
                <w:sz w:val="22"/>
                <w:szCs w:val="22"/>
              </w:rPr>
              <w:t xml:space="preserve"> </w:t>
            </w:r>
            <w:r w:rsidR="00E25052" w:rsidRPr="00E25052">
              <w:rPr>
                <w:rFonts w:cs="Arial"/>
                <w:color w:val="000000" w:themeColor="text1"/>
                <w:sz w:val="22"/>
                <w:szCs w:val="22"/>
              </w:rPr>
              <w:t>Anualmente, o Contratado deve examinar os custos estimados das operações de desativação e, se for o caso, propor uma revisão para aprovação da ANP</w:t>
            </w:r>
            <w:r w:rsidRPr="00E25052">
              <w:rPr>
                <w:rFonts w:cs="Arial"/>
                <w:color w:val="000000" w:themeColor="text1"/>
                <w:sz w:val="22"/>
                <w:szCs w:val="22"/>
              </w:rPr>
              <w:t>,</w:t>
            </w:r>
          </w:p>
          <w:p w14:paraId="09B5E089" w14:textId="77777777" w:rsidR="009E5CD3" w:rsidRPr="00E25052" w:rsidRDefault="009E5CD3" w:rsidP="009E5CD3">
            <w:pPr>
              <w:pStyle w:val="Caption"/>
              <w:spacing w:before="120" w:after="120"/>
              <w:rPr>
                <w:rFonts w:cs="Arial"/>
                <w:color w:val="000000" w:themeColor="text1"/>
                <w:sz w:val="22"/>
                <w:szCs w:val="22"/>
              </w:rPr>
            </w:pPr>
            <w:r w:rsidRPr="00E25052">
              <w:rPr>
                <w:rFonts w:cs="Arial"/>
                <w:color w:val="000000" w:themeColor="text1"/>
                <w:sz w:val="22"/>
                <w:szCs w:val="22"/>
              </w:rPr>
              <w:t>E deverá estabelecer, em conformidade com as Melhores Práticas da Indústria do Petróleo, medidas para garantir:</w:t>
            </w:r>
          </w:p>
          <w:p w14:paraId="2173A19E" w14:textId="77777777" w:rsidR="009E5CD3" w:rsidRPr="00E25052" w:rsidRDefault="009E5CD3" w:rsidP="009E5CD3">
            <w:pPr>
              <w:pStyle w:val="Caption"/>
              <w:spacing w:before="120" w:after="120"/>
              <w:rPr>
                <w:rFonts w:cs="Arial"/>
                <w:color w:val="000000" w:themeColor="text1"/>
                <w:sz w:val="22"/>
                <w:szCs w:val="22"/>
              </w:rPr>
            </w:pPr>
            <w:r w:rsidRPr="00E25052">
              <w:rPr>
                <w:rFonts w:cs="Arial"/>
                <w:color w:val="000000" w:themeColor="text1"/>
                <w:sz w:val="22"/>
                <w:szCs w:val="22"/>
              </w:rPr>
              <w:t>(a)</w:t>
            </w:r>
            <w:r w:rsidRPr="00E25052">
              <w:rPr>
                <w:rFonts w:cs="Arial"/>
                <w:color w:val="000000" w:themeColor="text1"/>
                <w:sz w:val="22"/>
                <w:szCs w:val="22"/>
              </w:rPr>
              <w:tab/>
              <w:t>a remoção segura de plataformas e quaisquer estruturas permanentes, se necessário, para garantir navegação segura, prestando devido cuidado ao meio ambiente;</w:t>
            </w:r>
          </w:p>
          <w:p w14:paraId="6C0BE690" w14:textId="77777777" w:rsidR="009E5CD3" w:rsidRPr="00E25052" w:rsidRDefault="009E5CD3" w:rsidP="009E5CD3">
            <w:pPr>
              <w:pStyle w:val="Caption"/>
              <w:spacing w:before="120" w:after="120"/>
              <w:rPr>
                <w:rFonts w:cs="Arial"/>
                <w:color w:val="000000" w:themeColor="text1"/>
                <w:sz w:val="22"/>
                <w:szCs w:val="22"/>
              </w:rPr>
            </w:pPr>
            <w:r w:rsidRPr="00E25052">
              <w:rPr>
                <w:rFonts w:cs="Arial"/>
                <w:color w:val="000000" w:themeColor="text1"/>
                <w:sz w:val="22"/>
                <w:szCs w:val="22"/>
              </w:rPr>
              <w:t>(b)</w:t>
            </w:r>
            <w:r w:rsidRPr="00E25052">
              <w:rPr>
                <w:rFonts w:cs="Arial"/>
                <w:color w:val="000000" w:themeColor="text1"/>
                <w:sz w:val="22"/>
                <w:szCs w:val="22"/>
              </w:rPr>
              <w:tab/>
              <w:t>a remoção de todas as substâncias perigosas de dutos, instalações de armazenamento e outras estruturas similares de forma que limite o risco de tal substância perigosa afetar a atmosfera, o solo ou o ambiente marinho; e</w:t>
            </w:r>
          </w:p>
          <w:p w14:paraId="1F991D0C" w14:textId="77777777" w:rsidR="009E5CD3" w:rsidRPr="009E5CD3" w:rsidRDefault="009E5CD3" w:rsidP="009E5CD3">
            <w:pPr>
              <w:pStyle w:val="CTO-TxtClau"/>
              <w:numPr>
                <w:ilvl w:val="0"/>
                <w:numId w:val="0"/>
              </w:numPr>
              <w:spacing w:before="120" w:after="120"/>
              <w:jc w:val="left"/>
              <w:rPr>
                <w:rFonts w:cs="Arial"/>
                <w:color w:val="000000" w:themeColor="text1"/>
                <w:szCs w:val="22"/>
                <w:lang w:val="pt-BR"/>
              </w:rPr>
            </w:pPr>
            <w:r w:rsidRPr="00E25052">
              <w:rPr>
                <w:rFonts w:cs="Arial"/>
                <w:color w:val="000000" w:themeColor="text1"/>
                <w:szCs w:val="22"/>
                <w:lang w:val="pt-BR"/>
              </w:rPr>
              <w:t>(c)</w:t>
            </w:r>
            <w:r w:rsidRPr="00E25052">
              <w:rPr>
                <w:rFonts w:cs="Arial"/>
                <w:color w:val="000000" w:themeColor="text1"/>
                <w:szCs w:val="22"/>
                <w:lang w:val="pt-BR"/>
              </w:rPr>
              <w:tab/>
              <w:t>a remediação de qualquer poluição ambiental causada por qualquer trabalho de abandono ou desativação.</w:t>
            </w:r>
          </w:p>
        </w:tc>
        <w:tc>
          <w:tcPr>
            <w:tcW w:w="1444" w:type="pct"/>
            <w:vAlign w:val="center"/>
          </w:tcPr>
          <w:p w14:paraId="4FFC1D37" w14:textId="77777777" w:rsidR="00BA709C" w:rsidRPr="00054F04" w:rsidRDefault="00BA709C" w:rsidP="00BA709C">
            <w:pPr>
              <w:pStyle w:val="Caption"/>
              <w:spacing w:before="120" w:after="120"/>
              <w:rPr>
                <w:rFonts w:cs="Arial"/>
                <w:color w:val="000000" w:themeColor="text1"/>
                <w:sz w:val="22"/>
                <w:szCs w:val="22"/>
              </w:rPr>
            </w:pPr>
            <w:r w:rsidRPr="00054F04">
              <w:rPr>
                <w:rFonts w:cs="Arial"/>
                <w:color w:val="000000" w:themeColor="text1"/>
                <w:sz w:val="22"/>
                <w:szCs w:val="22"/>
              </w:rPr>
              <w:lastRenderedPageBreak/>
              <w:t>De acordo com as Melhores Práticas da Indústria do Petróleo e para garantir fundos disponíveis suficientes para a desativação, o Programa de Desativação de Instalações deve ser preparado bem antes do início antecipado das atividades de desativação com atualizações regulares fornecidas posteriormente.</w:t>
            </w:r>
          </w:p>
          <w:p w14:paraId="15F9A83E" w14:textId="77777777" w:rsidR="00BA709C" w:rsidRPr="00054F04" w:rsidRDefault="00BA709C" w:rsidP="00BA709C">
            <w:pPr>
              <w:pStyle w:val="Caption"/>
              <w:spacing w:before="120" w:after="120"/>
              <w:rPr>
                <w:rFonts w:cs="Arial"/>
                <w:color w:val="000000" w:themeColor="text1"/>
                <w:sz w:val="22"/>
                <w:szCs w:val="22"/>
              </w:rPr>
            </w:pPr>
            <w:r w:rsidRPr="00054F04">
              <w:rPr>
                <w:rFonts w:cs="Arial"/>
                <w:color w:val="000000" w:themeColor="text1"/>
                <w:sz w:val="22"/>
                <w:szCs w:val="22"/>
              </w:rPr>
              <w:t xml:space="preserve">As mudanças também fornecem mecanismos para que a ANP/Governo brasileiro continue </w:t>
            </w:r>
            <w:r>
              <w:rPr>
                <w:rFonts w:cs="Arial"/>
                <w:color w:val="000000" w:themeColor="text1"/>
                <w:sz w:val="22"/>
                <w:szCs w:val="22"/>
              </w:rPr>
              <w:t xml:space="preserve">as </w:t>
            </w:r>
            <w:r w:rsidRPr="00054F04">
              <w:rPr>
                <w:rFonts w:cs="Arial"/>
                <w:color w:val="000000" w:themeColor="text1"/>
                <w:sz w:val="22"/>
                <w:szCs w:val="22"/>
              </w:rPr>
              <w:t>operações ao invés da desativação pelo Contratado.</w:t>
            </w:r>
          </w:p>
        </w:tc>
      </w:tr>
      <w:tr w:rsidR="00BA709C" w:rsidRPr="00054F04" w14:paraId="1EA7DFCE" w14:textId="77777777" w:rsidTr="00864380">
        <w:trPr>
          <w:trHeight w:val="2268"/>
        </w:trPr>
        <w:tc>
          <w:tcPr>
            <w:tcW w:w="529" w:type="pct"/>
            <w:vAlign w:val="center"/>
          </w:tcPr>
          <w:p w14:paraId="1E77CEEF"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Minuta do contrato</w:t>
            </w:r>
          </w:p>
        </w:tc>
        <w:tc>
          <w:tcPr>
            <w:tcW w:w="682" w:type="pct"/>
            <w:vAlign w:val="center"/>
          </w:tcPr>
          <w:p w14:paraId="754A73C6"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Inclusão</w:t>
            </w:r>
          </w:p>
        </w:tc>
        <w:tc>
          <w:tcPr>
            <w:tcW w:w="513" w:type="pct"/>
            <w:vAlign w:val="center"/>
          </w:tcPr>
          <w:p w14:paraId="444861AC" w14:textId="77777777" w:rsidR="00BA709C" w:rsidRPr="00054F04" w:rsidRDefault="00BA709C" w:rsidP="00BA709C">
            <w:pPr>
              <w:pStyle w:val="Caption"/>
              <w:spacing w:before="120" w:after="120"/>
              <w:jc w:val="center"/>
              <w:rPr>
                <w:rFonts w:cs="Arial"/>
                <w:color w:val="000000" w:themeColor="text1"/>
                <w:sz w:val="22"/>
                <w:szCs w:val="22"/>
              </w:rPr>
            </w:pPr>
            <w:r>
              <w:rPr>
                <w:rFonts w:cs="Arial"/>
                <w:color w:val="000000" w:themeColor="text1"/>
                <w:sz w:val="22"/>
                <w:szCs w:val="22"/>
              </w:rPr>
              <w:t>(</w:t>
            </w:r>
            <w:r w:rsidRPr="00054F04">
              <w:rPr>
                <w:rFonts w:cs="Arial"/>
                <w:color w:val="000000" w:themeColor="text1"/>
                <w:sz w:val="22"/>
                <w:szCs w:val="22"/>
              </w:rPr>
              <w:t>14.7</w:t>
            </w:r>
            <w:r>
              <w:rPr>
                <w:rFonts w:cs="Arial"/>
                <w:color w:val="000000" w:themeColor="text1"/>
                <w:sz w:val="22"/>
                <w:szCs w:val="22"/>
              </w:rPr>
              <w:t>)</w:t>
            </w:r>
          </w:p>
        </w:tc>
        <w:tc>
          <w:tcPr>
            <w:tcW w:w="1832" w:type="pct"/>
            <w:vAlign w:val="center"/>
          </w:tcPr>
          <w:p w14:paraId="27D7EF4F" w14:textId="7CA04E2D" w:rsidR="00BA709C" w:rsidRPr="00054F04" w:rsidRDefault="00BA709C" w:rsidP="00BA709C">
            <w:pPr>
              <w:pStyle w:val="Caption"/>
              <w:spacing w:before="120" w:after="120"/>
              <w:rPr>
                <w:rFonts w:cs="Arial"/>
                <w:sz w:val="22"/>
                <w:szCs w:val="22"/>
              </w:rPr>
            </w:pPr>
            <w:r w:rsidRPr="00054F04">
              <w:rPr>
                <w:rFonts w:cs="Arial"/>
                <w:color w:val="000000" w:themeColor="text1"/>
                <w:sz w:val="22"/>
                <w:szCs w:val="22"/>
              </w:rPr>
              <w:t>Na conclusão ou término das Operações dentro da Área do Contrato, o Operador deverá enviar notificação por escrito à ANP informando que o Contratado concluiu as Operações dentro da Área do Contrato. Mediante o recebimento de tal notificação do Operador, a ANP pode</w:t>
            </w:r>
            <w:r w:rsidR="009703EF">
              <w:rPr>
                <w:rFonts w:cs="Arial"/>
                <w:color w:val="000000" w:themeColor="text1"/>
                <w:sz w:val="22"/>
                <w:szCs w:val="22"/>
              </w:rPr>
              <w:t>rá</w:t>
            </w:r>
            <w:r w:rsidRPr="00054F04">
              <w:rPr>
                <w:rFonts w:cs="Arial"/>
                <w:color w:val="000000" w:themeColor="text1"/>
                <w:sz w:val="22"/>
                <w:szCs w:val="22"/>
              </w:rPr>
              <w:t xml:space="preserve">, a seu critério, receber as instalações na Área do Contrato por sua conta. A ANP deverá notificar o Operador por escrito sobre sua decisão em 180 (cento e oitenta) dias após receber a notificação </w:t>
            </w:r>
            <w:r w:rsidRPr="00054F04">
              <w:rPr>
                <w:rFonts w:cs="Arial"/>
                <w:color w:val="000000" w:themeColor="text1"/>
                <w:sz w:val="22"/>
                <w:szCs w:val="22"/>
              </w:rPr>
              <w:lastRenderedPageBreak/>
              <w:t>do Operador mencionada acima. Se a ANP decidir receber as instalações</w:t>
            </w:r>
            <w:r w:rsidR="009703EF">
              <w:rPr>
                <w:rFonts w:cs="Arial"/>
                <w:color w:val="000000" w:themeColor="text1"/>
                <w:sz w:val="22"/>
                <w:szCs w:val="22"/>
              </w:rPr>
              <w:t xml:space="preserve"> localizadas</w:t>
            </w:r>
            <w:r w:rsidRPr="00054F04">
              <w:rPr>
                <w:rFonts w:cs="Arial"/>
                <w:color w:val="000000" w:themeColor="text1"/>
                <w:sz w:val="22"/>
                <w:szCs w:val="22"/>
              </w:rPr>
              <w:t xml:space="preserve"> na Área do Contrato, o Contratado deverá transferir todos os direitos remanescentes e propriedade de todos os bens dentro da Área do Contrato em sua condição então existente, sem nenhuma garantia de qualquer tipo, e a ANP será exclusivamente responsável por tais instalações, incluindo seu abandono e descarte final. Caso a ANP decida não receber quaisquer de tais instalações, o Contratado será responsável pela desativação e abandono de tais instalações e o Operador deverá proceder com a execução do Programa de Desativação das Instalações com relação a tais instalações.</w:t>
            </w:r>
          </w:p>
        </w:tc>
        <w:tc>
          <w:tcPr>
            <w:tcW w:w="1444" w:type="pct"/>
            <w:vAlign w:val="center"/>
          </w:tcPr>
          <w:p w14:paraId="22046BCA" w14:textId="2CE41467" w:rsidR="00BA709C" w:rsidRPr="00054F04" w:rsidRDefault="002B46D2" w:rsidP="00247237">
            <w:pPr>
              <w:pStyle w:val="Caption"/>
              <w:spacing w:before="120" w:after="120"/>
              <w:rPr>
                <w:rFonts w:cs="Arial"/>
                <w:color w:val="000000" w:themeColor="text1"/>
                <w:sz w:val="22"/>
                <w:szCs w:val="22"/>
              </w:rPr>
            </w:pPr>
            <w:r>
              <w:rPr>
                <w:rFonts w:cs="Arial"/>
                <w:color w:val="000000" w:themeColor="text1"/>
                <w:sz w:val="22"/>
                <w:szCs w:val="22"/>
              </w:rPr>
              <w:lastRenderedPageBreak/>
              <w:t>Se a ANP decidir receber instalações, deverá fazer por sua conta e risco. A partir desse momento</w:t>
            </w:r>
            <w:r w:rsidR="009703EF">
              <w:rPr>
                <w:rFonts w:cs="Arial"/>
                <w:color w:val="000000" w:themeColor="text1"/>
                <w:sz w:val="22"/>
                <w:szCs w:val="22"/>
              </w:rPr>
              <w:t>,</w:t>
            </w:r>
            <w:r>
              <w:rPr>
                <w:rFonts w:cs="Arial"/>
                <w:color w:val="000000" w:themeColor="text1"/>
                <w:sz w:val="22"/>
                <w:szCs w:val="22"/>
              </w:rPr>
              <w:t xml:space="preserve"> a responsabilidade do Contratado deve cessar, não podendo mais ser responsável pelas condições das instalações ou pelas operações das mesmas.</w:t>
            </w:r>
          </w:p>
        </w:tc>
      </w:tr>
      <w:tr w:rsidR="00BA709C" w:rsidRPr="00054F04" w14:paraId="19AE4C82" w14:textId="77777777" w:rsidTr="00864380">
        <w:trPr>
          <w:trHeight w:val="2268"/>
        </w:trPr>
        <w:tc>
          <w:tcPr>
            <w:tcW w:w="529" w:type="pct"/>
            <w:vAlign w:val="center"/>
          </w:tcPr>
          <w:p w14:paraId="294196E3"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Minuta do contrato</w:t>
            </w:r>
          </w:p>
        </w:tc>
        <w:tc>
          <w:tcPr>
            <w:tcW w:w="682" w:type="pct"/>
            <w:vAlign w:val="center"/>
          </w:tcPr>
          <w:p w14:paraId="54464D05" w14:textId="50166FF4" w:rsidR="00BA709C" w:rsidRPr="00054F04" w:rsidRDefault="00247237" w:rsidP="00BA709C">
            <w:pPr>
              <w:pStyle w:val="Caption"/>
              <w:spacing w:before="120" w:after="120"/>
              <w:jc w:val="center"/>
              <w:rPr>
                <w:rFonts w:cs="Arial"/>
                <w:color w:val="000000" w:themeColor="text1"/>
                <w:sz w:val="22"/>
                <w:szCs w:val="22"/>
              </w:rPr>
            </w:pPr>
            <w:r>
              <w:rPr>
                <w:rFonts w:cs="Arial"/>
                <w:color w:val="000000" w:themeColor="text1"/>
                <w:sz w:val="22"/>
                <w:szCs w:val="22"/>
              </w:rPr>
              <w:t>Alteração</w:t>
            </w:r>
          </w:p>
        </w:tc>
        <w:tc>
          <w:tcPr>
            <w:tcW w:w="513" w:type="pct"/>
            <w:vAlign w:val="center"/>
          </w:tcPr>
          <w:p w14:paraId="28058864"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14.9</w:t>
            </w:r>
          </w:p>
        </w:tc>
        <w:tc>
          <w:tcPr>
            <w:tcW w:w="1832" w:type="pct"/>
            <w:vAlign w:val="center"/>
          </w:tcPr>
          <w:p w14:paraId="774E3A6B" w14:textId="1DF89FF1" w:rsidR="00BA709C" w:rsidRPr="00247237" w:rsidRDefault="00247237" w:rsidP="00247237">
            <w:pPr>
              <w:pStyle w:val="CTO-TxtClau"/>
              <w:numPr>
                <w:ilvl w:val="0"/>
                <w:numId w:val="0"/>
              </w:numPr>
              <w:spacing w:before="120" w:after="120" w:line="240" w:lineRule="auto"/>
              <w:jc w:val="left"/>
              <w:rPr>
                <w:rFonts w:cs="Arial"/>
                <w:szCs w:val="22"/>
                <w:lang w:val="pt-BR"/>
              </w:rPr>
            </w:pPr>
            <w:r>
              <w:rPr>
                <w:lang w:val="pt-BR"/>
              </w:rPr>
              <w:t>Sujeito ao disposto na Cláusula 14.5, c</w:t>
            </w:r>
            <w:r w:rsidRPr="00247237">
              <w:rPr>
                <w:lang w:val="pt-BR"/>
              </w:rPr>
              <w:t>aso o Programa de Desativação das Instalações indique perspectiva de Produção adicional após o término da vigência do Contrato, a Contratante, ouvida a ANP, poderá determinar ações para garantir a continuidade das Operações de Produção</w:t>
            </w:r>
          </w:p>
        </w:tc>
        <w:tc>
          <w:tcPr>
            <w:tcW w:w="1444" w:type="pct"/>
            <w:vAlign w:val="center"/>
          </w:tcPr>
          <w:p w14:paraId="757D6D19" w14:textId="77777777" w:rsidR="00BA709C" w:rsidRPr="00054F04" w:rsidRDefault="00BA709C" w:rsidP="00BA709C">
            <w:pPr>
              <w:pStyle w:val="Caption"/>
              <w:spacing w:before="120" w:after="120"/>
              <w:rPr>
                <w:rFonts w:cs="Arial"/>
                <w:color w:val="000000" w:themeColor="text1"/>
                <w:sz w:val="22"/>
                <w:szCs w:val="22"/>
              </w:rPr>
            </w:pPr>
            <w:r w:rsidRPr="00054F04">
              <w:rPr>
                <w:rFonts w:cs="Arial"/>
                <w:color w:val="000000" w:themeColor="text1"/>
                <w:sz w:val="22"/>
                <w:szCs w:val="22"/>
              </w:rPr>
              <w:t>De acordo com as Melhores Práticas da Indústria do Petróleo e para garantir fundos disponíveis suficientes para a desativação, o Programa de Desativação de Instalações deve ser preparado bem antes do início antecipado das atividades de desativação com atualizações regulares fornecidas posteriormente.</w:t>
            </w:r>
          </w:p>
          <w:p w14:paraId="67CF604D" w14:textId="77777777" w:rsidR="00BA709C" w:rsidRPr="00054F04" w:rsidRDefault="00BA709C" w:rsidP="00BA709C">
            <w:pPr>
              <w:pStyle w:val="Caption"/>
              <w:spacing w:before="120" w:after="120"/>
              <w:rPr>
                <w:rFonts w:cs="Arial"/>
                <w:color w:val="000000" w:themeColor="text1"/>
                <w:sz w:val="22"/>
                <w:szCs w:val="22"/>
              </w:rPr>
            </w:pPr>
            <w:r w:rsidRPr="00054F04">
              <w:rPr>
                <w:rFonts w:cs="Arial"/>
                <w:color w:val="000000" w:themeColor="text1"/>
                <w:sz w:val="22"/>
                <w:szCs w:val="22"/>
              </w:rPr>
              <w:t xml:space="preserve">As mudanças também fornecem mecanismos para que a ANP/Governo brasileiro continue </w:t>
            </w:r>
            <w:r>
              <w:rPr>
                <w:rFonts w:cs="Arial"/>
                <w:color w:val="000000" w:themeColor="text1"/>
                <w:sz w:val="22"/>
                <w:szCs w:val="22"/>
              </w:rPr>
              <w:t xml:space="preserve">as </w:t>
            </w:r>
            <w:r w:rsidRPr="00054F04">
              <w:rPr>
                <w:rFonts w:cs="Arial"/>
                <w:color w:val="000000" w:themeColor="text1"/>
                <w:sz w:val="22"/>
                <w:szCs w:val="22"/>
              </w:rPr>
              <w:t>operações ao invés da desativação pelo Contratado.</w:t>
            </w:r>
          </w:p>
        </w:tc>
      </w:tr>
      <w:tr w:rsidR="00BA709C" w:rsidRPr="00054F04" w14:paraId="7743488C" w14:textId="77777777" w:rsidTr="00864380">
        <w:trPr>
          <w:trHeight w:val="2268"/>
        </w:trPr>
        <w:tc>
          <w:tcPr>
            <w:tcW w:w="529" w:type="pct"/>
            <w:vAlign w:val="center"/>
          </w:tcPr>
          <w:p w14:paraId="4EB9C53B"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lastRenderedPageBreak/>
              <w:t>Minuta do contrato</w:t>
            </w:r>
          </w:p>
        </w:tc>
        <w:tc>
          <w:tcPr>
            <w:tcW w:w="682" w:type="pct"/>
            <w:vAlign w:val="center"/>
          </w:tcPr>
          <w:p w14:paraId="47D05681" w14:textId="337EA6E5" w:rsidR="00BA709C" w:rsidRPr="00054F04" w:rsidRDefault="00247237" w:rsidP="00BA709C">
            <w:pPr>
              <w:pStyle w:val="Caption"/>
              <w:spacing w:before="120" w:after="120"/>
              <w:jc w:val="center"/>
              <w:rPr>
                <w:rFonts w:cs="Arial"/>
                <w:color w:val="000000" w:themeColor="text1"/>
                <w:sz w:val="22"/>
                <w:szCs w:val="22"/>
              </w:rPr>
            </w:pPr>
            <w:r>
              <w:rPr>
                <w:rFonts w:cs="Arial"/>
                <w:color w:val="000000" w:themeColor="text1"/>
                <w:sz w:val="22"/>
                <w:szCs w:val="22"/>
              </w:rPr>
              <w:t>Alteração</w:t>
            </w:r>
          </w:p>
        </w:tc>
        <w:tc>
          <w:tcPr>
            <w:tcW w:w="513" w:type="pct"/>
            <w:vAlign w:val="center"/>
          </w:tcPr>
          <w:p w14:paraId="1E936630"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14.9.1</w:t>
            </w:r>
          </w:p>
        </w:tc>
        <w:tc>
          <w:tcPr>
            <w:tcW w:w="1832" w:type="pct"/>
            <w:vAlign w:val="center"/>
          </w:tcPr>
          <w:p w14:paraId="547B2062" w14:textId="56107A0F" w:rsidR="00247237" w:rsidRDefault="00247237" w:rsidP="00247237">
            <w:pPr>
              <w:pStyle w:val="Contrato-Pargrafo-Nvel3"/>
              <w:numPr>
                <w:ilvl w:val="0"/>
                <w:numId w:val="0"/>
              </w:numPr>
              <w:ind w:hanging="4"/>
            </w:pPr>
            <w:r>
              <w:t>Neste caso, o Operador deverá propor ao Comitê Operacional um plano de continuidade operacional, que poderá contemplar:</w:t>
            </w:r>
          </w:p>
          <w:p w14:paraId="1296282B" w14:textId="77777777" w:rsidR="00247237" w:rsidRDefault="00247237" w:rsidP="00247237">
            <w:pPr>
              <w:pStyle w:val="Contrato-Alnea"/>
              <w:numPr>
                <w:ilvl w:val="0"/>
                <w:numId w:val="15"/>
              </w:numPr>
              <w:ind w:left="563" w:hanging="425"/>
            </w:pPr>
            <w:r>
              <w:t xml:space="preserve">a cessão de contratos com fornecedores do Consórcio; </w:t>
            </w:r>
          </w:p>
          <w:p w14:paraId="17C3F251" w14:textId="716C95D5" w:rsidR="00BA709C" w:rsidRPr="00054F04" w:rsidRDefault="00247237" w:rsidP="00247237">
            <w:pPr>
              <w:pStyle w:val="Contrato-Alnea"/>
              <w:numPr>
                <w:ilvl w:val="0"/>
                <w:numId w:val="15"/>
              </w:numPr>
              <w:ind w:left="563" w:hanging="425"/>
            </w:pPr>
            <w:r>
              <w:t>a possibilidade de aquisição de bens cuja vida útil se estenda após a vigência do Contrato.</w:t>
            </w:r>
          </w:p>
        </w:tc>
        <w:tc>
          <w:tcPr>
            <w:tcW w:w="1444" w:type="pct"/>
            <w:vAlign w:val="center"/>
          </w:tcPr>
          <w:p w14:paraId="0567B97B" w14:textId="43293154" w:rsidR="00BA709C" w:rsidRPr="00054F04" w:rsidRDefault="00BA709C" w:rsidP="00247237">
            <w:pPr>
              <w:pStyle w:val="Caption"/>
              <w:spacing w:before="120" w:after="120"/>
              <w:rPr>
                <w:rFonts w:cs="Arial"/>
                <w:color w:val="000000" w:themeColor="text1"/>
                <w:sz w:val="22"/>
                <w:szCs w:val="22"/>
              </w:rPr>
            </w:pPr>
            <w:r w:rsidRPr="00054F04">
              <w:rPr>
                <w:rFonts w:cs="Arial"/>
                <w:color w:val="000000" w:themeColor="text1"/>
                <w:sz w:val="22"/>
                <w:szCs w:val="22"/>
              </w:rPr>
              <w:t>Favor considerar nosso comentário acima.</w:t>
            </w:r>
          </w:p>
        </w:tc>
      </w:tr>
      <w:tr w:rsidR="00BA709C" w:rsidRPr="00054F04" w14:paraId="45A3A4B4" w14:textId="77777777" w:rsidTr="00864380">
        <w:trPr>
          <w:trHeight w:val="2268"/>
        </w:trPr>
        <w:tc>
          <w:tcPr>
            <w:tcW w:w="529" w:type="pct"/>
            <w:vAlign w:val="center"/>
          </w:tcPr>
          <w:p w14:paraId="6B430AC8"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Minuta do contrato</w:t>
            </w:r>
          </w:p>
        </w:tc>
        <w:tc>
          <w:tcPr>
            <w:tcW w:w="682" w:type="pct"/>
            <w:vAlign w:val="center"/>
          </w:tcPr>
          <w:p w14:paraId="06019877"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Alteração</w:t>
            </w:r>
          </w:p>
        </w:tc>
        <w:tc>
          <w:tcPr>
            <w:tcW w:w="513" w:type="pct"/>
            <w:vAlign w:val="center"/>
          </w:tcPr>
          <w:p w14:paraId="0642BFD0"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15.1</w:t>
            </w:r>
          </w:p>
        </w:tc>
        <w:tc>
          <w:tcPr>
            <w:tcW w:w="1832" w:type="pct"/>
            <w:vAlign w:val="center"/>
          </w:tcPr>
          <w:p w14:paraId="49C532FA" w14:textId="77777777" w:rsidR="00BA709C" w:rsidRPr="00054F04" w:rsidRDefault="00BA709C" w:rsidP="00BA709C">
            <w:pPr>
              <w:pStyle w:val="Caption"/>
              <w:spacing w:before="120" w:after="120"/>
              <w:rPr>
                <w:rFonts w:cs="Arial"/>
                <w:color w:val="000000" w:themeColor="text1"/>
                <w:sz w:val="22"/>
                <w:szCs w:val="22"/>
              </w:rPr>
            </w:pPr>
            <w:r w:rsidRPr="00054F04">
              <w:rPr>
                <w:rFonts w:cs="Arial"/>
                <w:color w:val="000000" w:themeColor="text1"/>
                <w:sz w:val="22"/>
                <w:szCs w:val="22"/>
              </w:rPr>
              <w:t xml:space="preserve">Os Consorciados deverão apresentar o Plano de Desenvolvimento à ANP no prazo de 365 (trezentos e sessenta e cinco) dias contados do recebimento </w:t>
            </w:r>
            <w:r>
              <w:rPr>
                <w:rFonts w:cs="Arial"/>
                <w:color w:val="000000" w:themeColor="text1"/>
                <w:sz w:val="22"/>
                <w:szCs w:val="22"/>
              </w:rPr>
              <w:t xml:space="preserve">da </w:t>
            </w:r>
            <w:r w:rsidRPr="00054F04">
              <w:rPr>
                <w:rFonts w:cs="Arial"/>
                <w:color w:val="000000" w:themeColor="text1"/>
                <w:sz w:val="22"/>
                <w:szCs w:val="22"/>
              </w:rPr>
              <w:t>comunicação de aprovação do Relatório Final de Avaliação de Descoberta.</w:t>
            </w:r>
          </w:p>
        </w:tc>
        <w:tc>
          <w:tcPr>
            <w:tcW w:w="1444" w:type="pct"/>
            <w:vAlign w:val="center"/>
          </w:tcPr>
          <w:p w14:paraId="2D41854D" w14:textId="77777777" w:rsidR="00BA709C" w:rsidRPr="00054F04" w:rsidRDefault="00BA709C" w:rsidP="00BA709C">
            <w:pPr>
              <w:pStyle w:val="Caption"/>
              <w:spacing w:before="120" w:after="120"/>
              <w:rPr>
                <w:rFonts w:cs="Arial"/>
                <w:color w:val="000000" w:themeColor="text1"/>
                <w:sz w:val="22"/>
                <w:szCs w:val="22"/>
              </w:rPr>
            </w:pPr>
            <w:r w:rsidRPr="00054F04">
              <w:rPr>
                <w:rFonts w:cs="Arial"/>
                <w:color w:val="000000" w:themeColor="text1"/>
                <w:sz w:val="22"/>
                <w:szCs w:val="22"/>
              </w:rPr>
              <w:t>A experiência da indústria mostra que um período de 180 dias é muito exíguo para elaborar e entregar um plano de desenvolvimento sólido para cumprir com os requisitos necessários. Caso seja concedido mais tempo ao Contratado para elaborar tal plano, poderiam ser evitadas possíveis discussões que viriam a desperdiçar tempo e recursos, por exemplo, caso o Contratado tenha que entregar um plano preliminar apenas para cumprir o prazo contratual.</w:t>
            </w:r>
          </w:p>
        </w:tc>
      </w:tr>
      <w:tr w:rsidR="00BA709C" w:rsidRPr="00054F04" w14:paraId="4D5B4F59" w14:textId="77777777" w:rsidTr="00864380">
        <w:trPr>
          <w:trHeight w:val="2268"/>
        </w:trPr>
        <w:tc>
          <w:tcPr>
            <w:tcW w:w="529" w:type="pct"/>
            <w:vAlign w:val="center"/>
          </w:tcPr>
          <w:p w14:paraId="31F25D0A"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Minuta do contrato</w:t>
            </w:r>
          </w:p>
        </w:tc>
        <w:tc>
          <w:tcPr>
            <w:tcW w:w="682" w:type="pct"/>
            <w:vAlign w:val="center"/>
          </w:tcPr>
          <w:p w14:paraId="39E825B2"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Alteração</w:t>
            </w:r>
          </w:p>
        </w:tc>
        <w:tc>
          <w:tcPr>
            <w:tcW w:w="513" w:type="pct"/>
            <w:vAlign w:val="center"/>
          </w:tcPr>
          <w:p w14:paraId="19FAE812"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15.10</w:t>
            </w:r>
          </w:p>
        </w:tc>
        <w:tc>
          <w:tcPr>
            <w:tcW w:w="1832" w:type="pct"/>
            <w:vAlign w:val="center"/>
          </w:tcPr>
          <w:p w14:paraId="49A5BC2D" w14:textId="7C953D3A" w:rsidR="00BA709C" w:rsidRPr="00054F04" w:rsidRDefault="00BA709C" w:rsidP="009703EF">
            <w:pPr>
              <w:pStyle w:val="Caption"/>
              <w:spacing w:before="120" w:after="120"/>
              <w:rPr>
                <w:rFonts w:cs="Arial"/>
                <w:color w:val="000000" w:themeColor="text1"/>
                <w:sz w:val="22"/>
                <w:szCs w:val="22"/>
              </w:rPr>
            </w:pPr>
            <w:bookmarkStart w:id="1" w:name="_Ref320900870"/>
            <w:r w:rsidRPr="00054F04">
              <w:rPr>
                <w:rFonts w:cs="Arial"/>
                <w:color w:val="000000" w:themeColor="text1"/>
                <w:sz w:val="22"/>
                <w:szCs w:val="22"/>
              </w:rPr>
              <w:t xml:space="preserve">A ANP somente poderá rejeitar o Plano de Desenvolvimento </w:t>
            </w:r>
            <w:r w:rsidR="009703EF">
              <w:rPr>
                <w:rFonts w:cs="Arial"/>
                <w:color w:val="000000" w:themeColor="text1"/>
                <w:sz w:val="22"/>
                <w:szCs w:val="22"/>
              </w:rPr>
              <w:t>caso</w:t>
            </w:r>
            <w:r w:rsidRPr="00054F04">
              <w:rPr>
                <w:rFonts w:cs="Arial"/>
                <w:color w:val="000000" w:themeColor="text1"/>
                <w:sz w:val="22"/>
                <w:szCs w:val="22"/>
              </w:rPr>
              <w:t xml:space="preserve"> esse não cumpr</w:t>
            </w:r>
            <w:r w:rsidR="009703EF">
              <w:rPr>
                <w:rFonts w:cs="Arial"/>
                <w:color w:val="000000" w:themeColor="text1"/>
                <w:sz w:val="22"/>
                <w:szCs w:val="22"/>
              </w:rPr>
              <w:t>a</w:t>
            </w:r>
            <w:r w:rsidRPr="00054F04">
              <w:rPr>
                <w:rFonts w:cs="Arial"/>
                <w:color w:val="000000" w:themeColor="text1"/>
                <w:sz w:val="22"/>
                <w:szCs w:val="22"/>
              </w:rPr>
              <w:t xml:space="preserve"> com as Melhores Práticas da Indústria do Petróleo.</w:t>
            </w:r>
            <w:bookmarkEnd w:id="1"/>
            <w:r w:rsidRPr="00054F04">
              <w:rPr>
                <w:rFonts w:cs="Arial"/>
                <w:color w:val="000000" w:themeColor="text1"/>
                <w:sz w:val="22"/>
                <w:szCs w:val="22"/>
              </w:rPr>
              <w:t xml:space="preserve"> Término por não aprovação somente poderá acontecer se confirmado por decisão de um tribunal arbitral no âmbito da Cláusula 36.</w:t>
            </w:r>
          </w:p>
        </w:tc>
        <w:tc>
          <w:tcPr>
            <w:tcW w:w="1444" w:type="pct"/>
            <w:vAlign w:val="center"/>
          </w:tcPr>
          <w:p w14:paraId="1E2EBD56" w14:textId="77777777" w:rsidR="00BA709C" w:rsidRDefault="00BA709C" w:rsidP="00247237">
            <w:pPr>
              <w:pStyle w:val="Caption"/>
              <w:spacing w:before="120" w:after="120"/>
              <w:rPr>
                <w:rFonts w:cs="Arial"/>
                <w:color w:val="000000" w:themeColor="text1"/>
                <w:sz w:val="22"/>
                <w:szCs w:val="22"/>
              </w:rPr>
            </w:pPr>
            <w:r w:rsidRPr="00054F04">
              <w:rPr>
                <w:rFonts w:cs="Arial"/>
                <w:color w:val="000000" w:themeColor="text1"/>
                <w:sz w:val="22"/>
                <w:szCs w:val="22"/>
              </w:rPr>
              <w:t xml:space="preserve">O objetivo desta alteração é dar clareza com relação aos fundamentos nos quais a ANP pode negar a aprovação do Plano de Desenvolvimento. A extinção por </w:t>
            </w:r>
            <w:r w:rsidR="00247237">
              <w:rPr>
                <w:rFonts w:cs="Arial"/>
                <w:color w:val="000000" w:themeColor="text1"/>
                <w:sz w:val="22"/>
                <w:szCs w:val="22"/>
              </w:rPr>
              <w:t xml:space="preserve">não aprovação </w:t>
            </w:r>
            <w:r w:rsidRPr="00054F04">
              <w:rPr>
                <w:rFonts w:cs="Arial"/>
                <w:color w:val="000000" w:themeColor="text1"/>
                <w:sz w:val="22"/>
                <w:szCs w:val="22"/>
              </w:rPr>
              <w:t>deve ocorrer apenas após o tribunal arbitral confirmar que a não aprovação foi justificada.</w:t>
            </w:r>
          </w:p>
          <w:p w14:paraId="7630E8AE" w14:textId="24F7A2B7" w:rsidR="00247237" w:rsidRPr="00247237" w:rsidRDefault="00247237" w:rsidP="00FF5B95">
            <w:pPr>
              <w:rPr>
                <w:rFonts w:ascii="Arial" w:hAnsi="Arial" w:cs="Arial"/>
                <w:sz w:val="22"/>
                <w:szCs w:val="22"/>
              </w:rPr>
            </w:pPr>
            <w:r>
              <w:rPr>
                <w:rFonts w:ascii="Arial" w:hAnsi="Arial" w:cs="Arial"/>
                <w:sz w:val="22"/>
                <w:szCs w:val="22"/>
              </w:rPr>
              <w:lastRenderedPageBreak/>
              <w:t>Apesar dess</w:t>
            </w:r>
            <w:r w:rsidR="00FF5B95">
              <w:rPr>
                <w:rFonts w:ascii="Arial" w:hAnsi="Arial" w:cs="Arial"/>
                <w:sz w:val="22"/>
                <w:szCs w:val="22"/>
              </w:rPr>
              <w:t>e</w:t>
            </w:r>
            <w:r>
              <w:rPr>
                <w:rFonts w:ascii="Arial" w:hAnsi="Arial" w:cs="Arial"/>
                <w:sz w:val="22"/>
                <w:szCs w:val="22"/>
              </w:rPr>
              <w:t xml:space="preserve"> </w:t>
            </w:r>
            <w:r w:rsidR="00FF5B95">
              <w:rPr>
                <w:rFonts w:ascii="Arial" w:hAnsi="Arial" w:cs="Arial"/>
                <w:sz w:val="22"/>
                <w:szCs w:val="22"/>
              </w:rPr>
              <w:t>evento</w:t>
            </w:r>
            <w:r>
              <w:rPr>
                <w:rFonts w:ascii="Arial" w:hAnsi="Arial" w:cs="Arial"/>
                <w:sz w:val="22"/>
                <w:szCs w:val="22"/>
              </w:rPr>
              <w:t xml:space="preserve"> já estar cobert</w:t>
            </w:r>
            <w:r w:rsidR="00FF5B95">
              <w:rPr>
                <w:rFonts w:ascii="Arial" w:hAnsi="Arial" w:cs="Arial"/>
                <w:sz w:val="22"/>
                <w:szCs w:val="22"/>
              </w:rPr>
              <w:t>o</w:t>
            </w:r>
            <w:r>
              <w:rPr>
                <w:rFonts w:ascii="Arial" w:hAnsi="Arial" w:cs="Arial"/>
                <w:sz w:val="22"/>
                <w:szCs w:val="22"/>
              </w:rPr>
              <w:t xml:space="preserve"> pela cláusula de Arbitragem, os investidores buscam clareza e segurança contratual e jurídica</w:t>
            </w:r>
            <w:r w:rsidR="009C65E4">
              <w:rPr>
                <w:rFonts w:ascii="Arial" w:hAnsi="Arial" w:cs="Arial"/>
                <w:sz w:val="22"/>
                <w:szCs w:val="22"/>
              </w:rPr>
              <w:t xml:space="preserve"> por parte da ANP.</w:t>
            </w:r>
          </w:p>
        </w:tc>
      </w:tr>
      <w:tr w:rsidR="00BA709C" w:rsidRPr="00054F04" w14:paraId="34F368DC" w14:textId="77777777" w:rsidTr="00864380">
        <w:trPr>
          <w:trHeight w:val="2268"/>
        </w:trPr>
        <w:tc>
          <w:tcPr>
            <w:tcW w:w="529" w:type="pct"/>
            <w:vAlign w:val="center"/>
          </w:tcPr>
          <w:p w14:paraId="42FFF827"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lastRenderedPageBreak/>
              <w:t>Minuta do contrato</w:t>
            </w:r>
          </w:p>
        </w:tc>
        <w:tc>
          <w:tcPr>
            <w:tcW w:w="682" w:type="pct"/>
            <w:vAlign w:val="center"/>
          </w:tcPr>
          <w:p w14:paraId="70DFBC71"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Alteração</w:t>
            </w:r>
          </w:p>
        </w:tc>
        <w:tc>
          <w:tcPr>
            <w:tcW w:w="513" w:type="pct"/>
            <w:vAlign w:val="center"/>
          </w:tcPr>
          <w:p w14:paraId="524D37CE"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16.1</w:t>
            </w:r>
          </w:p>
        </w:tc>
        <w:tc>
          <w:tcPr>
            <w:tcW w:w="1832" w:type="pct"/>
            <w:vAlign w:val="center"/>
          </w:tcPr>
          <w:p w14:paraId="7762C44E" w14:textId="77777777" w:rsidR="00BA709C" w:rsidRPr="00054F04" w:rsidRDefault="00BA709C" w:rsidP="00BA709C">
            <w:pPr>
              <w:pStyle w:val="Contrato-Pargrafo-Nvel2"/>
              <w:numPr>
                <w:ilvl w:val="0"/>
                <w:numId w:val="0"/>
              </w:numPr>
              <w:spacing w:before="120" w:after="120"/>
              <w:jc w:val="left"/>
            </w:pPr>
            <w:bookmarkStart w:id="2" w:name="_Ref364850914"/>
            <w:r w:rsidRPr="00054F04">
              <w:rPr>
                <w:color w:val="000000" w:themeColor="text1"/>
              </w:rPr>
              <w:t>A Data de Início da Produção do Campo deverá ocorrer no prazo máximo de 5 (cinco) anos, prorrogáveis a critério da Contratante, ouvida a ANP, contados da data de aprovação do Plano de Desenvolvimento</w:t>
            </w:r>
            <w:r w:rsidRPr="00054F04">
              <w:t>.</w:t>
            </w:r>
            <w:bookmarkEnd w:id="2"/>
          </w:p>
          <w:p w14:paraId="2311E8D0" w14:textId="77777777" w:rsidR="00BA709C" w:rsidRPr="00054F04" w:rsidRDefault="00BA709C" w:rsidP="00BA709C">
            <w:pPr>
              <w:pStyle w:val="Caption"/>
              <w:spacing w:before="120" w:after="120"/>
              <w:rPr>
                <w:rFonts w:cs="Arial"/>
                <w:color w:val="000000" w:themeColor="text1"/>
                <w:sz w:val="22"/>
                <w:szCs w:val="22"/>
              </w:rPr>
            </w:pPr>
          </w:p>
        </w:tc>
        <w:tc>
          <w:tcPr>
            <w:tcW w:w="1444" w:type="pct"/>
            <w:vAlign w:val="center"/>
          </w:tcPr>
          <w:p w14:paraId="011D2C70" w14:textId="77777777" w:rsidR="00BA709C" w:rsidRPr="00054F04" w:rsidRDefault="00BA709C" w:rsidP="00BA709C">
            <w:pPr>
              <w:keepNext/>
              <w:spacing w:before="120" w:after="120"/>
              <w:outlineLvl w:val="2"/>
              <w:rPr>
                <w:rFonts w:ascii="Arial" w:hAnsi="Arial" w:cs="Arial"/>
                <w:color w:val="000000" w:themeColor="text1"/>
                <w:sz w:val="22"/>
                <w:szCs w:val="22"/>
              </w:rPr>
            </w:pPr>
            <w:r w:rsidRPr="00054F04">
              <w:rPr>
                <w:rFonts w:ascii="Arial" w:hAnsi="Arial" w:cs="Arial"/>
                <w:color w:val="000000" w:themeColor="text1"/>
                <w:sz w:val="22"/>
                <w:szCs w:val="22"/>
              </w:rPr>
              <w:t>Considerando que o Plano de Desenvolvimento será elaborado e submetido para a aprovação após a declaração de comercialidade, o prazo de 5 (cinco) anos após a declaração de comercialidade para iniciar a produção pode ser muito curto.</w:t>
            </w:r>
          </w:p>
          <w:p w14:paraId="6487945F" w14:textId="77777777" w:rsidR="00BA709C" w:rsidRDefault="00BA709C" w:rsidP="00BA709C">
            <w:pPr>
              <w:pStyle w:val="Caption"/>
              <w:spacing w:before="120" w:after="120"/>
              <w:rPr>
                <w:rFonts w:cs="Arial"/>
                <w:color w:val="000000" w:themeColor="text1"/>
                <w:sz w:val="22"/>
                <w:szCs w:val="22"/>
              </w:rPr>
            </w:pPr>
            <w:r w:rsidRPr="00054F04">
              <w:rPr>
                <w:rFonts w:cs="Arial"/>
                <w:color w:val="000000" w:themeColor="text1"/>
                <w:sz w:val="22"/>
                <w:szCs w:val="22"/>
              </w:rPr>
              <w:t>Caso contrário, possíveis discussões com relação ao Plano de Desenvolvimento podem consumir parte do tempo necessário para o Contratado começar a produzir.</w:t>
            </w:r>
          </w:p>
          <w:p w14:paraId="11CE5DDC" w14:textId="24D36C4B" w:rsidR="009C65E4" w:rsidRPr="009C65E4" w:rsidRDefault="009C65E4" w:rsidP="009C65E4">
            <w:pPr>
              <w:rPr>
                <w:rFonts w:ascii="Arial" w:hAnsi="Arial" w:cs="Arial"/>
                <w:sz w:val="22"/>
                <w:szCs w:val="22"/>
              </w:rPr>
            </w:pPr>
            <w:r w:rsidRPr="009C65E4">
              <w:rPr>
                <w:rFonts w:ascii="Arial" w:hAnsi="Arial" w:cs="Arial"/>
                <w:sz w:val="22"/>
                <w:szCs w:val="22"/>
              </w:rPr>
              <w:t xml:space="preserve">Ademais, </w:t>
            </w:r>
            <w:r>
              <w:rPr>
                <w:rFonts w:ascii="Arial" w:hAnsi="Arial" w:cs="Arial"/>
                <w:sz w:val="22"/>
                <w:szCs w:val="22"/>
              </w:rPr>
              <w:t>o Contratado precisa ter a certeza de que a ANP aprovou o Plano de Desenvolvimento para que possa começar a fazer investimentos de capital no projeto.</w:t>
            </w:r>
          </w:p>
        </w:tc>
      </w:tr>
      <w:tr w:rsidR="00BA709C" w:rsidRPr="00054F04" w14:paraId="5FFAFE9F" w14:textId="77777777" w:rsidTr="00864380">
        <w:trPr>
          <w:trHeight w:val="2268"/>
        </w:trPr>
        <w:tc>
          <w:tcPr>
            <w:tcW w:w="529" w:type="pct"/>
            <w:vAlign w:val="center"/>
          </w:tcPr>
          <w:p w14:paraId="790A92A4"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lastRenderedPageBreak/>
              <w:t>Minuta do contrato</w:t>
            </w:r>
          </w:p>
        </w:tc>
        <w:tc>
          <w:tcPr>
            <w:tcW w:w="682" w:type="pct"/>
            <w:vAlign w:val="center"/>
          </w:tcPr>
          <w:p w14:paraId="25A88BCD"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Inclusão</w:t>
            </w:r>
          </w:p>
        </w:tc>
        <w:tc>
          <w:tcPr>
            <w:tcW w:w="513" w:type="pct"/>
            <w:vAlign w:val="center"/>
          </w:tcPr>
          <w:p w14:paraId="4E07F271" w14:textId="77777777" w:rsidR="00BA709C" w:rsidRPr="00054F04" w:rsidRDefault="00BA709C" w:rsidP="00BA709C">
            <w:pPr>
              <w:pStyle w:val="Caption"/>
              <w:spacing w:before="120" w:after="120"/>
              <w:jc w:val="center"/>
              <w:rPr>
                <w:rFonts w:cs="Arial"/>
                <w:color w:val="000000" w:themeColor="text1"/>
                <w:sz w:val="22"/>
                <w:szCs w:val="22"/>
              </w:rPr>
            </w:pPr>
            <w:r>
              <w:rPr>
                <w:rFonts w:cs="Arial"/>
                <w:color w:val="000000" w:themeColor="text1"/>
                <w:sz w:val="22"/>
                <w:szCs w:val="22"/>
              </w:rPr>
              <w:t>(</w:t>
            </w:r>
            <w:r w:rsidRPr="00054F04">
              <w:rPr>
                <w:rFonts w:cs="Arial"/>
                <w:color w:val="000000" w:themeColor="text1"/>
                <w:sz w:val="22"/>
                <w:szCs w:val="22"/>
              </w:rPr>
              <w:t>17.7.5</w:t>
            </w:r>
            <w:r>
              <w:rPr>
                <w:rFonts w:cs="Arial"/>
                <w:color w:val="000000" w:themeColor="text1"/>
                <w:sz w:val="22"/>
                <w:szCs w:val="22"/>
              </w:rPr>
              <w:t>)</w:t>
            </w:r>
          </w:p>
        </w:tc>
        <w:tc>
          <w:tcPr>
            <w:tcW w:w="1832" w:type="pct"/>
            <w:vAlign w:val="center"/>
          </w:tcPr>
          <w:p w14:paraId="21ECB105" w14:textId="301275B4" w:rsidR="00BA709C" w:rsidRPr="00054F04" w:rsidRDefault="00FF5B95" w:rsidP="00FF5B95">
            <w:pPr>
              <w:pStyle w:val="Caption"/>
              <w:spacing w:before="120" w:after="120"/>
              <w:rPr>
                <w:rFonts w:cs="Arial"/>
                <w:color w:val="000000" w:themeColor="text1"/>
                <w:sz w:val="22"/>
                <w:szCs w:val="22"/>
              </w:rPr>
            </w:pPr>
            <w:r>
              <w:rPr>
                <w:rFonts w:cs="Arial"/>
                <w:color w:val="000000" w:themeColor="text1"/>
                <w:sz w:val="22"/>
                <w:szCs w:val="22"/>
              </w:rPr>
              <w:t>A</w:t>
            </w:r>
            <w:r w:rsidR="00BA709C" w:rsidRPr="00054F04">
              <w:rPr>
                <w:rFonts w:cs="Arial"/>
                <w:color w:val="000000" w:themeColor="text1"/>
                <w:sz w:val="22"/>
                <w:szCs w:val="22"/>
              </w:rPr>
              <w:t xml:space="preserve"> restrição à livre disposição</w:t>
            </w:r>
            <w:r>
              <w:rPr>
                <w:rFonts w:cs="Arial"/>
                <w:color w:val="000000" w:themeColor="text1"/>
                <w:sz w:val="22"/>
                <w:szCs w:val="22"/>
              </w:rPr>
              <w:t xml:space="preserve"> da parcela dos hidrocarbonetos do Contrato somente será aplicável caso o </w:t>
            </w:r>
            <w:r w:rsidRPr="00FF5B95">
              <w:rPr>
                <w:rFonts w:cs="Arial"/>
                <w:color w:val="000000" w:themeColor="text1"/>
                <w:sz w:val="22"/>
                <w:szCs w:val="22"/>
              </w:rPr>
              <w:t>excedente em óleo</w:t>
            </w:r>
            <w:r>
              <w:rPr>
                <w:rFonts w:cs="Arial"/>
                <w:color w:val="000000" w:themeColor="text1"/>
                <w:sz w:val="22"/>
                <w:szCs w:val="22"/>
              </w:rPr>
              <w:t xml:space="preserve"> da União não seja suficiente para remediar a situação emergencial.</w:t>
            </w:r>
          </w:p>
        </w:tc>
        <w:tc>
          <w:tcPr>
            <w:tcW w:w="1444" w:type="pct"/>
            <w:vAlign w:val="center"/>
          </w:tcPr>
          <w:p w14:paraId="104FC9BD" w14:textId="53D2E43C" w:rsidR="00BA709C" w:rsidRPr="00054F04" w:rsidRDefault="009C65E4" w:rsidP="00F11FC7">
            <w:pPr>
              <w:pStyle w:val="Caption"/>
              <w:spacing w:before="120" w:after="120"/>
              <w:rPr>
                <w:rFonts w:cs="Arial"/>
                <w:color w:val="000000" w:themeColor="text1"/>
                <w:sz w:val="22"/>
                <w:szCs w:val="22"/>
              </w:rPr>
            </w:pPr>
            <w:r>
              <w:rPr>
                <w:rFonts w:cs="Arial"/>
                <w:color w:val="000000" w:themeColor="text1"/>
                <w:sz w:val="22"/>
                <w:szCs w:val="22"/>
              </w:rPr>
              <w:t xml:space="preserve">No regime de PSC, </w:t>
            </w:r>
            <w:r w:rsidR="00F11FC7" w:rsidRPr="00FF5B95">
              <w:rPr>
                <w:rFonts w:cs="Arial"/>
                <w:color w:val="000000" w:themeColor="text1"/>
                <w:sz w:val="22"/>
                <w:szCs w:val="22"/>
              </w:rPr>
              <w:t>excedente em óleo</w:t>
            </w:r>
            <w:r w:rsidR="00F11FC7">
              <w:rPr>
                <w:rFonts w:cs="Arial"/>
                <w:color w:val="000000" w:themeColor="text1"/>
                <w:sz w:val="22"/>
                <w:szCs w:val="22"/>
              </w:rPr>
              <w:t xml:space="preserve"> da União</w:t>
            </w:r>
            <w:r w:rsidR="00B929DD">
              <w:rPr>
                <w:rFonts w:cs="Arial"/>
                <w:color w:val="000000" w:themeColor="text1"/>
                <w:sz w:val="22"/>
                <w:szCs w:val="22"/>
              </w:rPr>
              <w:t xml:space="preserve"> </w:t>
            </w:r>
            <w:r w:rsidR="00F11FC7">
              <w:rPr>
                <w:rFonts w:cs="Arial"/>
                <w:color w:val="000000" w:themeColor="text1"/>
                <w:sz w:val="22"/>
                <w:szCs w:val="22"/>
              </w:rPr>
              <w:t>deveria ser o</w:t>
            </w:r>
            <w:r w:rsidR="00B929DD">
              <w:rPr>
                <w:rFonts w:cs="Arial"/>
                <w:color w:val="000000" w:themeColor="text1"/>
                <w:sz w:val="22"/>
                <w:szCs w:val="22"/>
              </w:rPr>
              <w:t xml:space="preserve"> </w:t>
            </w:r>
            <w:r w:rsidR="00F11FC7">
              <w:rPr>
                <w:rFonts w:cs="Arial"/>
                <w:color w:val="000000" w:themeColor="text1"/>
                <w:sz w:val="22"/>
                <w:szCs w:val="22"/>
              </w:rPr>
              <w:t>primeiro</w:t>
            </w:r>
            <w:r w:rsidR="00B929DD">
              <w:rPr>
                <w:rFonts w:cs="Arial"/>
                <w:color w:val="000000" w:themeColor="text1"/>
                <w:sz w:val="22"/>
                <w:szCs w:val="22"/>
              </w:rPr>
              <w:t xml:space="preserve"> a atender a situações de emergência, tendo em vista </w:t>
            </w:r>
            <w:r w:rsidR="00F11FC7">
              <w:rPr>
                <w:rFonts w:cs="Arial"/>
                <w:color w:val="000000" w:themeColor="text1"/>
                <w:sz w:val="22"/>
                <w:szCs w:val="22"/>
              </w:rPr>
              <w:t>os</w:t>
            </w:r>
            <w:r w:rsidR="00B929DD">
              <w:rPr>
                <w:rFonts w:cs="Arial"/>
                <w:color w:val="000000" w:themeColor="text1"/>
                <w:sz w:val="22"/>
                <w:szCs w:val="22"/>
              </w:rPr>
              <w:t xml:space="preserve"> deveres Constitucionais </w:t>
            </w:r>
            <w:r w:rsidR="00F11FC7">
              <w:rPr>
                <w:rFonts w:cs="Arial"/>
                <w:color w:val="000000" w:themeColor="text1"/>
                <w:sz w:val="22"/>
                <w:szCs w:val="22"/>
              </w:rPr>
              <w:t xml:space="preserve">da União </w:t>
            </w:r>
            <w:r w:rsidR="00B929DD">
              <w:rPr>
                <w:rFonts w:cs="Arial"/>
                <w:color w:val="000000" w:themeColor="text1"/>
                <w:sz w:val="22"/>
                <w:szCs w:val="22"/>
              </w:rPr>
              <w:t>e o fato de não ter investido no projeto e não ter assumido</w:t>
            </w:r>
            <w:r w:rsidR="00F11FC7">
              <w:rPr>
                <w:rFonts w:cs="Arial"/>
                <w:color w:val="000000" w:themeColor="text1"/>
                <w:sz w:val="22"/>
                <w:szCs w:val="22"/>
              </w:rPr>
              <w:t xml:space="preserve"> quaisquer</w:t>
            </w:r>
            <w:r w:rsidR="00B929DD">
              <w:rPr>
                <w:rFonts w:cs="Arial"/>
                <w:color w:val="000000" w:themeColor="text1"/>
                <w:sz w:val="22"/>
                <w:szCs w:val="22"/>
              </w:rPr>
              <w:t xml:space="preserve"> riscos.</w:t>
            </w:r>
          </w:p>
        </w:tc>
      </w:tr>
      <w:tr w:rsidR="00BA709C" w:rsidRPr="00054F04" w14:paraId="67094BDF" w14:textId="77777777" w:rsidTr="00864380">
        <w:trPr>
          <w:trHeight w:val="2268"/>
        </w:trPr>
        <w:tc>
          <w:tcPr>
            <w:tcW w:w="529" w:type="pct"/>
            <w:vAlign w:val="center"/>
          </w:tcPr>
          <w:p w14:paraId="3B0704FC"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Minuta do contrato</w:t>
            </w:r>
          </w:p>
        </w:tc>
        <w:tc>
          <w:tcPr>
            <w:tcW w:w="682" w:type="pct"/>
            <w:vAlign w:val="center"/>
          </w:tcPr>
          <w:p w14:paraId="17570E9E"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Alteração</w:t>
            </w:r>
          </w:p>
        </w:tc>
        <w:tc>
          <w:tcPr>
            <w:tcW w:w="513" w:type="pct"/>
            <w:vAlign w:val="center"/>
          </w:tcPr>
          <w:p w14:paraId="01D8796D"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20.4</w:t>
            </w:r>
          </w:p>
        </w:tc>
        <w:tc>
          <w:tcPr>
            <w:tcW w:w="1832" w:type="pct"/>
            <w:vAlign w:val="center"/>
          </w:tcPr>
          <w:p w14:paraId="68B6FCA6" w14:textId="18665E6A" w:rsidR="00BA709C" w:rsidRPr="00054F04" w:rsidRDefault="00BA709C" w:rsidP="00B929DD">
            <w:pPr>
              <w:pStyle w:val="CTO-TxtClau"/>
              <w:numPr>
                <w:ilvl w:val="0"/>
                <w:numId w:val="0"/>
              </w:numPr>
              <w:spacing w:before="120" w:after="120" w:line="240" w:lineRule="auto"/>
              <w:jc w:val="left"/>
              <w:rPr>
                <w:rFonts w:cs="Arial"/>
                <w:szCs w:val="22"/>
                <w:lang w:val="pt-BR"/>
              </w:rPr>
            </w:pPr>
            <w:r w:rsidRPr="00054F04">
              <w:rPr>
                <w:rFonts w:cs="Arial"/>
                <w:szCs w:val="22"/>
                <w:lang w:val="pt-BR"/>
              </w:rPr>
              <w:t>Os Consorciados deverão permitir livre acesso às autoridades que tenham competência sobre quaisquer de suas atividades.</w:t>
            </w:r>
            <w:r w:rsidR="00B929DD">
              <w:rPr>
                <w:rFonts w:cs="Arial"/>
                <w:szCs w:val="22"/>
                <w:lang w:val="pt-BR"/>
              </w:rPr>
              <w:t xml:space="preserve"> Tais autoridades deverão assegurar que seu pessoal cumpra as políticas de segurança do Contratante </w:t>
            </w:r>
          </w:p>
        </w:tc>
        <w:tc>
          <w:tcPr>
            <w:tcW w:w="1444" w:type="pct"/>
            <w:vAlign w:val="center"/>
          </w:tcPr>
          <w:p w14:paraId="4F075308" w14:textId="77777777" w:rsidR="00BA709C" w:rsidRPr="00054F04" w:rsidRDefault="00BA709C" w:rsidP="00BA709C">
            <w:pPr>
              <w:pStyle w:val="Caption"/>
              <w:spacing w:before="120" w:after="120"/>
              <w:rPr>
                <w:rFonts w:cs="Arial"/>
                <w:color w:val="000000" w:themeColor="text1"/>
                <w:sz w:val="22"/>
                <w:szCs w:val="22"/>
              </w:rPr>
            </w:pPr>
            <w:r w:rsidRPr="00054F04">
              <w:rPr>
                <w:rFonts w:cs="Arial"/>
                <w:color w:val="000000" w:themeColor="text1"/>
                <w:sz w:val="22"/>
                <w:szCs w:val="22"/>
              </w:rPr>
              <w:t xml:space="preserve">Esta inclusão visa </w:t>
            </w:r>
            <w:r>
              <w:rPr>
                <w:rFonts w:cs="Arial"/>
                <w:color w:val="000000" w:themeColor="text1"/>
                <w:sz w:val="22"/>
                <w:szCs w:val="22"/>
              </w:rPr>
              <w:t xml:space="preserve">a </w:t>
            </w:r>
            <w:r w:rsidRPr="00054F04">
              <w:rPr>
                <w:rFonts w:cs="Arial"/>
                <w:color w:val="000000" w:themeColor="text1"/>
                <w:sz w:val="22"/>
                <w:szCs w:val="22"/>
              </w:rPr>
              <w:t>prevenir acidentes e outros incidentes que possam ocorrer devido ao não cumprimento dos requisitos de políticas de segurança.</w:t>
            </w:r>
          </w:p>
        </w:tc>
      </w:tr>
      <w:tr w:rsidR="00BA709C" w:rsidRPr="00054F04" w14:paraId="1E423206" w14:textId="77777777" w:rsidTr="00864380">
        <w:trPr>
          <w:trHeight w:val="2268"/>
        </w:trPr>
        <w:tc>
          <w:tcPr>
            <w:tcW w:w="529" w:type="pct"/>
            <w:vAlign w:val="center"/>
          </w:tcPr>
          <w:p w14:paraId="6AB08E6A"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Minuta do contrato</w:t>
            </w:r>
          </w:p>
        </w:tc>
        <w:tc>
          <w:tcPr>
            <w:tcW w:w="682" w:type="pct"/>
            <w:vAlign w:val="center"/>
          </w:tcPr>
          <w:p w14:paraId="125461A3"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Inclusão</w:t>
            </w:r>
          </w:p>
        </w:tc>
        <w:tc>
          <w:tcPr>
            <w:tcW w:w="513" w:type="pct"/>
            <w:vAlign w:val="center"/>
          </w:tcPr>
          <w:p w14:paraId="4A32579F" w14:textId="77777777" w:rsidR="00BA709C" w:rsidRPr="00054F04" w:rsidRDefault="00BA709C" w:rsidP="00BA709C">
            <w:pPr>
              <w:pStyle w:val="Caption"/>
              <w:spacing w:before="120" w:after="120"/>
              <w:jc w:val="center"/>
              <w:rPr>
                <w:rFonts w:cs="Arial"/>
                <w:color w:val="000000" w:themeColor="text1"/>
                <w:sz w:val="22"/>
                <w:szCs w:val="22"/>
              </w:rPr>
            </w:pPr>
            <w:r>
              <w:rPr>
                <w:rFonts w:cs="Arial"/>
                <w:color w:val="000000" w:themeColor="text1"/>
                <w:sz w:val="22"/>
                <w:szCs w:val="22"/>
              </w:rPr>
              <w:t>(</w:t>
            </w:r>
            <w:r w:rsidRPr="00054F04">
              <w:rPr>
                <w:rFonts w:cs="Arial"/>
                <w:color w:val="000000" w:themeColor="text1"/>
                <w:sz w:val="22"/>
                <w:szCs w:val="22"/>
              </w:rPr>
              <w:t>23.10.1</w:t>
            </w:r>
            <w:r>
              <w:rPr>
                <w:rFonts w:cs="Arial"/>
                <w:color w:val="000000" w:themeColor="text1"/>
                <w:sz w:val="22"/>
                <w:szCs w:val="22"/>
              </w:rPr>
              <w:t>)</w:t>
            </w:r>
          </w:p>
        </w:tc>
        <w:tc>
          <w:tcPr>
            <w:tcW w:w="1832" w:type="pct"/>
            <w:vAlign w:val="center"/>
          </w:tcPr>
          <w:p w14:paraId="08584B74" w14:textId="77777777" w:rsidR="00BA709C" w:rsidRPr="00054F04" w:rsidRDefault="00BA709C" w:rsidP="00BA709C">
            <w:pPr>
              <w:pStyle w:val="Contrato-Pargrafo-Nvel2"/>
              <w:numPr>
                <w:ilvl w:val="0"/>
                <w:numId w:val="0"/>
              </w:numPr>
              <w:spacing w:before="120" w:after="120"/>
              <w:jc w:val="left"/>
              <w:rPr>
                <w:color w:val="000000" w:themeColor="text1"/>
              </w:rPr>
            </w:pPr>
            <w:r w:rsidRPr="00054F04">
              <w:rPr>
                <w:color w:val="000000" w:themeColor="text1"/>
              </w:rPr>
              <w:t xml:space="preserve">Caso a Contratante decida receber tais bens localizados na Área do Contrato, o Contratado deve transferir todos os direitos e títulos remanescentes referentes a eles, em suas condições atuais, sem nenhuma garantia de qualquer tipo, e a Contratante deverá ser exclusivamente responsável por tais bens, inclusive por sua desativação e disposição final. </w:t>
            </w:r>
          </w:p>
        </w:tc>
        <w:tc>
          <w:tcPr>
            <w:tcW w:w="1444" w:type="pct"/>
            <w:vAlign w:val="center"/>
          </w:tcPr>
          <w:p w14:paraId="3E5348B4" w14:textId="77777777" w:rsidR="00BA709C" w:rsidRPr="00054F04" w:rsidRDefault="00BA709C" w:rsidP="00BA709C">
            <w:pPr>
              <w:pStyle w:val="Caption"/>
              <w:spacing w:before="120" w:after="120"/>
              <w:rPr>
                <w:rFonts w:cs="Arial"/>
                <w:color w:val="000000" w:themeColor="text1"/>
                <w:sz w:val="22"/>
                <w:szCs w:val="22"/>
              </w:rPr>
            </w:pPr>
            <w:r w:rsidRPr="00054F04">
              <w:rPr>
                <w:rFonts w:cs="Arial"/>
                <w:color w:val="000000" w:themeColor="text1"/>
                <w:sz w:val="22"/>
                <w:szCs w:val="22"/>
              </w:rPr>
              <w:t xml:space="preserve">O objetivo desta inclusão é dar maior segurança com relação à alocação de responsabilidades sobre as instalações, bens e ativos que venham a ser transferidos, conforme requerido pela Contratante, </w:t>
            </w:r>
            <w:r>
              <w:rPr>
                <w:rFonts w:cs="Arial"/>
                <w:color w:val="000000" w:themeColor="text1"/>
                <w:sz w:val="22"/>
                <w:szCs w:val="22"/>
              </w:rPr>
              <w:t>em vez de serem desativados pelo</w:t>
            </w:r>
            <w:r w:rsidRPr="00054F04">
              <w:rPr>
                <w:rFonts w:cs="Arial"/>
                <w:color w:val="000000" w:themeColor="text1"/>
                <w:sz w:val="22"/>
                <w:szCs w:val="22"/>
              </w:rPr>
              <w:t xml:space="preserve"> </w:t>
            </w:r>
            <w:r>
              <w:rPr>
                <w:rFonts w:cs="Arial"/>
                <w:color w:val="000000" w:themeColor="text1"/>
                <w:sz w:val="22"/>
                <w:szCs w:val="22"/>
              </w:rPr>
              <w:t>Contratado</w:t>
            </w:r>
            <w:r w:rsidRPr="00054F04">
              <w:rPr>
                <w:rFonts w:cs="Arial"/>
                <w:color w:val="000000" w:themeColor="text1"/>
                <w:sz w:val="22"/>
                <w:szCs w:val="22"/>
              </w:rPr>
              <w:t>.</w:t>
            </w:r>
          </w:p>
          <w:p w14:paraId="1C18F7A3" w14:textId="77777777" w:rsidR="00BA709C" w:rsidRPr="00054F04" w:rsidRDefault="00BA709C" w:rsidP="00BA709C">
            <w:pPr>
              <w:spacing w:before="120" w:after="120"/>
              <w:rPr>
                <w:rFonts w:ascii="Arial" w:hAnsi="Arial" w:cs="Arial"/>
                <w:color w:val="000000" w:themeColor="text1"/>
                <w:sz w:val="22"/>
                <w:szCs w:val="22"/>
              </w:rPr>
            </w:pPr>
            <w:r w:rsidRPr="00054F04">
              <w:rPr>
                <w:rFonts w:ascii="Arial" w:hAnsi="Arial" w:cs="Arial"/>
                <w:color w:val="000000" w:themeColor="text1"/>
                <w:sz w:val="22"/>
                <w:szCs w:val="22"/>
              </w:rPr>
              <w:t xml:space="preserve">Caso contrário, embora as instalações, bens e ativos fossem retidos pela Contratante, a parte que está saindo da área permaneceria (indefinitivamente) com a reponsabilidade por ativos que não são mais operados por ela, causando </w:t>
            </w:r>
            <w:r w:rsidRPr="00054F04">
              <w:rPr>
                <w:rFonts w:ascii="Arial" w:hAnsi="Arial" w:cs="Arial"/>
                <w:color w:val="000000" w:themeColor="text1"/>
                <w:sz w:val="22"/>
                <w:szCs w:val="22"/>
              </w:rPr>
              <w:lastRenderedPageBreak/>
              <w:t>riscos injustificados e possíveis perdas.</w:t>
            </w:r>
          </w:p>
          <w:p w14:paraId="04E0DE51" w14:textId="77777777" w:rsidR="00BA709C" w:rsidRPr="00054F04" w:rsidRDefault="00BA709C" w:rsidP="00BA709C">
            <w:pPr>
              <w:spacing w:before="120" w:after="120"/>
              <w:rPr>
                <w:rFonts w:ascii="Arial" w:hAnsi="Arial" w:cs="Arial"/>
                <w:color w:val="000000" w:themeColor="text1"/>
                <w:sz w:val="22"/>
                <w:szCs w:val="22"/>
              </w:rPr>
            </w:pPr>
          </w:p>
          <w:p w14:paraId="41BD8272" w14:textId="77777777" w:rsidR="00BA709C" w:rsidRPr="00054F04" w:rsidRDefault="00BA709C" w:rsidP="00BA709C">
            <w:pPr>
              <w:spacing w:before="120" w:after="120"/>
              <w:rPr>
                <w:rFonts w:ascii="Arial" w:hAnsi="Arial" w:cs="Arial"/>
                <w:sz w:val="22"/>
                <w:szCs w:val="22"/>
              </w:rPr>
            </w:pPr>
            <w:r w:rsidRPr="00054F04">
              <w:rPr>
                <w:rFonts w:ascii="Arial" w:hAnsi="Arial" w:cs="Arial"/>
                <w:color w:val="000000" w:themeColor="text1"/>
                <w:sz w:val="22"/>
                <w:szCs w:val="22"/>
              </w:rPr>
              <w:t xml:space="preserve">Nesses casos, em linha com as Melhores Práticas da Indústria do Petróleo, o Operador pode preferir desativar e abandonar os bens do que os transferir e permanecer com a responsabilidade por eles. </w:t>
            </w:r>
          </w:p>
        </w:tc>
      </w:tr>
      <w:tr w:rsidR="00BA709C" w:rsidRPr="00054F04" w14:paraId="63A75212" w14:textId="77777777" w:rsidTr="00864380">
        <w:trPr>
          <w:trHeight w:val="2268"/>
        </w:trPr>
        <w:tc>
          <w:tcPr>
            <w:tcW w:w="529" w:type="pct"/>
            <w:vAlign w:val="center"/>
          </w:tcPr>
          <w:p w14:paraId="6C85C527"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lastRenderedPageBreak/>
              <w:t>Minuta do contrato</w:t>
            </w:r>
          </w:p>
        </w:tc>
        <w:tc>
          <w:tcPr>
            <w:tcW w:w="682" w:type="pct"/>
            <w:vAlign w:val="center"/>
          </w:tcPr>
          <w:p w14:paraId="62E9531D"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Exclusão</w:t>
            </w:r>
          </w:p>
        </w:tc>
        <w:tc>
          <w:tcPr>
            <w:tcW w:w="513" w:type="pct"/>
            <w:vAlign w:val="center"/>
          </w:tcPr>
          <w:p w14:paraId="2C2679BF"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23.10.2</w:t>
            </w:r>
          </w:p>
        </w:tc>
        <w:tc>
          <w:tcPr>
            <w:tcW w:w="1832" w:type="pct"/>
            <w:vAlign w:val="center"/>
          </w:tcPr>
          <w:p w14:paraId="5B1951AD" w14:textId="77777777" w:rsidR="00BA709C" w:rsidRPr="00054F04" w:rsidRDefault="00BA709C" w:rsidP="00BA709C">
            <w:pPr>
              <w:pStyle w:val="Contrato-Pargrafo-Nvel2"/>
              <w:numPr>
                <w:ilvl w:val="0"/>
                <w:numId w:val="0"/>
              </w:numPr>
              <w:spacing w:before="120" w:after="120"/>
              <w:jc w:val="left"/>
              <w:rPr>
                <w:color w:val="000000" w:themeColor="text1"/>
              </w:rPr>
            </w:pPr>
          </w:p>
        </w:tc>
        <w:tc>
          <w:tcPr>
            <w:tcW w:w="1444" w:type="pct"/>
            <w:vAlign w:val="center"/>
          </w:tcPr>
          <w:p w14:paraId="755F4A03" w14:textId="77777777" w:rsidR="00BA709C" w:rsidRPr="00054F04" w:rsidRDefault="00BA709C" w:rsidP="00BA709C">
            <w:pPr>
              <w:spacing w:before="120" w:after="120"/>
              <w:rPr>
                <w:rFonts w:ascii="Arial" w:hAnsi="Arial" w:cs="Arial"/>
                <w:color w:val="000000" w:themeColor="text1"/>
                <w:sz w:val="22"/>
                <w:szCs w:val="22"/>
              </w:rPr>
            </w:pPr>
            <w:r w:rsidRPr="00054F04">
              <w:rPr>
                <w:rFonts w:ascii="Arial" w:hAnsi="Arial" w:cs="Arial"/>
                <w:color w:val="000000" w:themeColor="text1"/>
                <w:sz w:val="22"/>
                <w:szCs w:val="22"/>
              </w:rPr>
              <w:t>Isto é impraticável. No caso d</w:t>
            </w:r>
            <w:r>
              <w:rPr>
                <w:rFonts w:ascii="Arial" w:hAnsi="Arial" w:cs="Arial"/>
                <w:color w:val="000000" w:themeColor="text1"/>
                <w:sz w:val="22"/>
                <w:szCs w:val="22"/>
              </w:rPr>
              <w:t xml:space="preserve">e </w:t>
            </w:r>
            <w:r w:rsidRPr="00054F04">
              <w:rPr>
                <w:rFonts w:ascii="Arial" w:hAnsi="Arial" w:cs="Arial"/>
                <w:color w:val="000000" w:themeColor="text1"/>
                <w:sz w:val="22"/>
                <w:szCs w:val="22"/>
              </w:rPr>
              <w:t>o Contratado ser obrigado a incluir tal previsão nos contratos aplicáveis, is</w:t>
            </w:r>
            <w:r>
              <w:rPr>
                <w:rFonts w:ascii="Arial" w:hAnsi="Arial" w:cs="Arial"/>
                <w:color w:val="000000" w:themeColor="text1"/>
                <w:sz w:val="22"/>
                <w:szCs w:val="22"/>
              </w:rPr>
              <w:t>to prejudicaria demasiadamente o</w:t>
            </w:r>
            <w:r w:rsidRPr="00054F04">
              <w:rPr>
                <w:rFonts w:ascii="Arial" w:hAnsi="Arial" w:cs="Arial"/>
                <w:color w:val="000000" w:themeColor="text1"/>
                <w:sz w:val="22"/>
                <w:szCs w:val="22"/>
              </w:rPr>
              <w:t xml:space="preserve"> finan</w:t>
            </w:r>
            <w:r>
              <w:rPr>
                <w:rFonts w:ascii="Arial" w:hAnsi="Arial" w:cs="Arial"/>
                <w:color w:val="000000" w:themeColor="text1"/>
                <w:sz w:val="22"/>
                <w:szCs w:val="22"/>
              </w:rPr>
              <w:t xml:space="preserve">ciamento de tais bens pelos </w:t>
            </w:r>
            <w:r w:rsidRPr="00054F04">
              <w:rPr>
                <w:rFonts w:ascii="Arial" w:hAnsi="Arial" w:cs="Arial"/>
                <w:color w:val="000000" w:themeColor="text1"/>
                <w:sz w:val="22"/>
                <w:szCs w:val="22"/>
              </w:rPr>
              <w:t>contratados e sua avaliação de risco. Na remota hipótese de tais inclusões serem aceitas pelos seus contratados e respectivos bancos, isto resultaria indubitavelmente em um impacto no preço – seja ele recuperável no Custo em Óleo ou não.</w:t>
            </w:r>
          </w:p>
        </w:tc>
      </w:tr>
      <w:tr w:rsidR="00BA709C" w:rsidRPr="00054F04" w14:paraId="43F205EE" w14:textId="77777777" w:rsidTr="00864380">
        <w:trPr>
          <w:trHeight w:val="2268"/>
        </w:trPr>
        <w:tc>
          <w:tcPr>
            <w:tcW w:w="529" w:type="pct"/>
            <w:vAlign w:val="center"/>
          </w:tcPr>
          <w:p w14:paraId="2504557B"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Minuta do contrato</w:t>
            </w:r>
          </w:p>
        </w:tc>
        <w:tc>
          <w:tcPr>
            <w:tcW w:w="682" w:type="pct"/>
            <w:vAlign w:val="center"/>
          </w:tcPr>
          <w:p w14:paraId="32501A77"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Alteração</w:t>
            </w:r>
          </w:p>
        </w:tc>
        <w:tc>
          <w:tcPr>
            <w:tcW w:w="513" w:type="pct"/>
            <w:vAlign w:val="center"/>
          </w:tcPr>
          <w:p w14:paraId="46140559"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24.8</w:t>
            </w:r>
          </w:p>
        </w:tc>
        <w:tc>
          <w:tcPr>
            <w:tcW w:w="1832" w:type="pct"/>
            <w:vAlign w:val="center"/>
          </w:tcPr>
          <w:p w14:paraId="091DF111" w14:textId="2A40CF51" w:rsidR="00BA709C" w:rsidRPr="00054F04" w:rsidRDefault="00BA709C" w:rsidP="00B929DD">
            <w:pPr>
              <w:spacing w:before="120" w:after="120"/>
              <w:rPr>
                <w:rFonts w:ascii="Arial" w:hAnsi="Arial" w:cs="Arial"/>
                <w:color w:val="000000" w:themeColor="text1"/>
                <w:sz w:val="22"/>
                <w:szCs w:val="22"/>
              </w:rPr>
            </w:pPr>
            <w:r w:rsidRPr="00054F04">
              <w:rPr>
                <w:rFonts w:ascii="Arial" w:hAnsi="Arial" w:cs="Arial"/>
                <w:color w:val="000000" w:themeColor="text1"/>
                <w:sz w:val="22"/>
                <w:szCs w:val="22"/>
              </w:rPr>
              <w:t>Os Contratados responderão, integral e objetivamente, pelas atividades de seus subcontratados que resultarem, direta ou indiretamente, em danos ou prejuízos ao meio ambiente.</w:t>
            </w:r>
          </w:p>
        </w:tc>
        <w:tc>
          <w:tcPr>
            <w:tcW w:w="1444" w:type="pct"/>
            <w:vAlign w:val="center"/>
          </w:tcPr>
          <w:p w14:paraId="5CB5C276" w14:textId="62291B11" w:rsidR="00BA709C" w:rsidRPr="00054F04" w:rsidRDefault="00BA709C" w:rsidP="00F11FC7">
            <w:pPr>
              <w:spacing w:before="120" w:after="120"/>
              <w:rPr>
                <w:rFonts w:ascii="Arial" w:hAnsi="Arial" w:cs="Arial"/>
                <w:color w:val="000000" w:themeColor="text1"/>
                <w:sz w:val="22"/>
                <w:szCs w:val="22"/>
              </w:rPr>
            </w:pPr>
            <w:r w:rsidRPr="00054F04">
              <w:rPr>
                <w:rFonts w:ascii="Arial" w:hAnsi="Arial" w:cs="Arial"/>
                <w:color w:val="000000" w:themeColor="text1"/>
                <w:sz w:val="22"/>
                <w:szCs w:val="22"/>
              </w:rPr>
              <w:t xml:space="preserve">Esta </w:t>
            </w:r>
            <w:r w:rsidR="00B929DD">
              <w:rPr>
                <w:rFonts w:ascii="Arial" w:hAnsi="Arial" w:cs="Arial"/>
                <w:color w:val="000000" w:themeColor="text1"/>
                <w:sz w:val="22"/>
                <w:szCs w:val="22"/>
              </w:rPr>
              <w:t xml:space="preserve">exclusão </w:t>
            </w:r>
            <w:r w:rsidRPr="00054F04">
              <w:rPr>
                <w:rFonts w:ascii="Arial" w:hAnsi="Arial" w:cs="Arial"/>
                <w:color w:val="000000" w:themeColor="text1"/>
                <w:sz w:val="22"/>
                <w:szCs w:val="22"/>
              </w:rPr>
              <w:t xml:space="preserve">visa </w:t>
            </w:r>
            <w:r>
              <w:rPr>
                <w:rFonts w:ascii="Arial" w:hAnsi="Arial" w:cs="Arial"/>
                <w:color w:val="000000" w:themeColor="text1"/>
                <w:sz w:val="22"/>
                <w:szCs w:val="22"/>
              </w:rPr>
              <w:t xml:space="preserve">a </w:t>
            </w:r>
            <w:r w:rsidRPr="00054F04">
              <w:rPr>
                <w:rFonts w:ascii="Arial" w:hAnsi="Arial" w:cs="Arial"/>
                <w:color w:val="000000" w:themeColor="text1"/>
                <w:sz w:val="22"/>
                <w:szCs w:val="22"/>
              </w:rPr>
              <w:t>esclarecer que a responsabilidade</w:t>
            </w:r>
            <w:r w:rsidR="00B929DD">
              <w:rPr>
                <w:rFonts w:ascii="Arial" w:hAnsi="Arial" w:cs="Arial"/>
                <w:color w:val="000000" w:themeColor="text1"/>
                <w:sz w:val="22"/>
                <w:szCs w:val="22"/>
              </w:rPr>
              <w:t xml:space="preserve"> objetiva </w:t>
            </w:r>
            <w:r w:rsidR="00A87A73">
              <w:rPr>
                <w:rFonts w:ascii="Arial" w:hAnsi="Arial" w:cs="Arial"/>
                <w:color w:val="000000" w:themeColor="text1"/>
                <w:sz w:val="22"/>
                <w:szCs w:val="22"/>
              </w:rPr>
              <w:t xml:space="preserve">se </w:t>
            </w:r>
            <w:r w:rsidR="00B929DD">
              <w:rPr>
                <w:rFonts w:ascii="Arial" w:hAnsi="Arial" w:cs="Arial"/>
                <w:color w:val="000000" w:themeColor="text1"/>
                <w:sz w:val="22"/>
                <w:szCs w:val="22"/>
              </w:rPr>
              <w:t>limita aos casos</w:t>
            </w:r>
            <w:r w:rsidRPr="00054F04">
              <w:rPr>
                <w:rFonts w:ascii="Arial" w:hAnsi="Arial" w:cs="Arial"/>
                <w:color w:val="000000" w:themeColor="text1"/>
                <w:sz w:val="22"/>
                <w:szCs w:val="22"/>
              </w:rPr>
              <w:t xml:space="preserve"> estabelecid</w:t>
            </w:r>
            <w:r w:rsidR="00B929DD">
              <w:rPr>
                <w:rFonts w:ascii="Arial" w:hAnsi="Arial" w:cs="Arial"/>
                <w:color w:val="000000" w:themeColor="text1"/>
                <w:sz w:val="22"/>
                <w:szCs w:val="22"/>
              </w:rPr>
              <w:t>os</w:t>
            </w:r>
            <w:r w:rsidRPr="00054F04">
              <w:rPr>
                <w:rFonts w:ascii="Arial" w:hAnsi="Arial" w:cs="Arial"/>
                <w:color w:val="000000" w:themeColor="text1"/>
                <w:sz w:val="22"/>
                <w:szCs w:val="22"/>
              </w:rPr>
              <w:t xml:space="preserve"> </w:t>
            </w:r>
            <w:r w:rsidR="00F11FC7">
              <w:rPr>
                <w:rFonts w:ascii="Arial" w:hAnsi="Arial" w:cs="Arial"/>
                <w:color w:val="000000" w:themeColor="text1"/>
                <w:sz w:val="22"/>
                <w:szCs w:val="22"/>
              </w:rPr>
              <w:t>por</w:t>
            </w:r>
            <w:r w:rsidRPr="00054F04">
              <w:rPr>
                <w:rFonts w:ascii="Arial" w:hAnsi="Arial" w:cs="Arial"/>
                <w:color w:val="000000" w:themeColor="text1"/>
                <w:sz w:val="22"/>
                <w:szCs w:val="22"/>
              </w:rPr>
              <w:t xml:space="preserve"> lei </w:t>
            </w:r>
            <w:r w:rsidR="00B929DD">
              <w:rPr>
                <w:rFonts w:ascii="Arial" w:hAnsi="Arial" w:cs="Arial"/>
                <w:color w:val="000000" w:themeColor="text1"/>
                <w:sz w:val="22"/>
                <w:szCs w:val="22"/>
              </w:rPr>
              <w:t>(</w:t>
            </w:r>
            <w:r w:rsidR="00A87A73">
              <w:rPr>
                <w:rFonts w:ascii="Arial" w:hAnsi="Arial" w:cs="Arial"/>
                <w:color w:val="000000" w:themeColor="text1"/>
                <w:sz w:val="22"/>
                <w:szCs w:val="22"/>
              </w:rPr>
              <w:t xml:space="preserve">apenas para fins </w:t>
            </w:r>
            <w:r w:rsidR="00F11FC7">
              <w:rPr>
                <w:rFonts w:ascii="Arial" w:hAnsi="Arial" w:cs="Arial"/>
                <w:color w:val="000000" w:themeColor="text1"/>
                <w:sz w:val="22"/>
                <w:szCs w:val="22"/>
              </w:rPr>
              <w:t>ambientais</w:t>
            </w:r>
            <w:r w:rsidR="00A87A73">
              <w:rPr>
                <w:rFonts w:ascii="Arial" w:hAnsi="Arial" w:cs="Arial"/>
                <w:color w:val="000000" w:themeColor="text1"/>
                <w:sz w:val="22"/>
                <w:szCs w:val="22"/>
              </w:rPr>
              <w:t xml:space="preserve">, mas não </w:t>
            </w:r>
            <w:r w:rsidR="00F11FC7">
              <w:rPr>
                <w:rFonts w:ascii="Arial" w:hAnsi="Arial" w:cs="Arial"/>
                <w:color w:val="000000" w:themeColor="text1"/>
                <w:sz w:val="22"/>
                <w:szCs w:val="22"/>
              </w:rPr>
              <w:t xml:space="preserve">por </w:t>
            </w:r>
            <w:r w:rsidR="00A87A73">
              <w:rPr>
                <w:rFonts w:ascii="Arial" w:hAnsi="Arial" w:cs="Arial"/>
                <w:color w:val="000000" w:themeColor="text1"/>
                <w:sz w:val="22"/>
                <w:szCs w:val="22"/>
              </w:rPr>
              <w:t>danos ou prejuízos à Contratante, Gestora ou à ANP</w:t>
            </w:r>
            <w:r w:rsidR="00F11FC7">
              <w:rPr>
                <w:rFonts w:ascii="Arial" w:hAnsi="Arial" w:cs="Arial"/>
                <w:color w:val="000000" w:themeColor="text1"/>
                <w:sz w:val="22"/>
                <w:szCs w:val="22"/>
              </w:rPr>
              <w:t>, cuja responsabilidade é subjetiva por lei</w:t>
            </w:r>
            <w:r w:rsidR="00A87A73">
              <w:rPr>
                <w:rFonts w:ascii="Arial" w:hAnsi="Arial" w:cs="Arial"/>
                <w:color w:val="000000" w:themeColor="text1"/>
                <w:sz w:val="22"/>
                <w:szCs w:val="22"/>
              </w:rPr>
              <w:t>)</w:t>
            </w:r>
            <w:r w:rsidRPr="00054F04">
              <w:rPr>
                <w:rFonts w:ascii="Arial" w:hAnsi="Arial" w:cs="Arial"/>
                <w:color w:val="000000" w:themeColor="text1"/>
                <w:sz w:val="22"/>
                <w:szCs w:val="22"/>
              </w:rPr>
              <w:t>.</w:t>
            </w:r>
            <w:r w:rsidR="00A87A73">
              <w:rPr>
                <w:rFonts w:ascii="Arial" w:hAnsi="Arial" w:cs="Arial"/>
                <w:color w:val="000000" w:themeColor="text1"/>
                <w:sz w:val="22"/>
                <w:szCs w:val="22"/>
              </w:rPr>
              <w:t xml:space="preserve"> O PSC não pode impor responsabilidade objetiva se a lei assim não exigir.</w:t>
            </w:r>
          </w:p>
        </w:tc>
      </w:tr>
      <w:tr w:rsidR="00BA709C" w:rsidRPr="00054F04" w14:paraId="2F7417EB" w14:textId="77777777" w:rsidTr="00864380">
        <w:trPr>
          <w:trHeight w:val="2268"/>
        </w:trPr>
        <w:tc>
          <w:tcPr>
            <w:tcW w:w="529" w:type="pct"/>
            <w:vAlign w:val="center"/>
          </w:tcPr>
          <w:p w14:paraId="36DA45DE"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lastRenderedPageBreak/>
              <w:t>Minuta do contrato</w:t>
            </w:r>
          </w:p>
        </w:tc>
        <w:tc>
          <w:tcPr>
            <w:tcW w:w="682" w:type="pct"/>
            <w:vAlign w:val="center"/>
          </w:tcPr>
          <w:p w14:paraId="6EB71748" w14:textId="77777777" w:rsidR="00BA709C" w:rsidRPr="00054F04" w:rsidRDefault="00BA709C" w:rsidP="00BA709C">
            <w:pPr>
              <w:pStyle w:val="Caption"/>
              <w:spacing w:before="120" w:after="120"/>
              <w:jc w:val="center"/>
              <w:rPr>
                <w:rFonts w:cs="Arial"/>
                <w:color w:val="000000" w:themeColor="text1"/>
                <w:sz w:val="22"/>
                <w:szCs w:val="22"/>
              </w:rPr>
            </w:pPr>
            <w:r>
              <w:rPr>
                <w:rFonts w:cs="Arial"/>
                <w:color w:val="000000" w:themeColor="text1"/>
                <w:sz w:val="22"/>
                <w:szCs w:val="22"/>
              </w:rPr>
              <w:t>Alteração</w:t>
            </w:r>
          </w:p>
        </w:tc>
        <w:tc>
          <w:tcPr>
            <w:tcW w:w="513" w:type="pct"/>
            <w:vAlign w:val="center"/>
          </w:tcPr>
          <w:p w14:paraId="010529DC" w14:textId="77777777" w:rsidR="00BA709C" w:rsidRPr="00054F04" w:rsidRDefault="00BA709C" w:rsidP="0075132F">
            <w:pPr>
              <w:pStyle w:val="Caption"/>
              <w:spacing w:before="120" w:after="120"/>
              <w:jc w:val="center"/>
              <w:rPr>
                <w:rFonts w:cs="Arial"/>
                <w:color w:val="000000" w:themeColor="text1"/>
                <w:sz w:val="22"/>
                <w:szCs w:val="22"/>
              </w:rPr>
            </w:pPr>
            <w:r w:rsidRPr="00054F04">
              <w:rPr>
                <w:rFonts w:cs="Arial"/>
                <w:color w:val="000000" w:themeColor="text1"/>
                <w:sz w:val="22"/>
                <w:szCs w:val="22"/>
              </w:rPr>
              <w:t>30.8.</w:t>
            </w:r>
            <w:r w:rsidR="0075132F">
              <w:rPr>
                <w:rFonts w:cs="Arial"/>
                <w:color w:val="000000" w:themeColor="text1"/>
                <w:sz w:val="22"/>
                <w:szCs w:val="22"/>
              </w:rPr>
              <w:t>2</w:t>
            </w:r>
          </w:p>
        </w:tc>
        <w:tc>
          <w:tcPr>
            <w:tcW w:w="1832" w:type="pct"/>
            <w:vAlign w:val="center"/>
          </w:tcPr>
          <w:p w14:paraId="3E238469" w14:textId="43199E25" w:rsidR="00BA709C" w:rsidRPr="00054F04" w:rsidRDefault="00A87A73" w:rsidP="00A87A73">
            <w:pPr>
              <w:pStyle w:val="Contrato-Pargrafo-Nvel2"/>
              <w:numPr>
                <w:ilvl w:val="0"/>
                <w:numId w:val="0"/>
              </w:numPr>
              <w:spacing w:before="120" w:after="120"/>
              <w:jc w:val="left"/>
              <w:rPr>
                <w:color w:val="000000" w:themeColor="text1"/>
              </w:rPr>
            </w:pPr>
            <w:r>
              <w:t>A ANP definirá um Programa Exploratório Mínimo para cada uma das áreas resultantes da divisão. A soma dos Programas Exploratórios Mínimos resultantes não deverá ser superior ao Programa Exploratório Mínimo original</w:t>
            </w:r>
            <w:r w:rsidR="00BA709C" w:rsidRPr="00054F04">
              <w:t>.</w:t>
            </w:r>
          </w:p>
        </w:tc>
        <w:tc>
          <w:tcPr>
            <w:tcW w:w="1444" w:type="pct"/>
            <w:vAlign w:val="center"/>
          </w:tcPr>
          <w:p w14:paraId="79CDF75C" w14:textId="77777777" w:rsidR="00BA709C" w:rsidRDefault="00BA709C" w:rsidP="00BA709C">
            <w:pPr>
              <w:pStyle w:val="Caption"/>
              <w:spacing w:before="120" w:after="120"/>
              <w:rPr>
                <w:rFonts w:cs="Arial"/>
                <w:color w:val="000000" w:themeColor="text1"/>
                <w:sz w:val="22"/>
                <w:szCs w:val="22"/>
              </w:rPr>
            </w:pPr>
            <w:r w:rsidRPr="00054F04">
              <w:rPr>
                <w:rFonts w:cs="Arial"/>
                <w:color w:val="000000" w:themeColor="text1"/>
                <w:sz w:val="22"/>
                <w:szCs w:val="22"/>
              </w:rPr>
              <w:t>Entendemos que a soma dos Programas Exploratórios Mínimos das áreas divididas não pode ser inferior ao compromisso original assumido pelo Contratado. No entanto, não há exigência de que seja maior do que esse requisito original.</w:t>
            </w:r>
          </w:p>
          <w:p w14:paraId="6D979029" w14:textId="77777777" w:rsidR="00104FBA" w:rsidRDefault="00104FBA" w:rsidP="00104FBA"/>
          <w:p w14:paraId="739B7F6B" w14:textId="77777777" w:rsidR="00104FBA" w:rsidRPr="00104FBA" w:rsidRDefault="00104FBA" w:rsidP="00104FBA"/>
        </w:tc>
      </w:tr>
      <w:tr w:rsidR="00BA709C" w:rsidRPr="00054F04" w14:paraId="74F58E3E" w14:textId="77777777" w:rsidTr="00864380">
        <w:trPr>
          <w:trHeight w:val="838"/>
        </w:trPr>
        <w:tc>
          <w:tcPr>
            <w:tcW w:w="529" w:type="pct"/>
            <w:vAlign w:val="center"/>
          </w:tcPr>
          <w:p w14:paraId="13C66984"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Minuta do contrato</w:t>
            </w:r>
          </w:p>
        </w:tc>
        <w:tc>
          <w:tcPr>
            <w:tcW w:w="682" w:type="pct"/>
            <w:vAlign w:val="center"/>
          </w:tcPr>
          <w:p w14:paraId="3DCAA9F2"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Alteração</w:t>
            </w:r>
          </w:p>
        </w:tc>
        <w:tc>
          <w:tcPr>
            <w:tcW w:w="513" w:type="pct"/>
            <w:vAlign w:val="center"/>
          </w:tcPr>
          <w:p w14:paraId="22E67D36"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32.1</w:t>
            </w:r>
          </w:p>
        </w:tc>
        <w:tc>
          <w:tcPr>
            <w:tcW w:w="1832" w:type="pct"/>
            <w:vAlign w:val="center"/>
          </w:tcPr>
          <w:p w14:paraId="7F5E415A" w14:textId="44B67090" w:rsidR="00BA709C" w:rsidRPr="00054F04" w:rsidRDefault="00BA709C" w:rsidP="00BA709C">
            <w:pPr>
              <w:pStyle w:val="Contrato-Pargrafo-Nvel2-2Dezenas"/>
              <w:numPr>
                <w:ilvl w:val="0"/>
                <w:numId w:val="0"/>
              </w:numPr>
              <w:spacing w:before="120" w:after="120"/>
              <w:ind w:left="87"/>
              <w:jc w:val="left"/>
              <w:rPr>
                <w:color w:val="000000" w:themeColor="text1"/>
              </w:rPr>
            </w:pPr>
            <w:bookmarkStart w:id="3" w:name="_Ref266091938"/>
            <w:bookmarkStart w:id="4" w:name="_Ref473092239"/>
            <w:r w:rsidRPr="00054F04">
              <w:rPr>
                <w:color w:val="000000" w:themeColor="text1"/>
              </w:rPr>
              <w:t xml:space="preserve">Este Contrato </w:t>
            </w:r>
            <w:r w:rsidR="00F11FC7">
              <w:rPr>
                <w:color w:val="000000" w:themeColor="text1"/>
              </w:rPr>
              <w:t>ser</w:t>
            </w:r>
            <w:r w:rsidR="006D5D1D">
              <w:rPr>
                <w:color w:val="000000" w:themeColor="text1"/>
              </w:rPr>
              <w:t>á</w:t>
            </w:r>
            <w:r w:rsidR="00F11FC7">
              <w:rPr>
                <w:color w:val="000000" w:themeColor="text1"/>
              </w:rPr>
              <w:t xml:space="preserve"> rescindido</w:t>
            </w:r>
            <w:r w:rsidRPr="00054F04">
              <w:rPr>
                <w:color w:val="000000" w:themeColor="text1"/>
              </w:rPr>
              <w:t>:</w:t>
            </w:r>
          </w:p>
          <w:p w14:paraId="5DFE1780" w14:textId="3D9A1D37" w:rsidR="00BA709C" w:rsidRPr="00054F04" w:rsidRDefault="00BA709C" w:rsidP="00BA709C">
            <w:pPr>
              <w:pStyle w:val="Contrato-Pargrafo-Nvel2-2Dezenas"/>
              <w:numPr>
                <w:ilvl w:val="0"/>
                <w:numId w:val="9"/>
              </w:numPr>
              <w:spacing w:before="120" w:after="120"/>
              <w:jc w:val="left"/>
              <w:rPr>
                <w:color w:val="000000" w:themeColor="text1"/>
              </w:rPr>
            </w:pPr>
            <w:r w:rsidRPr="00054F04">
              <w:rPr>
                <w:color w:val="000000" w:themeColor="text1"/>
              </w:rPr>
              <w:t xml:space="preserve">pelo decurso do prazo de vigência previsto na </w:t>
            </w:r>
            <w:bookmarkEnd w:id="3"/>
            <w:bookmarkEnd w:id="4"/>
            <w:r w:rsidRPr="00054F04">
              <w:rPr>
                <w:color w:val="000000" w:themeColor="text1"/>
              </w:rPr>
              <w:t>Cláusula</w:t>
            </w:r>
            <w:r w:rsidR="00A87A73">
              <w:rPr>
                <w:color w:val="000000" w:themeColor="text1"/>
              </w:rPr>
              <w:t xml:space="preserve"> 4.1</w:t>
            </w:r>
            <w:r w:rsidRPr="00054F04">
              <w:rPr>
                <w:color w:val="000000" w:themeColor="text1"/>
              </w:rPr>
              <w:t>;</w:t>
            </w:r>
          </w:p>
          <w:p w14:paraId="77D86270" w14:textId="029C5B7C" w:rsidR="00BA709C" w:rsidRPr="00054F04" w:rsidRDefault="00BA709C" w:rsidP="00BA709C">
            <w:pPr>
              <w:pStyle w:val="Contrato-Pargrafo-Nvel2-2Dezenas"/>
              <w:numPr>
                <w:ilvl w:val="0"/>
                <w:numId w:val="9"/>
              </w:numPr>
              <w:spacing w:before="120" w:after="120"/>
              <w:jc w:val="left"/>
              <w:rPr>
                <w:color w:val="000000" w:themeColor="text1"/>
              </w:rPr>
            </w:pPr>
            <w:r w:rsidRPr="00054F04">
              <w:rPr>
                <w:color w:val="000000" w:themeColor="text1"/>
              </w:rPr>
              <w:t xml:space="preserve">pelo término da Fase de Exploração sem </w:t>
            </w:r>
            <w:r w:rsidR="00A87A73">
              <w:rPr>
                <w:color w:val="000000" w:themeColor="text1"/>
              </w:rPr>
              <w:t xml:space="preserve">qualquer cumprimento do </w:t>
            </w:r>
            <w:r w:rsidRPr="00054F04">
              <w:rPr>
                <w:color w:val="000000" w:themeColor="text1"/>
              </w:rPr>
              <w:t>Programa Exploratório Mínimo;</w:t>
            </w:r>
          </w:p>
          <w:p w14:paraId="434553D4" w14:textId="77777777" w:rsidR="00BA709C" w:rsidRPr="00054F04" w:rsidRDefault="00BA709C" w:rsidP="00BA709C">
            <w:pPr>
              <w:pStyle w:val="Contrato-Pargrafo-Nvel2-2Dezenas"/>
              <w:numPr>
                <w:ilvl w:val="0"/>
                <w:numId w:val="9"/>
              </w:numPr>
              <w:spacing w:before="120" w:after="120"/>
              <w:jc w:val="left"/>
              <w:rPr>
                <w:color w:val="000000" w:themeColor="text1"/>
              </w:rPr>
            </w:pPr>
            <w:r w:rsidRPr="00054F04">
              <w:rPr>
                <w:color w:val="000000" w:themeColor="text1"/>
              </w:rPr>
              <w:t>ao término da Fase de Exploração caso não tenha ocorrida qualquer Descoberta Comercial;</w:t>
            </w:r>
          </w:p>
          <w:p w14:paraId="55ADD0A5" w14:textId="77777777" w:rsidR="00BA709C" w:rsidRPr="00054F04" w:rsidRDefault="00BA709C" w:rsidP="00BA709C">
            <w:pPr>
              <w:pStyle w:val="Contrato-Pargrafo-Nvel2-2Dezenas"/>
              <w:numPr>
                <w:ilvl w:val="0"/>
                <w:numId w:val="9"/>
              </w:numPr>
              <w:spacing w:before="120" w:after="120"/>
              <w:jc w:val="left"/>
              <w:rPr>
                <w:color w:val="000000" w:themeColor="text1"/>
              </w:rPr>
            </w:pPr>
            <w:r w:rsidRPr="00054F04">
              <w:rPr>
                <w:color w:val="000000" w:themeColor="text1"/>
              </w:rPr>
              <w:t>caso o Contratado devolva integralmente a Área do Contrato;</w:t>
            </w:r>
          </w:p>
          <w:p w14:paraId="082A219C" w14:textId="77777777" w:rsidR="00BA709C" w:rsidRPr="00054F04" w:rsidRDefault="00BA709C" w:rsidP="00BA709C">
            <w:pPr>
              <w:pStyle w:val="Contrato-Pargrafo-Nvel2-2Dezenas"/>
              <w:numPr>
                <w:ilvl w:val="0"/>
                <w:numId w:val="9"/>
              </w:numPr>
              <w:spacing w:before="120" w:after="120"/>
              <w:jc w:val="left"/>
              <w:rPr>
                <w:color w:val="000000" w:themeColor="text1"/>
              </w:rPr>
            </w:pPr>
            <w:r w:rsidRPr="00054F04">
              <w:rPr>
                <w:color w:val="000000" w:themeColor="text1"/>
              </w:rPr>
              <w:t>caso o Contratado exerça seu direito de desistência durante a Fase de Exploração;</w:t>
            </w:r>
          </w:p>
          <w:p w14:paraId="53582514" w14:textId="77777777" w:rsidR="00BA709C" w:rsidRDefault="00BA709C" w:rsidP="00BA709C">
            <w:pPr>
              <w:pStyle w:val="Contrato-Pargrafo-Nvel2-2Dezenas"/>
              <w:numPr>
                <w:ilvl w:val="0"/>
                <w:numId w:val="9"/>
              </w:numPr>
              <w:spacing w:before="120" w:after="120"/>
              <w:jc w:val="left"/>
              <w:rPr>
                <w:color w:val="000000" w:themeColor="text1"/>
              </w:rPr>
            </w:pPr>
            <w:r w:rsidRPr="00054F04">
              <w:rPr>
                <w:color w:val="000000" w:themeColor="text1"/>
              </w:rPr>
              <w:t>pela não entrega do Plano de Desenvolvimento no prazo fixado pela ANP;</w:t>
            </w:r>
          </w:p>
          <w:p w14:paraId="436E59B2" w14:textId="3CB359E7" w:rsidR="00A87A73" w:rsidRPr="00A87A73" w:rsidRDefault="00A87A73" w:rsidP="00BA709C">
            <w:pPr>
              <w:pStyle w:val="Contrato-Pargrafo-Nvel2-2Dezenas"/>
              <w:numPr>
                <w:ilvl w:val="0"/>
                <w:numId w:val="9"/>
              </w:numPr>
              <w:spacing w:before="120" w:after="120"/>
              <w:jc w:val="left"/>
              <w:rPr>
                <w:color w:val="000000" w:themeColor="text1"/>
              </w:rPr>
            </w:pPr>
            <w:r>
              <w:t>pela não aprovação do Plano de Desenvolvimento pela ANP previsto na Cláusula Décima Quinta;</w:t>
            </w:r>
          </w:p>
          <w:p w14:paraId="478CBE39" w14:textId="673C3A98" w:rsidR="00A87A73" w:rsidRPr="00054F04" w:rsidRDefault="00A87A73" w:rsidP="00BA709C">
            <w:pPr>
              <w:pStyle w:val="Contrato-Pargrafo-Nvel2-2Dezenas"/>
              <w:numPr>
                <w:ilvl w:val="0"/>
                <w:numId w:val="9"/>
              </w:numPr>
              <w:spacing w:before="120" w:after="120"/>
              <w:jc w:val="left"/>
              <w:rPr>
                <w:color w:val="000000" w:themeColor="text1"/>
              </w:rPr>
            </w:pPr>
            <w:r>
              <w:lastRenderedPageBreak/>
              <w:t>total ou parcialmente, pela recusa dos Consorciados em firmar o acordo de Individualização da Produção, após decisão da ANP</w:t>
            </w:r>
          </w:p>
          <w:p w14:paraId="692718A0" w14:textId="14AE0AB1" w:rsidR="00BA709C" w:rsidRPr="00054F04" w:rsidRDefault="00BA709C" w:rsidP="00A87A73">
            <w:pPr>
              <w:pStyle w:val="Contrato-Pargrafo-Nvel2-2Dezenas"/>
              <w:numPr>
                <w:ilvl w:val="0"/>
                <w:numId w:val="9"/>
              </w:numPr>
              <w:spacing w:before="120" w:after="120"/>
              <w:jc w:val="left"/>
              <w:rPr>
                <w:color w:val="000000" w:themeColor="text1"/>
              </w:rPr>
            </w:pPr>
            <w:r w:rsidRPr="00054F04">
              <w:rPr>
                <w:color w:val="000000" w:themeColor="text1"/>
              </w:rPr>
              <w:t>pela decretação de falência ou a não aprovação de requerimento de recuperação judicial de qualquer Contratado por parte do juízo competente, ressalvado o disposto no parágrafo 32.4.2.</w:t>
            </w:r>
          </w:p>
        </w:tc>
        <w:tc>
          <w:tcPr>
            <w:tcW w:w="1444" w:type="pct"/>
            <w:vAlign w:val="center"/>
          </w:tcPr>
          <w:p w14:paraId="28D7AC31" w14:textId="4D30971D" w:rsidR="00BA709C" w:rsidRPr="00054F04" w:rsidRDefault="00A87A73" w:rsidP="00F11FC7">
            <w:pPr>
              <w:spacing w:before="120" w:after="120"/>
              <w:rPr>
                <w:rFonts w:ascii="Arial" w:hAnsi="Arial" w:cs="Arial"/>
                <w:sz w:val="22"/>
                <w:szCs w:val="22"/>
              </w:rPr>
            </w:pPr>
            <w:r>
              <w:rPr>
                <w:rFonts w:ascii="Arial" w:hAnsi="Arial" w:cs="Arial"/>
                <w:sz w:val="22"/>
                <w:szCs w:val="22"/>
              </w:rPr>
              <w:lastRenderedPageBreak/>
              <w:t xml:space="preserve">O Contrato não deve nunca ser </w:t>
            </w:r>
            <w:r w:rsidR="00BA709C" w:rsidRPr="00054F04">
              <w:rPr>
                <w:rFonts w:ascii="Arial" w:hAnsi="Arial" w:cs="Arial"/>
                <w:color w:val="000000" w:themeColor="text1"/>
                <w:sz w:val="22"/>
                <w:szCs w:val="22"/>
              </w:rPr>
              <w:t xml:space="preserve">extinto </w:t>
            </w:r>
            <w:r w:rsidR="00F11FC7">
              <w:rPr>
                <w:rFonts w:ascii="Arial" w:hAnsi="Arial" w:cs="Arial"/>
                <w:color w:val="000000" w:themeColor="text1"/>
                <w:sz w:val="22"/>
                <w:szCs w:val="22"/>
              </w:rPr>
              <w:t>de pleno direito. Por força de lei</w:t>
            </w:r>
            <w:r w:rsidR="00104FBA">
              <w:rPr>
                <w:rFonts w:ascii="Arial" w:hAnsi="Arial" w:cs="Arial"/>
                <w:color w:val="000000" w:themeColor="text1"/>
                <w:sz w:val="22"/>
                <w:szCs w:val="22"/>
              </w:rPr>
              <w:t>, o Contratado deve ter a oportunidade de defender-se perante o MME/ ANP no âmbito de um processo administrativo. E essa tem sido a prática adotada pela ANP</w:t>
            </w:r>
            <w:r w:rsidR="00BA709C" w:rsidRPr="00054F04">
              <w:rPr>
                <w:rFonts w:ascii="Arial" w:hAnsi="Arial" w:cs="Arial"/>
                <w:color w:val="000000" w:themeColor="text1"/>
                <w:sz w:val="22"/>
                <w:szCs w:val="22"/>
              </w:rPr>
              <w:t>.</w:t>
            </w:r>
          </w:p>
        </w:tc>
      </w:tr>
      <w:tr w:rsidR="00BA709C" w:rsidRPr="00054F04" w14:paraId="0D8E414B" w14:textId="77777777" w:rsidTr="00864380">
        <w:trPr>
          <w:trHeight w:val="2268"/>
        </w:trPr>
        <w:tc>
          <w:tcPr>
            <w:tcW w:w="529" w:type="pct"/>
            <w:vAlign w:val="center"/>
          </w:tcPr>
          <w:p w14:paraId="0B5ED471"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Minuta do contrato</w:t>
            </w:r>
          </w:p>
        </w:tc>
        <w:tc>
          <w:tcPr>
            <w:tcW w:w="682" w:type="pct"/>
            <w:vAlign w:val="center"/>
          </w:tcPr>
          <w:p w14:paraId="5008A687"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Alteração</w:t>
            </w:r>
          </w:p>
        </w:tc>
        <w:tc>
          <w:tcPr>
            <w:tcW w:w="513" w:type="pct"/>
            <w:vAlign w:val="center"/>
          </w:tcPr>
          <w:p w14:paraId="76E95AB6"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32.4</w:t>
            </w:r>
          </w:p>
        </w:tc>
        <w:tc>
          <w:tcPr>
            <w:tcW w:w="1832" w:type="pct"/>
            <w:vAlign w:val="center"/>
          </w:tcPr>
          <w:p w14:paraId="7149F7DE" w14:textId="77777777" w:rsidR="00BA709C" w:rsidRPr="00054F04" w:rsidRDefault="00BA709C" w:rsidP="00BA709C">
            <w:pPr>
              <w:pStyle w:val="Contrato-Pargrafo-Nvel2-2Dezenas"/>
              <w:numPr>
                <w:ilvl w:val="0"/>
                <w:numId w:val="0"/>
              </w:numPr>
              <w:spacing w:before="120" w:after="120"/>
              <w:ind w:left="87"/>
              <w:jc w:val="left"/>
              <w:rPr>
                <w:color w:val="000000" w:themeColor="text1"/>
              </w:rPr>
            </w:pPr>
            <w:r w:rsidRPr="00054F04">
              <w:rPr>
                <w:color w:val="000000" w:themeColor="text1"/>
              </w:rPr>
              <w:t>Este Contrato poderá ser resolvido nos seguintes casos:</w:t>
            </w:r>
          </w:p>
          <w:p w14:paraId="3DB6F450" w14:textId="1BE5B6DE" w:rsidR="00BA709C" w:rsidRPr="00054F04" w:rsidRDefault="00BA709C" w:rsidP="00BA709C">
            <w:pPr>
              <w:pStyle w:val="Contrato-Pargrafo-Nvel2-2Dezenas"/>
              <w:numPr>
                <w:ilvl w:val="0"/>
                <w:numId w:val="10"/>
              </w:numPr>
              <w:spacing w:before="120" w:after="120"/>
              <w:jc w:val="left"/>
              <w:rPr>
                <w:color w:val="000000" w:themeColor="text1"/>
              </w:rPr>
            </w:pPr>
            <w:r w:rsidRPr="00054F04">
              <w:rPr>
                <w:color w:val="000000" w:themeColor="text1"/>
              </w:rPr>
              <w:t xml:space="preserve">descumprimento, </w:t>
            </w:r>
            <w:r w:rsidRPr="00054F04">
              <w:t>pelos Consorciados</w:t>
            </w:r>
            <w:r w:rsidRPr="00054F04">
              <w:rPr>
                <w:color w:val="000000" w:themeColor="text1"/>
              </w:rPr>
              <w:t xml:space="preserve">, das obrigações contratuais </w:t>
            </w:r>
            <w:r>
              <w:rPr>
                <w:color w:val="000000" w:themeColor="text1"/>
              </w:rPr>
              <w:t>substanciais</w:t>
            </w:r>
            <w:r w:rsidRPr="00054F04">
              <w:rPr>
                <w:color w:val="000000" w:themeColor="text1"/>
              </w:rPr>
              <w:t xml:space="preserve">, </w:t>
            </w:r>
            <w:r w:rsidR="00104FBA">
              <w:rPr>
                <w:color w:val="000000" w:themeColor="text1"/>
              </w:rPr>
              <w:t>a menos que se enquadrem nas disposições da Cláusula 32.1</w:t>
            </w:r>
            <w:r w:rsidRPr="00054F04">
              <w:rPr>
                <w:color w:val="000000" w:themeColor="text1"/>
              </w:rPr>
              <w:t>;</w:t>
            </w:r>
          </w:p>
          <w:p w14:paraId="0DAEB587" w14:textId="77777777" w:rsidR="00BA709C" w:rsidRPr="00054F04" w:rsidRDefault="00BA709C" w:rsidP="00BA709C">
            <w:pPr>
              <w:pStyle w:val="Contrato-Pargrafo-Nvel2-2Dezenas"/>
              <w:numPr>
                <w:ilvl w:val="0"/>
                <w:numId w:val="10"/>
              </w:numPr>
              <w:spacing w:before="120" w:after="120"/>
              <w:jc w:val="left"/>
              <w:rPr>
                <w:color w:val="000000" w:themeColor="text1"/>
              </w:rPr>
            </w:pPr>
            <w:r w:rsidRPr="00054F04">
              <w:rPr>
                <w:color w:val="000000" w:themeColor="text1"/>
              </w:rPr>
              <w:t>recuperação judicial ou extrajudicial por um membro do Contratado, sem a apresentação de um plano de recuperação aprovado e capaz de demonstrar à ANP capacidade econômica e financeira para integral cumprimento de todas as obrigações contratuais e regulatórias.</w:t>
            </w:r>
          </w:p>
        </w:tc>
        <w:tc>
          <w:tcPr>
            <w:tcW w:w="1444" w:type="pct"/>
            <w:vAlign w:val="center"/>
          </w:tcPr>
          <w:p w14:paraId="44BFCFA8" w14:textId="517173D9" w:rsidR="00BA709C" w:rsidRPr="00054F04" w:rsidRDefault="00104FBA" w:rsidP="00104FBA">
            <w:pPr>
              <w:pStyle w:val="Caption"/>
              <w:spacing w:before="120" w:after="120"/>
              <w:rPr>
                <w:rFonts w:cs="Arial"/>
                <w:color w:val="000000" w:themeColor="text1"/>
                <w:sz w:val="22"/>
                <w:szCs w:val="22"/>
              </w:rPr>
            </w:pPr>
            <w:r>
              <w:rPr>
                <w:rFonts w:cs="Arial"/>
                <w:color w:val="000000" w:themeColor="text1"/>
                <w:sz w:val="22"/>
                <w:szCs w:val="22"/>
              </w:rPr>
              <w:t>A hipótese descrita na letra (a), que poderá resultar no término do Contrato, é muito ampla. A inclusão tem por objetivo esclarecer que apenas o descumprimento de obrigação contratual substancial poderá resultar no término do Contrato.</w:t>
            </w:r>
          </w:p>
        </w:tc>
      </w:tr>
      <w:tr w:rsidR="00BA709C" w:rsidRPr="00054F04" w14:paraId="00C52FBC" w14:textId="77777777" w:rsidTr="00864380">
        <w:trPr>
          <w:trHeight w:val="2268"/>
        </w:trPr>
        <w:tc>
          <w:tcPr>
            <w:tcW w:w="529" w:type="pct"/>
            <w:vAlign w:val="center"/>
          </w:tcPr>
          <w:p w14:paraId="256B84E2"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lastRenderedPageBreak/>
              <w:t>Minuta do contrato</w:t>
            </w:r>
          </w:p>
        </w:tc>
        <w:tc>
          <w:tcPr>
            <w:tcW w:w="682" w:type="pct"/>
            <w:vAlign w:val="center"/>
          </w:tcPr>
          <w:p w14:paraId="28D59324"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Inclusão</w:t>
            </w:r>
          </w:p>
        </w:tc>
        <w:tc>
          <w:tcPr>
            <w:tcW w:w="513" w:type="pct"/>
            <w:vAlign w:val="center"/>
          </w:tcPr>
          <w:p w14:paraId="247A9908" w14:textId="77777777" w:rsidR="00BA709C" w:rsidRPr="00054F04" w:rsidRDefault="00BA709C" w:rsidP="00BA709C">
            <w:pPr>
              <w:pStyle w:val="Caption"/>
              <w:spacing w:before="120" w:after="120"/>
              <w:jc w:val="center"/>
              <w:rPr>
                <w:rFonts w:cs="Arial"/>
                <w:color w:val="000000" w:themeColor="text1"/>
                <w:sz w:val="22"/>
                <w:szCs w:val="22"/>
              </w:rPr>
            </w:pPr>
            <w:r>
              <w:rPr>
                <w:rFonts w:cs="Arial"/>
                <w:color w:val="000000" w:themeColor="text1"/>
                <w:sz w:val="22"/>
                <w:szCs w:val="22"/>
              </w:rPr>
              <w:t>(</w:t>
            </w:r>
            <w:r w:rsidRPr="00054F04">
              <w:rPr>
                <w:rFonts w:cs="Arial"/>
                <w:color w:val="000000" w:themeColor="text1"/>
                <w:sz w:val="22"/>
                <w:szCs w:val="22"/>
              </w:rPr>
              <w:t>32.5</w:t>
            </w:r>
            <w:r>
              <w:rPr>
                <w:rFonts w:cs="Arial"/>
                <w:color w:val="000000" w:themeColor="text1"/>
                <w:sz w:val="22"/>
                <w:szCs w:val="22"/>
              </w:rPr>
              <w:t>)</w:t>
            </w:r>
          </w:p>
        </w:tc>
        <w:tc>
          <w:tcPr>
            <w:tcW w:w="1832" w:type="pct"/>
            <w:vAlign w:val="center"/>
          </w:tcPr>
          <w:p w14:paraId="0E4D904A" w14:textId="504C1FD1" w:rsidR="00BA709C" w:rsidRPr="00054F04" w:rsidRDefault="002F6EBB" w:rsidP="006D5D1D">
            <w:pPr>
              <w:pStyle w:val="Contrato-Pargrafo-Nvel2-2Dezenas"/>
              <w:numPr>
                <w:ilvl w:val="0"/>
                <w:numId w:val="0"/>
              </w:numPr>
              <w:spacing w:before="120" w:after="120"/>
              <w:ind w:left="87"/>
              <w:jc w:val="left"/>
              <w:rPr>
                <w:color w:val="000000" w:themeColor="text1"/>
              </w:rPr>
            </w:pPr>
            <w:r>
              <w:rPr>
                <w:color w:val="000000" w:themeColor="text1"/>
              </w:rPr>
              <w:t xml:space="preserve">A Contratante não poderá exercer qualquer direito de </w:t>
            </w:r>
            <w:r w:rsidR="006D5D1D">
              <w:rPr>
                <w:color w:val="000000" w:themeColor="text1"/>
              </w:rPr>
              <w:t>rescindir</w:t>
            </w:r>
            <w:r>
              <w:rPr>
                <w:color w:val="000000" w:themeColor="text1"/>
              </w:rPr>
              <w:t xml:space="preserve"> o </w:t>
            </w:r>
            <w:r w:rsidR="006D5D1D">
              <w:rPr>
                <w:color w:val="000000" w:themeColor="text1"/>
              </w:rPr>
              <w:t xml:space="preserve">presente </w:t>
            </w:r>
            <w:r>
              <w:rPr>
                <w:color w:val="000000" w:themeColor="text1"/>
              </w:rPr>
              <w:t xml:space="preserve">Contrato </w:t>
            </w:r>
            <w:r w:rsidR="006D5D1D">
              <w:rPr>
                <w:color w:val="000000" w:themeColor="text1"/>
              </w:rPr>
              <w:t>caso</w:t>
            </w:r>
            <w:r>
              <w:rPr>
                <w:color w:val="000000" w:themeColor="text1"/>
              </w:rPr>
              <w:t xml:space="preserve"> a matéria </w:t>
            </w:r>
            <w:r w:rsidR="006D5D1D">
              <w:rPr>
                <w:color w:val="000000" w:themeColor="text1"/>
              </w:rPr>
              <w:t>tenha</w:t>
            </w:r>
            <w:r>
              <w:rPr>
                <w:color w:val="000000" w:themeColor="text1"/>
              </w:rPr>
              <w:t xml:space="preserve"> sido submetida à arbitragem nos termos da Cláusula 36</w:t>
            </w:r>
            <w:r w:rsidR="006D5D1D">
              <w:rPr>
                <w:color w:val="000000" w:themeColor="text1"/>
              </w:rPr>
              <w:t>,</w:t>
            </w:r>
            <w:r>
              <w:rPr>
                <w:color w:val="000000" w:themeColor="text1"/>
              </w:rPr>
              <w:t xml:space="preserve"> até o momento em que a arbitragem for concluída.</w:t>
            </w:r>
          </w:p>
        </w:tc>
        <w:tc>
          <w:tcPr>
            <w:tcW w:w="1444" w:type="pct"/>
            <w:vAlign w:val="center"/>
          </w:tcPr>
          <w:p w14:paraId="50A52C31" w14:textId="77777777" w:rsidR="00BA709C" w:rsidRPr="00054F04" w:rsidRDefault="00BA709C" w:rsidP="00BA709C">
            <w:pPr>
              <w:spacing w:before="120" w:after="120"/>
              <w:rPr>
                <w:rFonts w:ascii="Arial" w:hAnsi="Arial" w:cs="Arial"/>
                <w:color w:val="000000" w:themeColor="text1"/>
                <w:sz w:val="22"/>
                <w:szCs w:val="22"/>
              </w:rPr>
            </w:pPr>
            <w:r w:rsidRPr="00054F04">
              <w:rPr>
                <w:rFonts w:ascii="Arial" w:hAnsi="Arial" w:cs="Arial"/>
                <w:color w:val="000000" w:themeColor="text1"/>
                <w:sz w:val="22"/>
                <w:szCs w:val="22"/>
              </w:rPr>
              <w:t xml:space="preserve">A cláusula proposta garante ao Contratado direito à ampla defesa e ao contraditório na eventualidade de resolução contratual. </w:t>
            </w:r>
            <w:r>
              <w:rPr>
                <w:rFonts w:ascii="Arial" w:hAnsi="Arial" w:cs="Arial"/>
                <w:color w:val="000000" w:themeColor="text1"/>
                <w:sz w:val="22"/>
                <w:szCs w:val="22"/>
              </w:rPr>
              <w:t>A</w:t>
            </w:r>
            <w:r w:rsidRPr="00054F04">
              <w:rPr>
                <w:rFonts w:ascii="Arial" w:hAnsi="Arial" w:cs="Arial"/>
                <w:color w:val="000000" w:themeColor="text1"/>
                <w:sz w:val="22"/>
                <w:szCs w:val="22"/>
              </w:rPr>
              <w:t>lém de conceder segurança jurídica ao investidor</w:t>
            </w:r>
            <w:r>
              <w:rPr>
                <w:rFonts w:ascii="Arial" w:hAnsi="Arial" w:cs="Arial"/>
                <w:color w:val="000000" w:themeColor="text1"/>
                <w:sz w:val="22"/>
                <w:szCs w:val="22"/>
              </w:rPr>
              <w:t>,</w:t>
            </w:r>
            <w:r w:rsidRPr="00054F04">
              <w:rPr>
                <w:rFonts w:ascii="Arial" w:hAnsi="Arial" w:cs="Arial"/>
                <w:color w:val="000000" w:themeColor="text1"/>
                <w:sz w:val="22"/>
                <w:szCs w:val="22"/>
              </w:rPr>
              <w:t xml:space="preserve"> </w:t>
            </w:r>
            <w:r>
              <w:rPr>
                <w:rFonts w:ascii="Arial" w:hAnsi="Arial" w:cs="Arial"/>
                <w:color w:val="000000" w:themeColor="text1"/>
                <w:sz w:val="22"/>
                <w:szCs w:val="22"/>
              </w:rPr>
              <w:t>c</w:t>
            </w:r>
            <w:r w:rsidRPr="00054F04">
              <w:rPr>
                <w:rFonts w:ascii="Arial" w:hAnsi="Arial" w:cs="Arial"/>
                <w:color w:val="000000" w:themeColor="text1"/>
                <w:sz w:val="22"/>
                <w:szCs w:val="22"/>
              </w:rPr>
              <w:t>onsiderando que tal previsão não é contrária a qualquer outra do Contrato de Partilha e está de acordo com a Constituição Federal, não há prejuízos em incluí-la no Contrato de Partilha.</w:t>
            </w:r>
          </w:p>
          <w:p w14:paraId="6B9D2E50" w14:textId="77777777" w:rsidR="00BA709C" w:rsidRPr="00054F04" w:rsidRDefault="00BA709C" w:rsidP="00BA709C">
            <w:pPr>
              <w:spacing w:before="120" w:after="120"/>
              <w:rPr>
                <w:rFonts w:ascii="Arial" w:hAnsi="Arial" w:cs="Arial"/>
                <w:color w:val="000000" w:themeColor="text1"/>
                <w:sz w:val="22"/>
                <w:szCs w:val="22"/>
              </w:rPr>
            </w:pPr>
          </w:p>
          <w:p w14:paraId="08069D17" w14:textId="77777777" w:rsidR="00BA709C" w:rsidRPr="00054F04" w:rsidRDefault="00BA709C" w:rsidP="00BA709C">
            <w:pPr>
              <w:pStyle w:val="Caption"/>
              <w:spacing w:before="120" w:after="120"/>
              <w:rPr>
                <w:rFonts w:cs="Arial"/>
                <w:color w:val="000000" w:themeColor="text1"/>
                <w:sz w:val="22"/>
                <w:szCs w:val="22"/>
              </w:rPr>
            </w:pPr>
            <w:r w:rsidRPr="00054F04">
              <w:rPr>
                <w:rFonts w:cs="Arial"/>
                <w:color w:val="000000" w:themeColor="text1"/>
                <w:sz w:val="22"/>
                <w:szCs w:val="22"/>
              </w:rPr>
              <w:t xml:space="preserve">Adicionalmente, a </w:t>
            </w:r>
            <w:r>
              <w:rPr>
                <w:rFonts w:cs="Arial"/>
                <w:color w:val="000000" w:themeColor="text1"/>
                <w:sz w:val="22"/>
                <w:szCs w:val="22"/>
              </w:rPr>
              <w:t>resolução contratual precisa estar</w:t>
            </w:r>
            <w:r w:rsidRPr="00054F04">
              <w:rPr>
                <w:rFonts w:cs="Arial"/>
                <w:color w:val="000000" w:themeColor="text1"/>
                <w:sz w:val="22"/>
                <w:szCs w:val="22"/>
              </w:rPr>
              <w:t xml:space="preserve"> sujeita a um procedimento imparcial e transparente. Esta proposta também busca garantir transparência e imparcialidade em um evento de término.</w:t>
            </w:r>
          </w:p>
        </w:tc>
      </w:tr>
      <w:tr w:rsidR="00BA709C" w:rsidRPr="00054F04" w14:paraId="4DE28F14" w14:textId="77777777" w:rsidTr="00864380">
        <w:trPr>
          <w:trHeight w:val="2268"/>
        </w:trPr>
        <w:tc>
          <w:tcPr>
            <w:tcW w:w="529" w:type="pct"/>
            <w:vAlign w:val="center"/>
          </w:tcPr>
          <w:p w14:paraId="27C4F180"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Minuta do contrato</w:t>
            </w:r>
          </w:p>
        </w:tc>
        <w:tc>
          <w:tcPr>
            <w:tcW w:w="682" w:type="pct"/>
            <w:vAlign w:val="center"/>
          </w:tcPr>
          <w:p w14:paraId="497189CD"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Alteração</w:t>
            </w:r>
          </w:p>
        </w:tc>
        <w:tc>
          <w:tcPr>
            <w:tcW w:w="513" w:type="pct"/>
            <w:vAlign w:val="center"/>
          </w:tcPr>
          <w:p w14:paraId="23C05BB2" w14:textId="60AB94BC" w:rsidR="00BA709C" w:rsidRPr="00054F04" w:rsidRDefault="00BA709C" w:rsidP="002F6EBB">
            <w:pPr>
              <w:pStyle w:val="Caption"/>
              <w:spacing w:before="120" w:after="120"/>
              <w:jc w:val="center"/>
              <w:rPr>
                <w:rFonts w:cs="Arial"/>
                <w:color w:val="000000" w:themeColor="text1"/>
                <w:sz w:val="22"/>
                <w:szCs w:val="22"/>
              </w:rPr>
            </w:pPr>
            <w:r w:rsidRPr="00054F04">
              <w:rPr>
                <w:rFonts w:cs="Arial"/>
                <w:color w:val="000000" w:themeColor="text1"/>
                <w:sz w:val="22"/>
                <w:szCs w:val="22"/>
              </w:rPr>
              <w:t>32.</w:t>
            </w:r>
            <w:r w:rsidR="002F6EBB">
              <w:rPr>
                <w:rFonts w:cs="Arial"/>
                <w:color w:val="000000" w:themeColor="text1"/>
                <w:sz w:val="22"/>
                <w:szCs w:val="22"/>
              </w:rPr>
              <w:t>5</w:t>
            </w:r>
          </w:p>
        </w:tc>
        <w:tc>
          <w:tcPr>
            <w:tcW w:w="1832" w:type="pct"/>
            <w:vAlign w:val="center"/>
          </w:tcPr>
          <w:p w14:paraId="258A9222" w14:textId="1262EAF5" w:rsidR="00BA709C" w:rsidRPr="00054F04" w:rsidRDefault="00BA709C" w:rsidP="008E3F4D">
            <w:pPr>
              <w:pStyle w:val="Contrato-Pargrafo-Nvel2-2Dezenas"/>
              <w:numPr>
                <w:ilvl w:val="0"/>
                <w:numId w:val="0"/>
              </w:numPr>
              <w:spacing w:before="120" w:after="120"/>
              <w:ind w:left="87"/>
              <w:jc w:val="left"/>
              <w:rPr>
                <w:color w:val="000000" w:themeColor="text1"/>
              </w:rPr>
            </w:pPr>
            <w:r w:rsidRPr="00054F04">
              <w:rPr>
                <w:color w:val="000000" w:themeColor="text1"/>
              </w:rPr>
              <w:t>Em qualquer das hipóteses de extinção previstas neste Contrato ou na Legislação Aplicável, os Contratados não terão direito a quaisquer ressarcimentos</w:t>
            </w:r>
            <w:r w:rsidR="002F6EBB">
              <w:rPr>
                <w:color w:val="000000" w:themeColor="text1"/>
              </w:rPr>
              <w:t xml:space="preserve">, a menos que </w:t>
            </w:r>
            <w:r w:rsidR="008E3F4D">
              <w:rPr>
                <w:color w:val="000000" w:themeColor="text1"/>
              </w:rPr>
              <w:t>seja decidido</w:t>
            </w:r>
            <w:r w:rsidR="002F6EBB">
              <w:rPr>
                <w:color w:val="000000" w:themeColor="text1"/>
              </w:rPr>
              <w:t xml:space="preserve"> de outra forma </w:t>
            </w:r>
            <w:r w:rsidR="008E3F4D">
              <w:rPr>
                <w:color w:val="000000" w:themeColor="text1"/>
              </w:rPr>
              <w:t>pode meio de</w:t>
            </w:r>
            <w:r w:rsidR="002F6EBB">
              <w:rPr>
                <w:color w:val="000000" w:themeColor="text1"/>
              </w:rPr>
              <w:t xml:space="preserve"> arbitragem nos termos da Cláusula 36.</w:t>
            </w:r>
          </w:p>
        </w:tc>
        <w:tc>
          <w:tcPr>
            <w:tcW w:w="1444" w:type="pct"/>
            <w:vAlign w:val="center"/>
          </w:tcPr>
          <w:p w14:paraId="5014ED5B" w14:textId="20D1F76A" w:rsidR="00BA709C" w:rsidRPr="00054F04" w:rsidRDefault="002F6EBB" w:rsidP="00BA709C">
            <w:pPr>
              <w:spacing w:before="120" w:after="120"/>
              <w:rPr>
                <w:rFonts w:ascii="Arial" w:hAnsi="Arial" w:cs="Arial"/>
                <w:color w:val="000000" w:themeColor="text1"/>
                <w:sz w:val="22"/>
                <w:szCs w:val="22"/>
              </w:rPr>
            </w:pPr>
            <w:r w:rsidRPr="00054F04">
              <w:rPr>
                <w:rFonts w:ascii="Arial" w:hAnsi="Arial" w:cs="Arial"/>
                <w:color w:val="000000" w:themeColor="text1"/>
                <w:sz w:val="22"/>
                <w:szCs w:val="22"/>
              </w:rPr>
              <w:t>Favor considerar a justificativa utilizada para a alteração da Cláusula 32.5 acima.</w:t>
            </w:r>
          </w:p>
        </w:tc>
      </w:tr>
      <w:tr w:rsidR="00BA709C" w:rsidRPr="00054F04" w14:paraId="48DC3DA7" w14:textId="77777777" w:rsidTr="00864380">
        <w:trPr>
          <w:trHeight w:val="2268"/>
        </w:trPr>
        <w:tc>
          <w:tcPr>
            <w:tcW w:w="529" w:type="pct"/>
            <w:vAlign w:val="center"/>
          </w:tcPr>
          <w:p w14:paraId="0797D600"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lastRenderedPageBreak/>
              <w:t>Minuta do contrato</w:t>
            </w:r>
          </w:p>
        </w:tc>
        <w:tc>
          <w:tcPr>
            <w:tcW w:w="682" w:type="pct"/>
            <w:vAlign w:val="center"/>
          </w:tcPr>
          <w:p w14:paraId="66F96868"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Alteração</w:t>
            </w:r>
          </w:p>
        </w:tc>
        <w:tc>
          <w:tcPr>
            <w:tcW w:w="513" w:type="pct"/>
            <w:vAlign w:val="center"/>
          </w:tcPr>
          <w:p w14:paraId="092756A5" w14:textId="599BB098" w:rsidR="00BA709C" w:rsidRPr="00054F04" w:rsidRDefault="00BA709C" w:rsidP="002F6EBB">
            <w:pPr>
              <w:pStyle w:val="Caption"/>
              <w:spacing w:before="120" w:after="120"/>
              <w:jc w:val="center"/>
              <w:rPr>
                <w:rFonts w:cs="Arial"/>
                <w:color w:val="000000" w:themeColor="text1"/>
                <w:sz w:val="22"/>
                <w:szCs w:val="22"/>
              </w:rPr>
            </w:pPr>
            <w:r w:rsidRPr="00054F04">
              <w:rPr>
                <w:rFonts w:cs="Arial"/>
                <w:color w:val="000000" w:themeColor="text1"/>
                <w:sz w:val="22"/>
                <w:szCs w:val="22"/>
              </w:rPr>
              <w:t>32.</w:t>
            </w:r>
            <w:r w:rsidR="002F6EBB">
              <w:rPr>
                <w:rFonts w:cs="Arial"/>
                <w:color w:val="000000" w:themeColor="text1"/>
                <w:sz w:val="22"/>
                <w:szCs w:val="22"/>
              </w:rPr>
              <w:t>6</w:t>
            </w:r>
          </w:p>
        </w:tc>
        <w:tc>
          <w:tcPr>
            <w:tcW w:w="1832" w:type="pct"/>
            <w:vAlign w:val="center"/>
          </w:tcPr>
          <w:p w14:paraId="4533AAE5" w14:textId="3175E1AA" w:rsidR="00BA709C" w:rsidRPr="00054F04" w:rsidRDefault="00BA709C" w:rsidP="00BA709C">
            <w:pPr>
              <w:pStyle w:val="Contrato-Pargrafo-Nvel2-2Dezenas"/>
              <w:numPr>
                <w:ilvl w:val="0"/>
                <w:numId w:val="0"/>
              </w:numPr>
              <w:spacing w:before="120" w:after="120"/>
              <w:ind w:left="87"/>
              <w:jc w:val="left"/>
              <w:rPr>
                <w:color w:val="000000" w:themeColor="text1"/>
              </w:rPr>
            </w:pPr>
            <w:r w:rsidRPr="00054F04">
              <w:rPr>
                <w:color w:val="000000" w:themeColor="text1"/>
              </w:rPr>
              <w:t>Resolvido este Contrato, os Contratados responderão pelas perdas e danos decorrentes de seu inadimplemento e da resolução</w:t>
            </w:r>
            <w:r w:rsidR="002F6EBB">
              <w:rPr>
                <w:color w:val="000000" w:themeColor="text1"/>
              </w:rPr>
              <w:t>,</w:t>
            </w:r>
            <w:r w:rsidRPr="00054F04">
              <w:rPr>
                <w:color w:val="000000" w:themeColor="text1"/>
              </w:rPr>
              <w:t xml:space="preserve"> resultante do inadimplemento, arcando com todas as indenizações e compensações cabíveis, na forma da lei e deste instrumento</w:t>
            </w:r>
          </w:p>
        </w:tc>
        <w:tc>
          <w:tcPr>
            <w:tcW w:w="1444" w:type="pct"/>
            <w:vAlign w:val="center"/>
          </w:tcPr>
          <w:p w14:paraId="6A2FDA72" w14:textId="77777777" w:rsidR="00BA709C" w:rsidRPr="00054F04" w:rsidRDefault="00BA709C" w:rsidP="00BA709C">
            <w:pPr>
              <w:spacing w:before="120" w:after="120"/>
              <w:rPr>
                <w:rFonts w:ascii="Arial" w:hAnsi="Arial" w:cs="Arial"/>
                <w:color w:val="000000" w:themeColor="text1"/>
                <w:sz w:val="22"/>
                <w:szCs w:val="22"/>
              </w:rPr>
            </w:pPr>
            <w:r w:rsidRPr="00054F04">
              <w:rPr>
                <w:rFonts w:ascii="Arial" w:hAnsi="Arial" w:cs="Arial"/>
                <w:color w:val="000000" w:themeColor="text1"/>
                <w:sz w:val="22"/>
                <w:szCs w:val="22"/>
              </w:rPr>
              <w:t>Favor considerar a justificativa utilizada para a alteração da Cláusula 32.5 acima. A rescisão sem culpa não deve resulta</w:t>
            </w:r>
            <w:r>
              <w:rPr>
                <w:rFonts w:ascii="Arial" w:hAnsi="Arial" w:cs="Arial"/>
                <w:color w:val="000000" w:themeColor="text1"/>
                <w:sz w:val="22"/>
                <w:szCs w:val="22"/>
              </w:rPr>
              <w:t>r</w:t>
            </w:r>
            <w:r w:rsidRPr="00054F04">
              <w:rPr>
                <w:rFonts w:ascii="Arial" w:hAnsi="Arial" w:cs="Arial"/>
                <w:color w:val="000000" w:themeColor="text1"/>
                <w:sz w:val="22"/>
                <w:szCs w:val="22"/>
              </w:rPr>
              <w:t xml:space="preserve"> em responsabilidade por perdas ou danos.</w:t>
            </w:r>
          </w:p>
        </w:tc>
      </w:tr>
      <w:tr w:rsidR="00BA709C" w:rsidRPr="00054F04" w14:paraId="7CABBBC0" w14:textId="77777777" w:rsidTr="00864380">
        <w:trPr>
          <w:trHeight w:val="2268"/>
        </w:trPr>
        <w:tc>
          <w:tcPr>
            <w:tcW w:w="529" w:type="pct"/>
            <w:vAlign w:val="center"/>
          </w:tcPr>
          <w:p w14:paraId="4435FB45"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Minuta do contrato</w:t>
            </w:r>
          </w:p>
        </w:tc>
        <w:tc>
          <w:tcPr>
            <w:tcW w:w="682" w:type="pct"/>
            <w:vAlign w:val="center"/>
          </w:tcPr>
          <w:p w14:paraId="65F56A78" w14:textId="77777777" w:rsidR="00BA709C" w:rsidRPr="00054F04" w:rsidRDefault="00BA709C" w:rsidP="00BA709C">
            <w:pPr>
              <w:pStyle w:val="Caption"/>
              <w:spacing w:before="120" w:after="120"/>
              <w:jc w:val="center"/>
              <w:rPr>
                <w:rFonts w:cs="Arial"/>
                <w:color w:val="000000" w:themeColor="text1"/>
                <w:sz w:val="22"/>
                <w:szCs w:val="22"/>
              </w:rPr>
            </w:pPr>
            <w:r>
              <w:rPr>
                <w:rFonts w:cs="Arial"/>
                <w:color w:val="000000" w:themeColor="text1"/>
                <w:sz w:val="22"/>
                <w:szCs w:val="22"/>
              </w:rPr>
              <w:t>Inclus</w:t>
            </w:r>
            <w:r w:rsidRPr="00054F04">
              <w:rPr>
                <w:rFonts w:cs="Arial"/>
                <w:color w:val="000000" w:themeColor="text1"/>
                <w:sz w:val="22"/>
                <w:szCs w:val="22"/>
              </w:rPr>
              <w:t>ão</w:t>
            </w:r>
          </w:p>
        </w:tc>
        <w:tc>
          <w:tcPr>
            <w:tcW w:w="513" w:type="pct"/>
            <w:vAlign w:val="center"/>
          </w:tcPr>
          <w:p w14:paraId="130266B9" w14:textId="77777777" w:rsidR="00BA709C" w:rsidRPr="00054F04" w:rsidRDefault="00BA709C" w:rsidP="00BA709C">
            <w:pPr>
              <w:pStyle w:val="Caption"/>
              <w:spacing w:before="120" w:after="120"/>
              <w:jc w:val="center"/>
              <w:rPr>
                <w:rFonts w:cs="Arial"/>
                <w:color w:val="000000" w:themeColor="text1"/>
                <w:sz w:val="22"/>
                <w:szCs w:val="22"/>
              </w:rPr>
            </w:pPr>
            <w:r>
              <w:rPr>
                <w:rFonts w:cs="Arial"/>
                <w:color w:val="000000" w:themeColor="text1"/>
                <w:sz w:val="22"/>
                <w:szCs w:val="22"/>
              </w:rPr>
              <w:t>(</w:t>
            </w:r>
            <w:r w:rsidRPr="00054F04">
              <w:rPr>
                <w:rFonts w:cs="Arial"/>
                <w:color w:val="000000" w:themeColor="text1"/>
                <w:sz w:val="22"/>
                <w:szCs w:val="22"/>
              </w:rPr>
              <w:t>32.7</w:t>
            </w:r>
            <w:r>
              <w:rPr>
                <w:rFonts w:cs="Arial"/>
                <w:color w:val="000000" w:themeColor="text1"/>
                <w:sz w:val="22"/>
                <w:szCs w:val="22"/>
              </w:rPr>
              <w:t>)</w:t>
            </w:r>
          </w:p>
        </w:tc>
        <w:tc>
          <w:tcPr>
            <w:tcW w:w="1832" w:type="pct"/>
            <w:vAlign w:val="center"/>
          </w:tcPr>
          <w:p w14:paraId="5E2B749D" w14:textId="77777777" w:rsidR="00BA709C" w:rsidRPr="00054F04" w:rsidRDefault="00BA709C" w:rsidP="00BA709C">
            <w:pPr>
              <w:pStyle w:val="Contrato-Pargrafo-Nvel2-2Dezenas"/>
              <w:numPr>
                <w:ilvl w:val="0"/>
                <w:numId w:val="0"/>
              </w:numPr>
              <w:spacing w:before="120" w:after="120"/>
              <w:ind w:left="87"/>
              <w:jc w:val="left"/>
              <w:rPr>
                <w:color w:val="000000" w:themeColor="text1"/>
              </w:rPr>
            </w:pPr>
            <w:r w:rsidRPr="00054F04">
              <w:rPr>
                <w:color w:val="000000" w:themeColor="text1"/>
              </w:rPr>
              <w:t xml:space="preserve">A Contratante não rescindirá este Contrato e deverá </w:t>
            </w:r>
            <w:r>
              <w:rPr>
                <w:color w:val="000000" w:themeColor="text1"/>
              </w:rPr>
              <w:t>propor</w:t>
            </w:r>
            <w:r w:rsidRPr="00054F04">
              <w:rPr>
                <w:color w:val="000000" w:themeColor="text1"/>
              </w:rPr>
              <w:t xml:space="preserve"> à ANP a aplicação das sanções indicadas na Cláusula Trigésima Primeira quando:</w:t>
            </w:r>
          </w:p>
          <w:p w14:paraId="442587B9" w14:textId="77777777" w:rsidR="00BA709C" w:rsidRPr="00054F04" w:rsidRDefault="00BA709C" w:rsidP="00BA709C">
            <w:pPr>
              <w:pStyle w:val="Contrato-Pargrafo-Nvel2-2Dezenas"/>
              <w:numPr>
                <w:ilvl w:val="0"/>
                <w:numId w:val="0"/>
              </w:numPr>
              <w:spacing w:before="120" w:after="120"/>
              <w:ind w:left="654"/>
              <w:jc w:val="left"/>
              <w:rPr>
                <w:color w:val="000000" w:themeColor="text1"/>
              </w:rPr>
            </w:pPr>
            <w:r w:rsidRPr="00054F04">
              <w:rPr>
                <w:color w:val="000000" w:themeColor="text1"/>
              </w:rPr>
              <w:t>a) o descumprimento deste Contrato pelos Consorciados não for grave, reiterado e revelador de dolo ou culpa grave contumaz; ou</w:t>
            </w:r>
          </w:p>
          <w:p w14:paraId="6ED49221" w14:textId="64DDEA4B" w:rsidR="00BA709C" w:rsidRPr="00054F04" w:rsidRDefault="00BA709C" w:rsidP="008E3F4D">
            <w:pPr>
              <w:pStyle w:val="Contrato-Pargrafo-Nvel2-2Dezenas"/>
              <w:numPr>
                <w:ilvl w:val="0"/>
                <w:numId w:val="0"/>
              </w:numPr>
              <w:spacing w:before="120" w:after="120"/>
              <w:ind w:left="654"/>
              <w:jc w:val="left"/>
              <w:rPr>
                <w:color w:val="000000" w:themeColor="text1"/>
              </w:rPr>
            </w:pPr>
            <w:r w:rsidRPr="00054F04">
              <w:rPr>
                <w:color w:val="000000" w:themeColor="text1"/>
              </w:rPr>
              <w:t xml:space="preserve">b) se observar que houve ação diligente no sentido de corrigir o </w:t>
            </w:r>
            <w:r w:rsidR="008E3F4D">
              <w:rPr>
                <w:color w:val="000000" w:themeColor="text1"/>
              </w:rPr>
              <w:t>inadimplemento</w:t>
            </w:r>
            <w:r w:rsidRPr="00054F04">
              <w:rPr>
                <w:color w:val="000000" w:themeColor="text1"/>
              </w:rPr>
              <w:t>.</w:t>
            </w:r>
          </w:p>
        </w:tc>
        <w:tc>
          <w:tcPr>
            <w:tcW w:w="1444" w:type="pct"/>
            <w:vAlign w:val="center"/>
          </w:tcPr>
          <w:p w14:paraId="6BF6F897" w14:textId="77777777" w:rsidR="00BA709C" w:rsidRPr="00054F04" w:rsidRDefault="00BA709C" w:rsidP="00BA709C">
            <w:pPr>
              <w:spacing w:before="120" w:after="120"/>
              <w:rPr>
                <w:rFonts w:ascii="Arial" w:hAnsi="Arial" w:cs="Arial"/>
                <w:color w:val="000000" w:themeColor="text1"/>
                <w:sz w:val="22"/>
                <w:szCs w:val="22"/>
              </w:rPr>
            </w:pPr>
            <w:r>
              <w:rPr>
                <w:rFonts w:ascii="Arial" w:hAnsi="Arial" w:cs="Arial"/>
                <w:color w:val="000000" w:themeColor="text1"/>
                <w:sz w:val="22"/>
                <w:szCs w:val="22"/>
              </w:rPr>
              <w:t xml:space="preserve">Essa previsão existia no modelo de contrato de partilha da 2ª/3ª Rodadas e foi excluída do modelo de contrato de partilha da 5ª Rodada. Entendemos que a sua manutenção é importante. </w:t>
            </w:r>
            <w:r w:rsidRPr="00054F04">
              <w:rPr>
                <w:rFonts w:ascii="Arial" w:hAnsi="Arial" w:cs="Arial"/>
                <w:color w:val="000000" w:themeColor="text1"/>
                <w:sz w:val="22"/>
                <w:szCs w:val="22"/>
              </w:rPr>
              <w:t>O término contratual deve apenas ser possível por descumprimentos substanciais e repetidos. Esta sugestão está alinhada com as Melhores Práticas da Indústria do Petróleo e com a prática internacional.</w:t>
            </w:r>
          </w:p>
        </w:tc>
      </w:tr>
      <w:tr w:rsidR="00BA709C" w:rsidRPr="00054F04" w14:paraId="149A8CA9" w14:textId="77777777" w:rsidTr="00864380">
        <w:trPr>
          <w:trHeight w:val="2268"/>
        </w:trPr>
        <w:tc>
          <w:tcPr>
            <w:tcW w:w="529" w:type="pct"/>
            <w:vAlign w:val="center"/>
          </w:tcPr>
          <w:p w14:paraId="634EC18A"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Minuta do contrato</w:t>
            </w:r>
          </w:p>
        </w:tc>
        <w:tc>
          <w:tcPr>
            <w:tcW w:w="682" w:type="pct"/>
            <w:vAlign w:val="center"/>
          </w:tcPr>
          <w:p w14:paraId="5F63B0A9"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Alteração</w:t>
            </w:r>
          </w:p>
        </w:tc>
        <w:tc>
          <w:tcPr>
            <w:tcW w:w="513" w:type="pct"/>
            <w:vAlign w:val="center"/>
          </w:tcPr>
          <w:p w14:paraId="0E7D21F5"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33.1.1</w:t>
            </w:r>
          </w:p>
        </w:tc>
        <w:tc>
          <w:tcPr>
            <w:tcW w:w="1832" w:type="pct"/>
            <w:vAlign w:val="center"/>
          </w:tcPr>
          <w:p w14:paraId="718C7052" w14:textId="77777777" w:rsidR="00BA709C" w:rsidRPr="00054F04" w:rsidRDefault="00BA709C" w:rsidP="00BA709C">
            <w:pPr>
              <w:pStyle w:val="Contrato-Pargrafo-Nvel2-2Dezenas"/>
              <w:numPr>
                <w:ilvl w:val="0"/>
                <w:numId w:val="0"/>
              </w:numPr>
              <w:spacing w:before="120" w:after="120"/>
              <w:ind w:left="87"/>
              <w:jc w:val="left"/>
              <w:rPr>
                <w:color w:val="000000" w:themeColor="text1"/>
              </w:rPr>
            </w:pPr>
            <w:r w:rsidRPr="00054F04">
              <w:t>A exoneração das obrigações dar-se-á exclusivamente com relação às obrigações deste Contrato cujo adimplemento se tornar impossível em virtude da incidência do caso fortuito, da força maior ou de causas similares.</w:t>
            </w:r>
          </w:p>
        </w:tc>
        <w:tc>
          <w:tcPr>
            <w:tcW w:w="1444" w:type="pct"/>
            <w:vAlign w:val="center"/>
          </w:tcPr>
          <w:p w14:paraId="33BDDC19" w14:textId="77777777" w:rsidR="00BA709C" w:rsidRPr="00054F04" w:rsidRDefault="00BA709C" w:rsidP="00BA709C">
            <w:pPr>
              <w:spacing w:before="120" w:after="120"/>
              <w:rPr>
                <w:rFonts w:ascii="Arial" w:hAnsi="Arial" w:cs="Arial"/>
                <w:color w:val="000000" w:themeColor="text1"/>
                <w:sz w:val="22"/>
                <w:szCs w:val="22"/>
              </w:rPr>
            </w:pPr>
            <w:r w:rsidRPr="00054F04">
              <w:rPr>
                <w:rFonts w:ascii="Arial" w:hAnsi="Arial" w:cs="Arial"/>
                <w:color w:val="000000" w:themeColor="text1"/>
                <w:sz w:val="22"/>
                <w:szCs w:val="22"/>
              </w:rPr>
              <w:t>De acordo com a lei aplicável brasileira, o caso for</w:t>
            </w:r>
            <w:r>
              <w:rPr>
                <w:rFonts w:ascii="Arial" w:hAnsi="Arial" w:cs="Arial"/>
                <w:color w:val="000000" w:themeColor="text1"/>
                <w:sz w:val="22"/>
                <w:szCs w:val="22"/>
              </w:rPr>
              <w:t>tuito</w:t>
            </w:r>
            <w:r w:rsidRPr="00054F04">
              <w:rPr>
                <w:rFonts w:ascii="Arial" w:hAnsi="Arial" w:cs="Arial"/>
                <w:color w:val="000000" w:themeColor="text1"/>
                <w:sz w:val="22"/>
                <w:szCs w:val="22"/>
              </w:rPr>
              <w:t xml:space="preserve"> ou eventos de força maior não exigem o "reconhecimento" de tal evento pela outra parte para que tais eventos ocorram. Se a outra parte não concordar com a ocorrência de tal evento, a disputa possível deve ser resolvida de acordo com o Artigo 36.</w:t>
            </w:r>
          </w:p>
          <w:p w14:paraId="15B16A8D" w14:textId="77777777" w:rsidR="00BA709C" w:rsidRPr="00054F04" w:rsidRDefault="00BA709C" w:rsidP="00BA709C">
            <w:pPr>
              <w:spacing w:before="120" w:after="120"/>
              <w:rPr>
                <w:rFonts w:ascii="Arial" w:hAnsi="Arial" w:cs="Arial"/>
                <w:color w:val="000000" w:themeColor="text1"/>
                <w:sz w:val="22"/>
                <w:szCs w:val="22"/>
              </w:rPr>
            </w:pPr>
          </w:p>
          <w:p w14:paraId="525150EE" w14:textId="1432E62B" w:rsidR="00BA709C" w:rsidRPr="00054F04" w:rsidRDefault="00BA709C" w:rsidP="002F6EBB">
            <w:pPr>
              <w:spacing w:before="120" w:after="120"/>
              <w:rPr>
                <w:rFonts w:ascii="Arial" w:hAnsi="Arial" w:cs="Arial"/>
                <w:color w:val="000000" w:themeColor="text1"/>
                <w:sz w:val="22"/>
                <w:szCs w:val="22"/>
              </w:rPr>
            </w:pPr>
            <w:r w:rsidRPr="00054F04">
              <w:rPr>
                <w:rFonts w:ascii="Arial" w:hAnsi="Arial" w:cs="Arial"/>
                <w:color w:val="000000" w:themeColor="text1"/>
                <w:sz w:val="22"/>
                <w:szCs w:val="22"/>
              </w:rPr>
              <w:t xml:space="preserve">Entendemos que </w:t>
            </w:r>
            <w:r w:rsidR="002F6EBB">
              <w:rPr>
                <w:rFonts w:ascii="Arial" w:hAnsi="Arial" w:cs="Arial"/>
                <w:color w:val="000000" w:themeColor="text1"/>
                <w:sz w:val="22"/>
                <w:szCs w:val="22"/>
              </w:rPr>
              <w:t>nossa revisão</w:t>
            </w:r>
            <w:r w:rsidRPr="00054F04">
              <w:rPr>
                <w:rFonts w:ascii="Arial" w:hAnsi="Arial" w:cs="Arial"/>
                <w:color w:val="000000" w:themeColor="text1"/>
                <w:sz w:val="22"/>
                <w:szCs w:val="22"/>
              </w:rPr>
              <w:t xml:space="preserve"> está perfeitamente em conformidade com </w:t>
            </w:r>
            <w:r w:rsidRPr="00054F04">
              <w:rPr>
                <w:rFonts w:ascii="Arial" w:hAnsi="Arial" w:cs="Arial"/>
                <w:color w:val="000000" w:themeColor="text1"/>
                <w:sz w:val="22"/>
                <w:szCs w:val="22"/>
              </w:rPr>
              <w:lastRenderedPageBreak/>
              <w:t>as leis aplicáveis do Brasil e os pressupostos do comércio justo. A ANP não possui discrição legal para determinar se ocorreu um evento de força maior</w:t>
            </w:r>
            <w:r w:rsidR="002F6EBB">
              <w:rPr>
                <w:rFonts w:ascii="Arial" w:hAnsi="Arial" w:cs="Arial"/>
                <w:color w:val="000000" w:themeColor="text1"/>
                <w:sz w:val="22"/>
                <w:szCs w:val="22"/>
              </w:rPr>
              <w:t>, que potencialmente seria contra a lei brasileira</w:t>
            </w:r>
            <w:r w:rsidRPr="00054F04">
              <w:rPr>
                <w:rFonts w:ascii="Arial" w:hAnsi="Arial" w:cs="Arial"/>
                <w:color w:val="000000" w:themeColor="text1"/>
                <w:sz w:val="22"/>
                <w:szCs w:val="22"/>
              </w:rPr>
              <w:t>.</w:t>
            </w:r>
          </w:p>
        </w:tc>
      </w:tr>
      <w:tr w:rsidR="00BA709C" w:rsidRPr="00054F04" w14:paraId="25268403" w14:textId="77777777" w:rsidTr="00864380">
        <w:trPr>
          <w:trHeight w:val="2268"/>
        </w:trPr>
        <w:tc>
          <w:tcPr>
            <w:tcW w:w="529" w:type="pct"/>
            <w:vAlign w:val="center"/>
          </w:tcPr>
          <w:p w14:paraId="0812ECD7"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lastRenderedPageBreak/>
              <w:t>Minuta do contrato</w:t>
            </w:r>
          </w:p>
        </w:tc>
        <w:tc>
          <w:tcPr>
            <w:tcW w:w="682" w:type="pct"/>
            <w:vAlign w:val="center"/>
          </w:tcPr>
          <w:p w14:paraId="5914A57B"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Exclusão</w:t>
            </w:r>
          </w:p>
        </w:tc>
        <w:tc>
          <w:tcPr>
            <w:tcW w:w="513" w:type="pct"/>
            <w:vAlign w:val="center"/>
          </w:tcPr>
          <w:p w14:paraId="081D546D"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33.1.2</w:t>
            </w:r>
          </w:p>
        </w:tc>
        <w:tc>
          <w:tcPr>
            <w:tcW w:w="1832" w:type="pct"/>
            <w:vAlign w:val="center"/>
          </w:tcPr>
          <w:p w14:paraId="683C8CEC" w14:textId="77777777" w:rsidR="00BA709C" w:rsidRPr="00054F04" w:rsidRDefault="00BA709C" w:rsidP="00BA709C">
            <w:pPr>
              <w:pStyle w:val="Contrato-Pargrafo-Nvel2-2Dezenas"/>
              <w:numPr>
                <w:ilvl w:val="0"/>
                <w:numId w:val="0"/>
              </w:numPr>
              <w:spacing w:before="120" w:after="120"/>
              <w:ind w:left="87"/>
              <w:jc w:val="left"/>
            </w:pPr>
          </w:p>
        </w:tc>
        <w:tc>
          <w:tcPr>
            <w:tcW w:w="1444" w:type="pct"/>
            <w:vAlign w:val="center"/>
          </w:tcPr>
          <w:p w14:paraId="75F723D4" w14:textId="7FB4A921" w:rsidR="00BA709C" w:rsidRPr="00054F04" w:rsidRDefault="00BA709C" w:rsidP="00BA709C">
            <w:pPr>
              <w:spacing w:before="120" w:after="120"/>
              <w:rPr>
                <w:rFonts w:ascii="Arial" w:hAnsi="Arial" w:cs="Arial"/>
                <w:color w:val="000000" w:themeColor="text1"/>
                <w:sz w:val="22"/>
                <w:szCs w:val="22"/>
              </w:rPr>
            </w:pPr>
            <w:r w:rsidRPr="00054F04">
              <w:rPr>
                <w:rFonts w:ascii="Arial" w:hAnsi="Arial" w:cs="Arial"/>
                <w:color w:val="000000" w:themeColor="text1"/>
                <w:sz w:val="22"/>
                <w:szCs w:val="22"/>
              </w:rPr>
              <w:t xml:space="preserve">Mesma justificativa do item </w:t>
            </w:r>
            <w:r w:rsidR="002F6EBB">
              <w:rPr>
                <w:rFonts w:ascii="Arial" w:hAnsi="Arial" w:cs="Arial"/>
                <w:color w:val="000000" w:themeColor="text1"/>
                <w:sz w:val="22"/>
                <w:szCs w:val="22"/>
              </w:rPr>
              <w:t xml:space="preserve">33.1.1 </w:t>
            </w:r>
            <w:r w:rsidRPr="00054F04">
              <w:rPr>
                <w:rFonts w:ascii="Arial" w:hAnsi="Arial" w:cs="Arial"/>
                <w:color w:val="000000" w:themeColor="text1"/>
                <w:sz w:val="22"/>
                <w:szCs w:val="22"/>
              </w:rPr>
              <w:t>acima.</w:t>
            </w:r>
          </w:p>
        </w:tc>
      </w:tr>
      <w:tr w:rsidR="00BA709C" w:rsidRPr="00054F04" w14:paraId="572CF65C" w14:textId="77777777" w:rsidTr="00864380">
        <w:trPr>
          <w:trHeight w:val="2268"/>
        </w:trPr>
        <w:tc>
          <w:tcPr>
            <w:tcW w:w="529" w:type="pct"/>
            <w:vAlign w:val="center"/>
          </w:tcPr>
          <w:p w14:paraId="51A334A4"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Minuta do contrato</w:t>
            </w:r>
          </w:p>
        </w:tc>
        <w:tc>
          <w:tcPr>
            <w:tcW w:w="682" w:type="pct"/>
            <w:vAlign w:val="center"/>
          </w:tcPr>
          <w:p w14:paraId="7D275157"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Alteração</w:t>
            </w:r>
          </w:p>
        </w:tc>
        <w:tc>
          <w:tcPr>
            <w:tcW w:w="513" w:type="pct"/>
            <w:vAlign w:val="center"/>
          </w:tcPr>
          <w:p w14:paraId="686867AC"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33.1.3</w:t>
            </w:r>
          </w:p>
        </w:tc>
        <w:tc>
          <w:tcPr>
            <w:tcW w:w="1832" w:type="pct"/>
            <w:vAlign w:val="center"/>
          </w:tcPr>
          <w:p w14:paraId="085E0F13" w14:textId="77777777" w:rsidR="00BA709C" w:rsidRPr="00054F04" w:rsidRDefault="00BA709C" w:rsidP="00BA709C">
            <w:pPr>
              <w:pStyle w:val="Contrato-Pargrafo-Nvel2-2Dezenas"/>
              <w:numPr>
                <w:ilvl w:val="0"/>
                <w:numId w:val="0"/>
              </w:numPr>
              <w:spacing w:before="120" w:after="120"/>
              <w:ind w:left="87"/>
              <w:jc w:val="left"/>
              <w:rPr>
                <w:color w:val="000000" w:themeColor="text1"/>
              </w:rPr>
            </w:pPr>
            <w:r w:rsidRPr="00054F04">
              <w:rPr>
                <w:color w:val="000000" w:themeColor="text1"/>
              </w:rPr>
              <w:t>A ocorrência de caso fortuito, força maior ou causas similares não isenta o Contratado do pagamento de Receitas Governam</w:t>
            </w:r>
            <w:r>
              <w:rPr>
                <w:color w:val="000000" w:themeColor="text1"/>
              </w:rPr>
              <w:t>entais, na forma da lei</w:t>
            </w:r>
            <w:r w:rsidRPr="00054F04">
              <w:rPr>
                <w:color w:val="000000" w:themeColor="text1"/>
              </w:rPr>
              <w:t>.</w:t>
            </w:r>
          </w:p>
        </w:tc>
        <w:tc>
          <w:tcPr>
            <w:tcW w:w="1444" w:type="pct"/>
            <w:vAlign w:val="center"/>
          </w:tcPr>
          <w:p w14:paraId="1B74FA5C" w14:textId="77777777" w:rsidR="00BA709C" w:rsidRDefault="00BA709C" w:rsidP="00BA709C">
            <w:pPr>
              <w:spacing w:before="120" w:after="120"/>
              <w:rPr>
                <w:rFonts w:ascii="Arial" w:hAnsi="Arial" w:cs="Arial"/>
                <w:color w:val="000000" w:themeColor="text1"/>
                <w:sz w:val="22"/>
                <w:szCs w:val="22"/>
              </w:rPr>
            </w:pPr>
            <w:r>
              <w:rPr>
                <w:rFonts w:ascii="Arial" w:hAnsi="Arial" w:cs="Arial"/>
                <w:color w:val="000000" w:themeColor="text1"/>
                <w:sz w:val="22"/>
                <w:szCs w:val="22"/>
              </w:rPr>
              <w:t>Fazemos referência ao comentário à cláusula 33.1.1.</w:t>
            </w:r>
          </w:p>
          <w:p w14:paraId="71B56692" w14:textId="77777777" w:rsidR="00BA709C" w:rsidRPr="00054F04" w:rsidRDefault="00BA709C" w:rsidP="00BA709C">
            <w:pPr>
              <w:spacing w:before="120" w:after="120"/>
              <w:rPr>
                <w:rFonts w:ascii="Arial" w:hAnsi="Arial" w:cs="Arial"/>
                <w:color w:val="000000" w:themeColor="text1"/>
                <w:sz w:val="22"/>
                <w:szCs w:val="22"/>
              </w:rPr>
            </w:pPr>
            <w:r w:rsidRPr="00054F04">
              <w:rPr>
                <w:rFonts w:ascii="Arial" w:hAnsi="Arial" w:cs="Arial"/>
                <w:color w:val="000000" w:themeColor="text1"/>
                <w:sz w:val="22"/>
                <w:szCs w:val="22"/>
              </w:rPr>
              <w:t>Adicionalmente, incluímos “na forma da lei” para especificar que quaisquer pagamentos deverão incluir apenas o que estiver especificado em lei. Acreditamos que não há prejuízos em aceitar tal alteração, já que está em linha com a legis</w:t>
            </w:r>
            <w:r>
              <w:rPr>
                <w:rFonts w:ascii="Arial" w:hAnsi="Arial" w:cs="Arial"/>
                <w:color w:val="000000" w:themeColor="text1"/>
                <w:sz w:val="22"/>
                <w:szCs w:val="22"/>
              </w:rPr>
              <w:t>lação aplicável brasileira e</w:t>
            </w:r>
            <w:r w:rsidRPr="00054F04">
              <w:rPr>
                <w:rFonts w:ascii="Arial" w:hAnsi="Arial" w:cs="Arial"/>
                <w:color w:val="000000" w:themeColor="text1"/>
                <w:sz w:val="22"/>
                <w:szCs w:val="22"/>
              </w:rPr>
              <w:t xml:space="preserve"> concede mais clareza ao investidor.</w:t>
            </w:r>
          </w:p>
        </w:tc>
      </w:tr>
      <w:tr w:rsidR="00BA709C" w:rsidRPr="00054F04" w14:paraId="28E73A32" w14:textId="77777777" w:rsidTr="00864380">
        <w:trPr>
          <w:trHeight w:val="2268"/>
        </w:trPr>
        <w:tc>
          <w:tcPr>
            <w:tcW w:w="529" w:type="pct"/>
            <w:vAlign w:val="center"/>
          </w:tcPr>
          <w:p w14:paraId="72F4030E"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lastRenderedPageBreak/>
              <w:t>Minuta do contrato</w:t>
            </w:r>
          </w:p>
        </w:tc>
        <w:tc>
          <w:tcPr>
            <w:tcW w:w="682" w:type="pct"/>
            <w:vAlign w:val="center"/>
          </w:tcPr>
          <w:p w14:paraId="162635E9"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Alteração</w:t>
            </w:r>
          </w:p>
        </w:tc>
        <w:tc>
          <w:tcPr>
            <w:tcW w:w="513" w:type="pct"/>
            <w:vAlign w:val="center"/>
          </w:tcPr>
          <w:p w14:paraId="52EEEF01"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33.8</w:t>
            </w:r>
          </w:p>
        </w:tc>
        <w:tc>
          <w:tcPr>
            <w:tcW w:w="1832" w:type="pct"/>
            <w:vAlign w:val="center"/>
          </w:tcPr>
          <w:p w14:paraId="3353DE84" w14:textId="62C6A832" w:rsidR="00BA709C" w:rsidRPr="00054F04" w:rsidRDefault="00BA709C" w:rsidP="008E3F4D">
            <w:pPr>
              <w:pStyle w:val="Contrato-Pargrafo-Nvel2-2Dezenas"/>
              <w:numPr>
                <w:ilvl w:val="0"/>
                <w:numId w:val="0"/>
              </w:numPr>
              <w:spacing w:before="120" w:after="120"/>
              <w:jc w:val="left"/>
            </w:pPr>
            <w:r w:rsidRPr="00054F04">
              <w:t>O Contratado assumirá, individual e exclusivamente, todas as perdas decorrentes da situação de Força Maior ou causas similares.</w:t>
            </w:r>
            <w:r w:rsidR="002F6EBB">
              <w:t xml:space="preserve"> Tais perdas deverão ser consideradas como despesas relacionadas as atividades</w:t>
            </w:r>
            <w:r w:rsidR="00F86409">
              <w:t xml:space="preserve"> </w:t>
            </w:r>
            <w:r w:rsidR="008E3F4D">
              <w:t>sob este</w:t>
            </w:r>
            <w:r w:rsidR="00F86409">
              <w:t xml:space="preserve"> Contrato.</w:t>
            </w:r>
            <w:r w:rsidRPr="00054F04">
              <w:t xml:space="preserve"> </w:t>
            </w:r>
          </w:p>
        </w:tc>
        <w:tc>
          <w:tcPr>
            <w:tcW w:w="1444" w:type="pct"/>
            <w:vAlign w:val="center"/>
          </w:tcPr>
          <w:p w14:paraId="338C5009" w14:textId="77777777" w:rsidR="00BA709C" w:rsidRPr="00054F04" w:rsidRDefault="00BA709C" w:rsidP="00BA709C">
            <w:pPr>
              <w:spacing w:before="120" w:after="120"/>
              <w:rPr>
                <w:rFonts w:ascii="Arial" w:hAnsi="Arial" w:cs="Arial"/>
                <w:color w:val="000000" w:themeColor="text1"/>
                <w:sz w:val="22"/>
                <w:szCs w:val="22"/>
              </w:rPr>
            </w:pPr>
            <w:r w:rsidRPr="00054F04">
              <w:rPr>
                <w:rFonts w:ascii="Arial" w:hAnsi="Arial" w:cs="Arial"/>
                <w:color w:val="000000" w:themeColor="text1"/>
                <w:sz w:val="22"/>
                <w:szCs w:val="22"/>
              </w:rPr>
              <w:t>Mudança consistente com as Melhores Práticas da Indústria do Petróleo e adotada por diversos outros contratos de partilha de produção internacionais.</w:t>
            </w:r>
          </w:p>
        </w:tc>
      </w:tr>
      <w:tr w:rsidR="00BA709C" w:rsidRPr="00054F04" w14:paraId="2DA8C718" w14:textId="77777777" w:rsidTr="00864380">
        <w:trPr>
          <w:trHeight w:val="2268"/>
        </w:trPr>
        <w:tc>
          <w:tcPr>
            <w:tcW w:w="529" w:type="pct"/>
            <w:vAlign w:val="center"/>
          </w:tcPr>
          <w:p w14:paraId="49B04A3C"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Minuta do contrato</w:t>
            </w:r>
          </w:p>
        </w:tc>
        <w:tc>
          <w:tcPr>
            <w:tcW w:w="682" w:type="pct"/>
            <w:vAlign w:val="center"/>
          </w:tcPr>
          <w:p w14:paraId="0B1CB0DF"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Inclusão</w:t>
            </w:r>
          </w:p>
        </w:tc>
        <w:tc>
          <w:tcPr>
            <w:tcW w:w="513" w:type="pct"/>
            <w:vAlign w:val="center"/>
          </w:tcPr>
          <w:p w14:paraId="66BA2304" w14:textId="77777777" w:rsidR="00BA709C" w:rsidRPr="00054F04" w:rsidRDefault="00BA709C" w:rsidP="00BA709C">
            <w:pPr>
              <w:pStyle w:val="Caption"/>
              <w:spacing w:before="120" w:after="120"/>
              <w:jc w:val="center"/>
              <w:rPr>
                <w:rFonts w:cs="Arial"/>
                <w:color w:val="000000" w:themeColor="text1"/>
                <w:sz w:val="22"/>
                <w:szCs w:val="22"/>
              </w:rPr>
            </w:pPr>
            <w:r>
              <w:rPr>
                <w:rFonts w:cs="Arial"/>
                <w:color w:val="000000" w:themeColor="text1"/>
                <w:sz w:val="22"/>
                <w:szCs w:val="22"/>
              </w:rPr>
              <w:t>(</w:t>
            </w:r>
            <w:r w:rsidRPr="00054F04">
              <w:rPr>
                <w:rFonts w:cs="Arial"/>
                <w:color w:val="000000" w:themeColor="text1"/>
                <w:sz w:val="22"/>
                <w:szCs w:val="22"/>
              </w:rPr>
              <w:t>36.1.2</w:t>
            </w:r>
            <w:r>
              <w:rPr>
                <w:rFonts w:cs="Arial"/>
                <w:color w:val="000000" w:themeColor="text1"/>
                <w:sz w:val="22"/>
                <w:szCs w:val="22"/>
              </w:rPr>
              <w:t>)</w:t>
            </w:r>
          </w:p>
        </w:tc>
        <w:tc>
          <w:tcPr>
            <w:tcW w:w="1832" w:type="pct"/>
            <w:vAlign w:val="center"/>
          </w:tcPr>
          <w:p w14:paraId="0DDE3FA6" w14:textId="3DCB63C1" w:rsidR="00BA709C" w:rsidRPr="00054F04" w:rsidRDefault="00BA709C" w:rsidP="008E3F4D">
            <w:pPr>
              <w:pStyle w:val="Contrato-Pargrafo-Nvel2-2Dezenas"/>
              <w:numPr>
                <w:ilvl w:val="0"/>
                <w:numId w:val="0"/>
              </w:numPr>
              <w:spacing w:before="120" w:after="120"/>
              <w:jc w:val="left"/>
            </w:pPr>
            <w:r w:rsidRPr="00054F04">
              <w:t xml:space="preserve">No caso de conflito entre </w:t>
            </w:r>
            <w:r w:rsidR="008E3F4D">
              <w:t>os dispositivos</w:t>
            </w:r>
            <w:r w:rsidRPr="00054F04">
              <w:t xml:space="preserve"> deste Contrato e </w:t>
            </w:r>
            <w:r w:rsidR="008E3F4D">
              <w:t>os dispositivos de</w:t>
            </w:r>
            <w:r w:rsidRPr="00054F04">
              <w:t xml:space="preserve"> regulações, resoluções, portarias e outras atos normativos estabelecidos pel</w:t>
            </w:r>
            <w:r w:rsidR="008E3F4D">
              <w:t>o MME ou pel</w:t>
            </w:r>
            <w:r w:rsidRPr="00054F04">
              <w:t xml:space="preserve">a ANP, </w:t>
            </w:r>
            <w:r w:rsidR="008E3F4D">
              <w:t>os dispositivos</w:t>
            </w:r>
            <w:r w:rsidRPr="00054F04">
              <w:t xml:space="preserve"> deste Contrato deverão prevalecer.</w:t>
            </w:r>
          </w:p>
        </w:tc>
        <w:tc>
          <w:tcPr>
            <w:tcW w:w="1444" w:type="pct"/>
            <w:vAlign w:val="center"/>
          </w:tcPr>
          <w:p w14:paraId="223C8C10" w14:textId="7820DD2A" w:rsidR="00BA709C" w:rsidRPr="00054F04" w:rsidRDefault="00BA709C" w:rsidP="00BA709C">
            <w:pPr>
              <w:spacing w:before="120" w:after="120"/>
              <w:rPr>
                <w:rFonts w:ascii="Arial" w:hAnsi="Arial" w:cs="Arial"/>
                <w:color w:val="000000" w:themeColor="text1"/>
                <w:sz w:val="22"/>
                <w:szCs w:val="22"/>
              </w:rPr>
            </w:pPr>
            <w:r w:rsidRPr="00054F04">
              <w:rPr>
                <w:rFonts w:ascii="Arial" w:hAnsi="Arial" w:cs="Arial"/>
                <w:color w:val="000000" w:themeColor="text1"/>
                <w:sz w:val="22"/>
                <w:szCs w:val="22"/>
              </w:rPr>
              <w:t xml:space="preserve">Acreditamos que, em eventos de conflito entre resoluções da ANP, portarias, regulações e outros atos normativos, as previsões do Contrato de Partilha deverão prevalecer, considerando os princípios de </w:t>
            </w:r>
            <w:r w:rsidRPr="00054F04">
              <w:rPr>
                <w:rFonts w:ascii="Arial" w:hAnsi="Arial" w:cs="Arial"/>
                <w:i/>
                <w:color w:val="000000" w:themeColor="text1"/>
                <w:sz w:val="22"/>
                <w:szCs w:val="22"/>
              </w:rPr>
              <w:t xml:space="preserve">pacta sunt servanda </w:t>
            </w:r>
            <w:r w:rsidRPr="00054F04">
              <w:rPr>
                <w:rFonts w:ascii="Arial" w:hAnsi="Arial" w:cs="Arial"/>
                <w:color w:val="000000" w:themeColor="text1"/>
                <w:sz w:val="22"/>
                <w:szCs w:val="22"/>
              </w:rPr>
              <w:t>e da segurança jurídica.</w:t>
            </w:r>
            <w:r w:rsidR="00F86409">
              <w:rPr>
                <w:rFonts w:ascii="Arial" w:hAnsi="Arial" w:cs="Arial"/>
                <w:color w:val="000000" w:themeColor="text1"/>
                <w:sz w:val="22"/>
                <w:szCs w:val="22"/>
              </w:rPr>
              <w:t xml:space="preserve"> Esse dispositivo é especialmente importante tendo em vista as alterações na</w:t>
            </w:r>
            <w:r w:rsidR="00327851">
              <w:rPr>
                <w:rFonts w:ascii="Arial" w:hAnsi="Arial" w:cs="Arial"/>
                <w:color w:val="000000" w:themeColor="text1"/>
                <w:sz w:val="22"/>
                <w:szCs w:val="22"/>
              </w:rPr>
              <w:t>s</w:t>
            </w:r>
            <w:r w:rsidR="00F86409">
              <w:rPr>
                <w:rFonts w:ascii="Arial" w:hAnsi="Arial" w:cs="Arial"/>
                <w:color w:val="000000" w:themeColor="text1"/>
                <w:sz w:val="22"/>
                <w:szCs w:val="22"/>
              </w:rPr>
              <w:t xml:space="preserve"> políticas brasileiras de petróleo e gás </w:t>
            </w:r>
            <w:r w:rsidR="00327851">
              <w:rPr>
                <w:rFonts w:ascii="Arial" w:hAnsi="Arial" w:cs="Arial"/>
                <w:color w:val="000000" w:themeColor="text1"/>
                <w:sz w:val="22"/>
                <w:szCs w:val="22"/>
              </w:rPr>
              <w:t>a</w:t>
            </w:r>
            <w:r w:rsidR="00F86409">
              <w:rPr>
                <w:rFonts w:ascii="Arial" w:hAnsi="Arial" w:cs="Arial"/>
                <w:color w:val="000000" w:themeColor="text1"/>
                <w:sz w:val="22"/>
                <w:szCs w:val="22"/>
              </w:rPr>
              <w:t xml:space="preserve"> depender de quem estiver no poder.</w:t>
            </w:r>
          </w:p>
          <w:p w14:paraId="07D6039A" w14:textId="77777777" w:rsidR="00BA709C" w:rsidRPr="00054F04" w:rsidRDefault="00BA709C" w:rsidP="00BA709C">
            <w:pPr>
              <w:spacing w:before="120" w:after="120"/>
              <w:rPr>
                <w:rFonts w:ascii="Arial" w:hAnsi="Arial" w:cs="Arial"/>
                <w:color w:val="000000" w:themeColor="text1"/>
                <w:sz w:val="22"/>
                <w:szCs w:val="22"/>
              </w:rPr>
            </w:pPr>
            <w:r w:rsidRPr="00054F04">
              <w:rPr>
                <w:rFonts w:ascii="Arial" w:hAnsi="Arial" w:cs="Arial"/>
                <w:color w:val="000000" w:themeColor="text1"/>
                <w:sz w:val="22"/>
                <w:szCs w:val="22"/>
              </w:rPr>
              <w:t>De outra forma, poderia ser alegado que o contrato está sendo alterado unilateralmente por uma das partes, o que é completamente contrário aos princípios do direito brasileiro, e isso vai além do dever-poder da ANP como reguladora e supervisora do contrato.</w:t>
            </w:r>
          </w:p>
          <w:p w14:paraId="3854F0DB" w14:textId="77777777" w:rsidR="00BA709C" w:rsidRPr="00054F04" w:rsidRDefault="00BA709C" w:rsidP="00BA709C">
            <w:pPr>
              <w:spacing w:before="120" w:after="120"/>
              <w:rPr>
                <w:rFonts w:ascii="Arial" w:hAnsi="Arial" w:cs="Arial"/>
                <w:color w:val="000000" w:themeColor="text1"/>
                <w:sz w:val="22"/>
                <w:szCs w:val="22"/>
              </w:rPr>
            </w:pPr>
            <w:r w:rsidRPr="00054F04">
              <w:rPr>
                <w:rFonts w:ascii="Arial" w:hAnsi="Arial" w:cs="Arial"/>
                <w:color w:val="000000" w:themeColor="text1"/>
                <w:sz w:val="22"/>
                <w:szCs w:val="22"/>
              </w:rPr>
              <w:t xml:space="preserve">Este tipo de previsão é padrão em outros países hospedeiros que possuem um </w:t>
            </w:r>
            <w:r w:rsidRPr="00054F04">
              <w:rPr>
                <w:rFonts w:ascii="Arial" w:hAnsi="Arial" w:cs="Arial"/>
                <w:color w:val="000000" w:themeColor="text1"/>
                <w:sz w:val="22"/>
                <w:szCs w:val="22"/>
                <w:u w:val="single"/>
              </w:rPr>
              <w:t>regime contratual</w:t>
            </w:r>
            <w:r w:rsidRPr="00054F04">
              <w:rPr>
                <w:rFonts w:ascii="Arial" w:hAnsi="Arial" w:cs="Arial"/>
                <w:color w:val="000000" w:themeColor="text1"/>
                <w:sz w:val="22"/>
                <w:szCs w:val="22"/>
              </w:rPr>
              <w:t xml:space="preserve"> de exploração e produção. O contrato sempre deve ser observado e </w:t>
            </w:r>
            <w:r w:rsidRPr="00054F04">
              <w:rPr>
                <w:rFonts w:ascii="Arial" w:hAnsi="Arial" w:cs="Arial"/>
                <w:color w:val="000000" w:themeColor="text1"/>
                <w:sz w:val="22"/>
                <w:szCs w:val="22"/>
              </w:rPr>
              <w:lastRenderedPageBreak/>
              <w:t>respeitado pelas partes e, principalmente pelo regulador e pela autoridade outorgante dos direitos de E&amp;P. Caso haja alterações regulatórias que possam ser observadas pelo Contratado, o contrato poderá ser aditado de comum acordo.</w:t>
            </w:r>
          </w:p>
        </w:tc>
      </w:tr>
      <w:tr w:rsidR="00BA709C" w:rsidRPr="00054F04" w14:paraId="77EBA8A5" w14:textId="77777777" w:rsidTr="00864380">
        <w:trPr>
          <w:trHeight w:val="2268"/>
        </w:trPr>
        <w:tc>
          <w:tcPr>
            <w:tcW w:w="529" w:type="pct"/>
            <w:vAlign w:val="center"/>
          </w:tcPr>
          <w:p w14:paraId="3EEAACC6"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lastRenderedPageBreak/>
              <w:t>Minuta do contrato</w:t>
            </w:r>
          </w:p>
        </w:tc>
        <w:tc>
          <w:tcPr>
            <w:tcW w:w="682" w:type="pct"/>
            <w:vAlign w:val="center"/>
          </w:tcPr>
          <w:p w14:paraId="4BF30597"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Alteração</w:t>
            </w:r>
          </w:p>
        </w:tc>
        <w:tc>
          <w:tcPr>
            <w:tcW w:w="513" w:type="pct"/>
            <w:shd w:val="clear" w:color="auto" w:fill="auto"/>
            <w:vAlign w:val="center"/>
          </w:tcPr>
          <w:p w14:paraId="452A4DA5" w14:textId="77777777" w:rsidR="00BA709C" w:rsidRPr="00FC6730" w:rsidRDefault="00BA709C" w:rsidP="00BA709C">
            <w:pPr>
              <w:pStyle w:val="Caption"/>
              <w:spacing w:before="120" w:after="120"/>
              <w:jc w:val="center"/>
              <w:rPr>
                <w:rFonts w:cs="Arial"/>
                <w:color w:val="000000" w:themeColor="text1"/>
                <w:sz w:val="22"/>
                <w:szCs w:val="22"/>
                <w:highlight w:val="yellow"/>
              </w:rPr>
            </w:pPr>
            <w:r w:rsidRPr="009A539D">
              <w:rPr>
                <w:rFonts w:cs="Arial"/>
                <w:color w:val="000000" w:themeColor="text1"/>
                <w:sz w:val="22"/>
                <w:szCs w:val="22"/>
              </w:rPr>
              <w:t>36.2</w:t>
            </w:r>
          </w:p>
        </w:tc>
        <w:tc>
          <w:tcPr>
            <w:tcW w:w="1832" w:type="pct"/>
            <w:vAlign w:val="center"/>
          </w:tcPr>
          <w:p w14:paraId="02F179FA" w14:textId="4766D005" w:rsidR="00BA709C" w:rsidRPr="00054F04" w:rsidRDefault="00F86409" w:rsidP="008E3F4D">
            <w:pPr>
              <w:pStyle w:val="Contrato-Pargrafo-Nvel2-2Dezenas"/>
              <w:numPr>
                <w:ilvl w:val="0"/>
                <w:numId w:val="0"/>
              </w:numPr>
              <w:spacing w:before="120" w:after="120"/>
              <w:jc w:val="left"/>
            </w:pPr>
            <w:r>
              <w:t xml:space="preserve">As Partes e demais signatários deste Contrato comprometem-se a envidar esforços </w:t>
            </w:r>
            <w:r w:rsidR="008E3F4D">
              <w:t xml:space="preserve">razoáveis </w:t>
            </w:r>
            <w:r>
              <w:t>no sentido de resolver entre si, amigavelmente, toda e qualquer disputa ou controvérsia decorrente deste Contrato ou com ele relacionada</w:t>
            </w:r>
          </w:p>
        </w:tc>
        <w:tc>
          <w:tcPr>
            <w:tcW w:w="1444" w:type="pct"/>
            <w:vAlign w:val="center"/>
          </w:tcPr>
          <w:p w14:paraId="04E126CB" w14:textId="77777777" w:rsidR="00BA709C" w:rsidRPr="00054F04" w:rsidRDefault="00BA709C" w:rsidP="00BA709C">
            <w:pPr>
              <w:spacing w:before="120" w:after="120"/>
              <w:rPr>
                <w:rFonts w:ascii="Arial" w:hAnsi="Arial" w:cs="Arial"/>
                <w:color w:val="000000" w:themeColor="text1"/>
                <w:sz w:val="22"/>
                <w:szCs w:val="22"/>
              </w:rPr>
            </w:pPr>
            <w:r w:rsidRPr="00054F04">
              <w:rPr>
                <w:rFonts w:ascii="Arial" w:hAnsi="Arial" w:cs="Arial"/>
                <w:color w:val="000000" w:themeColor="text1"/>
                <w:sz w:val="22"/>
                <w:szCs w:val="22"/>
              </w:rPr>
              <w:t>A redação original da Cláusula 36.2 poderia ser interpretada como uma forma de impedir que as partes iniciem um procedimento de arbitragem caso elas não alcancem uma solução amigável. Ajustamos a redação de forma a manter a possibilidade de resolver a disputa amigavelmente anteriormente ao procedimento de arbitragem.</w:t>
            </w:r>
          </w:p>
          <w:p w14:paraId="4C99EB5A" w14:textId="77777777" w:rsidR="00BA709C" w:rsidRPr="00054F04" w:rsidRDefault="00BA709C" w:rsidP="00BA709C">
            <w:pPr>
              <w:spacing w:before="120" w:after="120"/>
              <w:rPr>
                <w:rFonts w:ascii="Arial" w:hAnsi="Arial" w:cs="Arial"/>
                <w:color w:val="000000" w:themeColor="text1"/>
                <w:sz w:val="22"/>
                <w:szCs w:val="22"/>
              </w:rPr>
            </w:pPr>
          </w:p>
          <w:p w14:paraId="47E6AF9B" w14:textId="77777777" w:rsidR="00BA709C" w:rsidRPr="00054F04" w:rsidRDefault="00BA709C" w:rsidP="00BA709C">
            <w:pPr>
              <w:spacing w:before="120" w:after="120"/>
              <w:rPr>
                <w:rFonts w:ascii="Arial" w:hAnsi="Arial" w:cs="Arial"/>
                <w:color w:val="000000" w:themeColor="text1"/>
                <w:sz w:val="22"/>
                <w:szCs w:val="22"/>
              </w:rPr>
            </w:pPr>
            <w:r w:rsidRPr="00054F04">
              <w:rPr>
                <w:rFonts w:ascii="Arial" w:hAnsi="Arial" w:cs="Arial"/>
                <w:color w:val="000000" w:themeColor="text1"/>
                <w:sz w:val="22"/>
                <w:szCs w:val="22"/>
              </w:rPr>
              <w:t>Caso uma das partes envolvidas na disputa entenda que não existem condições para conciliação amigável, ela não deveria ser forçada a conciliar.</w:t>
            </w:r>
          </w:p>
        </w:tc>
      </w:tr>
      <w:tr w:rsidR="00BA709C" w:rsidRPr="00054F04" w14:paraId="633724A1" w14:textId="77777777" w:rsidTr="00864380">
        <w:trPr>
          <w:trHeight w:val="2268"/>
        </w:trPr>
        <w:tc>
          <w:tcPr>
            <w:tcW w:w="529" w:type="pct"/>
            <w:vAlign w:val="center"/>
          </w:tcPr>
          <w:p w14:paraId="0BDAD5AA"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lastRenderedPageBreak/>
              <w:t>Minuta do contrato</w:t>
            </w:r>
          </w:p>
        </w:tc>
        <w:tc>
          <w:tcPr>
            <w:tcW w:w="682" w:type="pct"/>
            <w:vAlign w:val="center"/>
          </w:tcPr>
          <w:p w14:paraId="65438B02" w14:textId="124F178F" w:rsidR="00BA709C" w:rsidRPr="00054F04" w:rsidRDefault="00F86409" w:rsidP="00BA709C">
            <w:pPr>
              <w:pStyle w:val="Caption"/>
              <w:spacing w:before="120" w:after="120"/>
              <w:jc w:val="center"/>
              <w:rPr>
                <w:rFonts w:cs="Arial"/>
                <w:color w:val="000000" w:themeColor="text1"/>
                <w:sz w:val="22"/>
                <w:szCs w:val="22"/>
              </w:rPr>
            </w:pPr>
            <w:r>
              <w:rPr>
                <w:rFonts w:cs="Arial"/>
                <w:color w:val="000000" w:themeColor="text1"/>
                <w:sz w:val="22"/>
                <w:szCs w:val="22"/>
              </w:rPr>
              <w:t xml:space="preserve">Alteração </w:t>
            </w:r>
          </w:p>
        </w:tc>
        <w:tc>
          <w:tcPr>
            <w:tcW w:w="513" w:type="pct"/>
            <w:vAlign w:val="center"/>
          </w:tcPr>
          <w:p w14:paraId="6B38CB07" w14:textId="77777777" w:rsidR="00BA709C" w:rsidRPr="009A539D" w:rsidRDefault="00BA709C" w:rsidP="00BA1E5F">
            <w:pPr>
              <w:pStyle w:val="Caption"/>
              <w:spacing w:before="120" w:after="120"/>
              <w:jc w:val="center"/>
              <w:rPr>
                <w:rFonts w:cs="Arial"/>
                <w:color w:val="000000" w:themeColor="text1"/>
                <w:sz w:val="22"/>
                <w:szCs w:val="22"/>
              </w:rPr>
            </w:pPr>
            <w:r w:rsidRPr="009A539D">
              <w:rPr>
                <w:rFonts w:cs="Arial"/>
                <w:color w:val="000000" w:themeColor="text1"/>
                <w:sz w:val="22"/>
                <w:szCs w:val="22"/>
              </w:rPr>
              <w:t>36.2.</w:t>
            </w:r>
            <w:r w:rsidR="00BA1E5F">
              <w:rPr>
                <w:rFonts w:cs="Arial"/>
                <w:color w:val="000000" w:themeColor="text1"/>
                <w:sz w:val="22"/>
                <w:szCs w:val="22"/>
              </w:rPr>
              <w:t>1</w:t>
            </w:r>
          </w:p>
        </w:tc>
        <w:tc>
          <w:tcPr>
            <w:tcW w:w="1832" w:type="pct"/>
            <w:vAlign w:val="center"/>
          </w:tcPr>
          <w:p w14:paraId="7CD1BCAE" w14:textId="1B7EA289" w:rsidR="00BA709C" w:rsidRPr="00054F04" w:rsidRDefault="00F86409" w:rsidP="00F86409">
            <w:pPr>
              <w:pStyle w:val="Contrato-Pargrafo-Nvel2-2Dezenas"/>
              <w:numPr>
                <w:ilvl w:val="0"/>
                <w:numId w:val="0"/>
              </w:numPr>
              <w:spacing w:before="120" w:after="120"/>
              <w:jc w:val="left"/>
            </w:pPr>
            <w:r>
              <w:t>Tais esforços devem incluir solicitação de uma reunião específica de conciliação pela parte insatisfeita, acompanhada de seu pedido e de suas razões de fato e de direito</w:t>
            </w:r>
          </w:p>
        </w:tc>
        <w:tc>
          <w:tcPr>
            <w:tcW w:w="1444" w:type="pct"/>
            <w:vAlign w:val="center"/>
          </w:tcPr>
          <w:p w14:paraId="47269DD9" w14:textId="77777777" w:rsidR="00BA709C" w:rsidRDefault="00BA709C" w:rsidP="00BA709C">
            <w:pPr>
              <w:spacing w:before="120" w:after="120"/>
              <w:rPr>
                <w:rFonts w:ascii="Arial" w:hAnsi="Arial" w:cs="Arial"/>
                <w:color w:val="000000" w:themeColor="text1"/>
                <w:sz w:val="22"/>
                <w:szCs w:val="22"/>
              </w:rPr>
            </w:pPr>
            <w:r w:rsidRPr="00054F04">
              <w:rPr>
                <w:rFonts w:ascii="Arial" w:hAnsi="Arial" w:cs="Arial"/>
                <w:color w:val="000000" w:themeColor="text1"/>
                <w:sz w:val="22"/>
                <w:szCs w:val="22"/>
              </w:rPr>
              <w:t xml:space="preserve">Similar à justificativa </w:t>
            </w:r>
            <w:r w:rsidR="00F86409">
              <w:rPr>
                <w:rFonts w:ascii="Arial" w:hAnsi="Arial" w:cs="Arial"/>
                <w:color w:val="000000" w:themeColor="text1"/>
                <w:sz w:val="22"/>
                <w:szCs w:val="22"/>
              </w:rPr>
              <w:t xml:space="preserve">do item 36.2 </w:t>
            </w:r>
            <w:r w:rsidRPr="00054F04">
              <w:rPr>
                <w:rFonts w:ascii="Arial" w:hAnsi="Arial" w:cs="Arial"/>
                <w:color w:val="000000" w:themeColor="text1"/>
                <w:sz w:val="22"/>
                <w:szCs w:val="22"/>
              </w:rPr>
              <w:t>acima.</w:t>
            </w:r>
          </w:p>
          <w:p w14:paraId="15406A35" w14:textId="2A9CB980" w:rsidR="00F86409" w:rsidRPr="00054F04" w:rsidRDefault="00F86409" w:rsidP="00BA709C">
            <w:pPr>
              <w:spacing w:before="120" w:after="120"/>
              <w:rPr>
                <w:rFonts w:ascii="Arial" w:hAnsi="Arial" w:cs="Arial"/>
                <w:color w:val="000000" w:themeColor="text1"/>
                <w:sz w:val="22"/>
                <w:szCs w:val="22"/>
              </w:rPr>
            </w:pPr>
            <w:r>
              <w:rPr>
                <w:rFonts w:ascii="Arial" w:hAnsi="Arial" w:cs="Arial"/>
                <w:color w:val="000000" w:themeColor="text1"/>
                <w:sz w:val="22"/>
                <w:szCs w:val="22"/>
              </w:rPr>
              <w:t>Além disso, queremos esclarecer o processo para uma solução amigável.</w:t>
            </w:r>
          </w:p>
        </w:tc>
      </w:tr>
      <w:tr w:rsidR="00BA709C" w:rsidRPr="00054F04" w14:paraId="1D3325E7" w14:textId="77777777" w:rsidTr="00864380">
        <w:trPr>
          <w:trHeight w:val="2268"/>
        </w:trPr>
        <w:tc>
          <w:tcPr>
            <w:tcW w:w="529" w:type="pct"/>
            <w:vAlign w:val="center"/>
          </w:tcPr>
          <w:p w14:paraId="5585293A"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Minuta do contrato</w:t>
            </w:r>
          </w:p>
        </w:tc>
        <w:tc>
          <w:tcPr>
            <w:tcW w:w="682" w:type="pct"/>
            <w:vAlign w:val="center"/>
          </w:tcPr>
          <w:p w14:paraId="708B6FC2"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Exclusão</w:t>
            </w:r>
          </w:p>
        </w:tc>
        <w:tc>
          <w:tcPr>
            <w:tcW w:w="513" w:type="pct"/>
            <w:vAlign w:val="center"/>
          </w:tcPr>
          <w:p w14:paraId="304B4F94" w14:textId="77777777" w:rsidR="00BA709C" w:rsidRPr="009A539D" w:rsidRDefault="00BA709C" w:rsidP="00BA1E5F">
            <w:pPr>
              <w:pStyle w:val="Caption"/>
              <w:spacing w:before="120" w:after="120"/>
              <w:jc w:val="center"/>
              <w:rPr>
                <w:rFonts w:cs="Arial"/>
                <w:color w:val="000000" w:themeColor="text1"/>
                <w:sz w:val="22"/>
                <w:szCs w:val="22"/>
              </w:rPr>
            </w:pPr>
            <w:r w:rsidRPr="009A539D">
              <w:rPr>
                <w:rFonts w:cs="Arial"/>
                <w:color w:val="000000" w:themeColor="text1"/>
                <w:sz w:val="22"/>
                <w:szCs w:val="22"/>
              </w:rPr>
              <w:t>36.2.</w:t>
            </w:r>
            <w:r w:rsidR="00BA1E5F">
              <w:rPr>
                <w:rFonts w:cs="Arial"/>
                <w:color w:val="000000" w:themeColor="text1"/>
                <w:sz w:val="22"/>
                <w:szCs w:val="22"/>
              </w:rPr>
              <w:t>2</w:t>
            </w:r>
          </w:p>
        </w:tc>
        <w:tc>
          <w:tcPr>
            <w:tcW w:w="1832" w:type="pct"/>
            <w:vAlign w:val="center"/>
          </w:tcPr>
          <w:p w14:paraId="54389C08" w14:textId="77777777" w:rsidR="00BA709C" w:rsidRPr="00054F04" w:rsidRDefault="00BA709C" w:rsidP="00207CAB">
            <w:pPr>
              <w:pStyle w:val="Contrato-Pargrafo-Nvel2-2Dezenas"/>
              <w:numPr>
                <w:ilvl w:val="0"/>
                <w:numId w:val="0"/>
              </w:numPr>
              <w:spacing w:before="120" w:after="120"/>
              <w:jc w:val="left"/>
            </w:pPr>
          </w:p>
        </w:tc>
        <w:tc>
          <w:tcPr>
            <w:tcW w:w="1444" w:type="pct"/>
            <w:vAlign w:val="center"/>
          </w:tcPr>
          <w:p w14:paraId="588FBC2E" w14:textId="4416223F" w:rsidR="00BA709C" w:rsidRPr="00054F04" w:rsidRDefault="00BA709C" w:rsidP="00F86409">
            <w:pPr>
              <w:spacing w:before="120" w:after="120"/>
              <w:rPr>
                <w:rFonts w:ascii="Arial" w:hAnsi="Arial" w:cs="Arial"/>
                <w:color w:val="000000" w:themeColor="text1"/>
                <w:sz w:val="22"/>
                <w:szCs w:val="22"/>
              </w:rPr>
            </w:pPr>
            <w:r w:rsidRPr="00054F04">
              <w:rPr>
                <w:rFonts w:ascii="Arial" w:hAnsi="Arial" w:cs="Arial"/>
                <w:color w:val="000000" w:themeColor="text1"/>
                <w:sz w:val="22"/>
                <w:szCs w:val="22"/>
              </w:rPr>
              <w:t>Similar à justificativa</w:t>
            </w:r>
            <w:r w:rsidR="00F86409">
              <w:rPr>
                <w:rFonts w:ascii="Arial" w:hAnsi="Arial" w:cs="Arial"/>
                <w:color w:val="000000" w:themeColor="text1"/>
                <w:sz w:val="22"/>
                <w:szCs w:val="22"/>
              </w:rPr>
              <w:t xml:space="preserve"> do item 36.2 </w:t>
            </w:r>
            <w:r w:rsidR="00F86409" w:rsidRPr="00054F04">
              <w:rPr>
                <w:rFonts w:ascii="Arial" w:hAnsi="Arial" w:cs="Arial"/>
                <w:color w:val="000000" w:themeColor="text1"/>
                <w:sz w:val="22"/>
                <w:szCs w:val="22"/>
              </w:rPr>
              <w:t>acima.</w:t>
            </w:r>
          </w:p>
        </w:tc>
      </w:tr>
      <w:tr w:rsidR="00207CAB" w:rsidRPr="00054F04" w14:paraId="52389864" w14:textId="77777777" w:rsidTr="00864380">
        <w:trPr>
          <w:trHeight w:val="2268"/>
        </w:trPr>
        <w:tc>
          <w:tcPr>
            <w:tcW w:w="529" w:type="pct"/>
            <w:vAlign w:val="center"/>
          </w:tcPr>
          <w:p w14:paraId="4E41C5B1" w14:textId="77777777" w:rsidR="00207CAB" w:rsidRPr="00054F04" w:rsidRDefault="00207CAB" w:rsidP="00BA709C">
            <w:pPr>
              <w:pStyle w:val="Caption"/>
              <w:spacing w:before="120" w:after="120"/>
              <w:jc w:val="center"/>
              <w:rPr>
                <w:rFonts w:cs="Arial"/>
                <w:color w:val="000000" w:themeColor="text1"/>
                <w:sz w:val="22"/>
                <w:szCs w:val="22"/>
              </w:rPr>
            </w:pPr>
            <w:r>
              <w:rPr>
                <w:rFonts w:cs="Arial"/>
                <w:color w:val="000000" w:themeColor="text1"/>
                <w:sz w:val="22"/>
                <w:szCs w:val="22"/>
              </w:rPr>
              <w:t>Minuta do contrato</w:t>
            </w:r>
          </w:p>
        </w:tc>
        <w:tc>
          <w:tcPr>
            <w:tcW w:w="682" w:type="pct"/>
            <w:vAlign w:val="center"/>
          </w:tcPr>
          <w:p w14:paraId="4C49E8AC" w14:textId="77777777" w:rsidR="00207CAB" w:rsidRPr="00054F04" w:rsidRDefault="00207CAB" w:rsidP="00BA709C">
            <w:pPr>
              <w:pStyle w:val="Caption"/>
              <w:spacing w:before="120" w:after="120"/>
              <w:jc w:val="center"/>
              <w:rPr>
                <w:rFonts w:cs="Arial"/>
                <w:color w:val="000000" w:themeColor="text1"/>
                <w:sz w:val="22"/>
                <w:szCs w:val="22"/>
              </w:rPr>
            </w:pPr>
            <w:r>
              <w:rPr>
                <w:rFonts w:cs="Arial"/>
                <w:color w:val="000000" w:themeColor="text1"/>
                <w:sz w:val="22"/>
                <w:szCs w:val="22"/>
              </w:rPr>
              <w:t>Inclusão</w:t>
            </w:r>
          </w:p>
        </w:tc>
        <w:tc>
          <w:tcPr>
            <w:tcW w:w="513" w:type="pct"/>
            <w:vAlign w:val="center"/>
          </w:tcPr>
          <w:p w14:paraId="4A6FF25D" w14:textId="77777777" w:rsidR="00207CAB" w:rsidRPr="009A539D" w:rsidRDefault="00207CAB" w:rsidP="00BA1E5F">
            <w:pPr>
              <w:pStyle w:val="Caption"/>
              <w:spacing w:before="120" w:after="120"/>
              <w:jc w:val="center"/>
              <w:rPr>
                <w:rFonts w:cs="Arial"/>
                <w:color w:val="000000" w:themeColor="text1"/>
                <w:sz w:val="22"/>
                <w:szCs w:val="22"/>
              </w:rPr>
            </w:pPr>
            <w:r>
              <w:rPr>
                <w:rFonts w:cs="Arial"/>
                <w:color w:val="000000" w:themeColor="text1"/>
                <w:sz w:val="22"/>
                <w:szCs w:val="22"/>
              </w:rPr>
              <w:t>36.2.4</w:t>
            </w:r>
          </w:p>
        </w:tc>
        <w:tc>
          <w:tcPr>
            <w:tcW w:w="1832" w:type="pct"/>
            <w:vAlign w:val="center"/>
          </w:tcPr>
          <w:p w14:paraId="43B1B87F" w14:textId="1CF5EE1C" w:rsidR="00207CAB" w:rsidRPr="00054F04" w:rsidRDefault="00732900" w:rsidP="008E3F4D">
            <w:pPr>
              <w:pStyle w:val="Contrato-Pargrafo-Nvel2-2Dezenas"/>
              <w:numPr>
                <w:ilvl w:val="0"/>
                <w:numId w:val="0"/>
              </w:numPr>
              <w:spacing w:before="120" w:after="120"/>
              <w:jc w:val="left"/>
            </w:pPr>
            <w:r>
              <w:t xml:space="preserve">Caso as Partes não sejam capazes de chegar </w:t>
            </w:r>
            <w:r w:rsidR="008E3F4D">
              <w:t>a</w:t>
            </w:r>
            <w:r>
              <w:t xml:space="preserve"> um acordo no prazo de 30 dias, qualquer das Partes poderá submeter a disputa à arbitragem, nos termos da Cláusula 36.5</w:t>
            </w:r>
          </w:p>
        </w:tc>
        <w:tc>
          <w:tcPr>
            <w:tcW w:w="1444" w:type="pct"/>
            <w:vAlign w:val="center"/>
          </w:tcPr>
          <w:p w14:paraId="1B5BC5EF" w14:textId="77777777" w:rsidR="00F86409" w:rsidRDefault="00F86409" w:rsidP="00F86409">
            <w:pPr>
              <w:spacing w:before="120" w:after="120"/>
              <w:rPr>
                <w:rFonts w:ascii="Arial" w:hAnsi="Arial" w:cs="Arial"/>
                <w:color w:val="000000" w:themeColor="text1"/>
                <w:sz w:val="22"/>
                <w:szCs w:val="22"/>
              </w:rPr>
            </w:pPr>
            <w:r w:rsidRPr="00054F04">
              <w:rPr>
                <w:rFonts w:ascii="Arial" w:hAnsi="Arial" w:cs="Arial"/>
                <w:color w:val="000000" w:themeColor="text1"/>
                <w:sz w:val="22"/>
                <w:szCs w:val="22"/>
              </w:rPr>
              <w:t xml:space="preserve">Similar à justificativa </w:t>
            </w:r>
            <w:r>
              <w:rPr>
                <w:rFonts w:ascii="Arial" w:hAnsi="Arial" w:cs="Arial"/>
                <w:color w:val="000000" w:themeColor="text1"/>
                <w:sz w:val="22"/>
                <w:szCs w:val="22"/>
              </w:rPr>
              <w:t xml:space="preserve">do item 36.2 </w:t>
            </w:r>
            <w:r w:rsidRPr="00054F04">
              <w:rPr>
                <w:rFonts w:ascii="Arial" w:hAnsi="Arial" w:cs="Arial"/>
                <w:color w:val="000000" w:themeColor="text1"/>
                <w:sz w:val="22"/>
                <w:szCs w:val="22"/>
              </w:rPr>
              <w:t>acima.</w:t>
            </w:r>
          </w:p>
          <w:p w14:paraId="13FFAA65" w14:textId="2AC526FC" w:rsidR="00207CAB" w:rsidRPr="00054F04" w:rsidRDefault="00F86409" w:rsidP="00F86409">
            <w:pPr>
              <w:spacing w:before="120" w:after="120"/>
              <w:rPr>
                <w:rFonts w:ascii="Arial" w:hAnsi="Arial" w:cs="Arial"/>
                <w:color w:val="000000" w:themeColor="text1"/>
                <w:sz w:val="22"/>
                <w:szCs w:val="22"/>
              </w:rPr>
            </w:pPr>
            <w:r>
              <w:rPr>
                <w:rFonts w:ascii="Arial" w:hAnsi="Arial" w:cs="Arial"/>
                <w:color w:val="000000" w:themeColor="text1"/>
                <w:sz w:val="22"/>
                <w:szCs w:val="22"/>
              </w:rPr>
              <w:t>Além disso, queremos esclarecer o processo para uma solução amigável.</w:t>
            </w:r>
          </w:p>
        </w:tc>
      </w:tr>
      <w:tr w:rsidR="00BA709C" w:rsidRPr="00054F04" w14:paraId="5C706CB4" w14:textId="77777777" w:rsidTr="00864380">
        <w:trPr>
          <w:trHeight w:val="2268"/>
        </w:trPr>
        <w:tc>
          <w:tcPr>
            <w:tcW w:w="529" w:type="pct"/>
            <w:vAlign w:val="center"/>
          </w:tcPr>
          <w:p w14:paraId="48B2FA62"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lastRenderedPageBreak/>
              <w:t>Minuta do contrato</w:t>
            </w:r>
          </w:p>
        </w:tc>
        <w:tc>
          <w:tcPr>
            <w:tcW w:w="682" w:type="pct"/>
            <w:vAlign w:val="center"/>
          </w:tcPr>
          <w:p w14:paraId="153C56B9"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Exclusão</w:t>
            </w:r>
          </w:p>
        </w:tc>
        <w:tc>
          <w:tcPr>
            <w:tcW w:w="513" w:type="pct"/>
            <w:vAlign w:val="center"/>
          </w:tcPr>
          <w:p w14:paraId="46D7B7DF" w14:textId="68755E1F"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36.5.a</w:t>
            </w:r>
            <w:r w:rsidR="00F86409">
              <w:rPr>
                <w:rFonts w:cs="Arial"/>
                <w:color w:val="000000" w:themeColor="text1"/>
                <w:sz w:val="22"/>
                <w:szCs w:val="22"/>
              </w:rPr>
              <w:t>)</w:t>
            </w:r>
          </w:p>
        </w:tc>
        <w:tc>
          <w:tcPr>
            <w:tcW w:w="1832" w:type="pct"/>
            <w:vAlign w:val="center"/>
          </w:tcPr>
          <w:p w14:paraId="5CB5B67C" w14:textId="77777777" w:rsidR="00BA709C" w:rsidRPr="00054F04" w:rsidRDefault="00BA709C" w:rsidP="00BA709C">
            <w:pPr>
              <w:pStyle w:val="Contrato-Pargrafo-Nvel2-2Dezenas"/>
              <w:numPr>
                <w:ilvl w:val="0"/>
                <w:numId w:val="0"/>
              </w:numPr>
              <w:spacing w:before="120" w:after="120"/>
              <w:jc w:val="left"/>
            </w:pPr>
          </w:p>
        </w:tc>
        <w:tc>
          <w:tcPr>
            <w:tcW w:w="1444" w:type="pct"/>
            <w:vAlign w:val="center"/>
          </w:tcPr>
          <w:p w14:paraId="42269008" w14:textId="4D61F4DA" w:rsidR="00BA709C" w:rsidRPr="00054F04" w:rsidRDefault="00F86409" w:rsidP="00BA709C">
            <w:pPr>
              <w:spacing w:before="120" w:after="120"/>
              <w:rPr>
                <w:rFonts w:ascii="Arial" w:hAnsi="Arial" w:cs="Arial"/>
                <w:color w:val="000000" w:themeColor="text1"/>
                <w:sz w:val="22"/>
                <w:szCs w:val="22"/>
              </w:rPr>
            </w:pPr>
            <w:r>
              <w:rPr>
                <w:rFonts w:ascii="Arial" w:hAnsi="Arial" w:cs="Arial"/>
                <w:color w:val="000000" w:themeColor="text1"/>
                <w:sz w:val="22"/>
                <w:szCs w:val="22"/>
              </w:rPr>
              <w:t>Esta disposição não é mais necessária tendo em vista as 3 câmaras de arbitragem pré-selecionadas.</w:t>
            </w:r>
          </w:p>
        </w:tc>
      </w:tr>
      <w:tr w:rsidR="00BA709C" w:rsidRPr="00054F04" w14:paraId="49A627CC" w14:textId="77777777" w:rsidTr="00864380">
        <w:trPr>
          <w:trHeight w:val="2268"/>
        </w:trPr>
        <w:tc>
          <w:tcPr>
            <w:tcW w:w="529" w:type="pct"/>
            <w:vAlign w:val="center"/>
          </w:tcPr>
          <w:p w14:paraId="60072183"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Minuta do contrato</w:t>
            </w:r>
          </w:p>
        </w:tc>
        <w:tc>
          <w:tcPr>
            <w:tcW w:w="682" w:type="pct"/>
            <w:vAlign w:val="center"/>
          </w:tcPr>
          <w:p w14:paraId="0C9D7C8E" w14:textId="3F8E7BB0" w:rsidR="00BA709C" w:rsidRPr="00054F04" w:rsidRDefault="00F86409" w:rsidP="00BA709C">
            <w:pPr>
              <w:pStyle w:val="Caption"/>
              <w:spacing w:before="120" w:after="120"/>
              <w:jc w:val="center"/>
              <w:rPr>
                <w:rFonts w:cs="Arial"/>
                <w:color w:val="000000" w:themeColor="text1"/>
                <w:sz w:val="22"/>
                <w:szCs w:val="22"/>
              </w:rPr>
            </w:pPr>
            <w:r>
              <w:rPr>
                <w:rFonts w:cs="Arial"/>
                <w:color w:val="000000" w:themeColor="text1"/>
                <w:sz w:val="22"/>
                <w:szCs w:val="22"/>
              </w:rPr>
              <w:t>Alteração</w:t>
            </w:r>
          </w:p>
        </w:tc>
        <w:tc>
          <w:tcPr>
            <w:tcW w:w="513" w:type="pct"/>
            <w:vAlign w:val="center"/>
          </w:tcPr>
          <w:p w14:paraId="10BFFE86" w14:textId="5A1EE95D"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36.5.b</w:t>
            </w:r>
            <w:r w:rsidR="00171921">
              <w:rPr>
                <w:rFonts w:cs="Arial"/>
                <w:color w:val="000000" w:themeColor="text1"/>
                <w:sz w:val="22"/>
                <w:szCs w:val="22"/>
              </w:rPr>
              <w:t>)</w:t>
            </w:r>
          </w:p>
        </w:tc>
        <w:tc>
          <w:tcPr>
            <w:tcW w:w="1832" w:type="pct"/>
            <w:vAlign w:val="center"/>
          </w:tcPr>
          <w:p w14:paraId="3094113B" w14:textId="22D0A9EA" w:rsidR="00BA709C" w:rsidRPr="00054F04" w:rsidRDefault="00F86409" w:rsidP="00171921">
            <w:pPr>
              <w:pStyle w:val="Contrato-Pargrafo-Nvel2-2Dezenas"/>
              <w:numPr>
                <w:ilvl w:val="0"/>
                <w:numId w:val="0"/>
              </w:numPr>
              <w:spacing w:before="120" w:after="120"/>
              <w:jc w:val="left"/>
            </w:pPr>
            <w:r>
              <w:rPr>
                <w:bCs/>
                <w:iCs/>
              </w:rPr>
              <w:t>As</w:t>
            </w:r>
            <w:r>
              <w:t xml:space="preserve"> Partes escolherão a instituição arbitral de comum acordo. Caso as Partes não cheguem a um acordo quanto à escolha da instituição arbitral</w:t>
            </w:r>
            <w:r>
              <w:rPr>
                <w:bCs/>
                <w:iCs/>
              </w:rPr>
              <w:t xml:space="preserve">, a ANP indicará </w:t>
            </w:r>
            <w:r>
              <w:t>uma das seguintes instituições: (i) Corte Internacional de Arbitragem da Câmara de Comércio Internacional; (ii) Corte Internacional de Arbitragem de Londres; ou (iii) Corte Permanente de Arbitragem de Haia</w:t>
            </w:r>
            <w:r>
              <w:rPr>
                <w:bCs/>
                <w:iCs/>
              </w:rPr>
              <w:t xml:space="preserve">. Se a ANP não fizer a indicação no prazo </w:t>
            </w:r>
            <w:r w:rsidR="00171921">
              <w:rPr>
                <w:bCs/>
                <w:iCs/>
              </w:rPr>
              <w:t>de 30 (trinta) dias contados do recebimento da notificação de arbitragem</w:t>
            </w:r>
            <w:r>
              <w:rPr>
                <w:bCs/>
                <w:iCs/>
              </w:rPr>
              <w:t xml:space="preserve">, a outra parte poderá </w:t>
            </w:r>
            <w:r w:rsidR="00171921">
              <w:rPr>
                <w:bCs/>
                <w:iCs/>
              </w:rPr>
              <w:t xml:space="preserve">escolher </w:t>
            </w:r>
            <w:r>
              <w:rPr>
                <w:bCs/>
                <w:iCs/>
              </w:rPr>
              <w:t xml:space="preserve">qualquer das três instituições mencionadas nesta alínea. </w:t>
            </w:r>
          </w:p>
        </w:tc>
        <w:tc>
          <w:tcPr>
            <w:tcW w:w="1444" w:type="pct"/>
            <w:vAlign w:val="center"/>
          </w:tcPr>
          <w:p w14:paraId="3B65C0E7" w14:textId="36A7C908" w:rsidR="00BA709C" w:rsidRPr="00054F04" w:rsidRDefault="00864380" w:rsidP="00BA709C">
            <w:pPr>
              <w:spacing w:before="120" w:after="120"/>
              <w:rPr>
                <w:rFonts w:ascii="Arial" w:hAnsi="Arial" w:cs="Arial"/>
                <w:color w:val="000000" w:themeColor="text1"/>
                <w:sz w:val="22"/>
                <w:szCs w:val="22"/>
              </w:rPr>
            </w:pPr>
            <w:r>
              <w:rPr>
                <w:rFonts w:ascii="Arial" w:hAnsi="Arial" w:cs="Arial"/>
                <w:color w:val="000000" w:themeColor="text1"/>
                <w:sz w:val="22"/>
                <w:szCs w:val="22"/>
              </w:rPr>
              <w:t>As mudanças têm</w:t>
            </w:r>
            <w:r w:rsidR="00171921">
              <w:rPr>
                <w:rFonts w:ascii="Arial" w:hAnsi="Arial" w:cs="Arial"/>
                <w:color w:val="000000" w:themeColor="text1"/>
                <w:sz w:val="22"/>
                <w:szCs w:val="22"/>
              </w:rPr>
              <w:t xml:space="preserve"> por objetivo esclarecer os procedimentos de arbitragem</w:t>
            </w:r>
            <w:r w:rsidR="00BA709C" w:rsidRPr="00054F04">
              <w:rPr>
                <w:rFonts w:ascii="Arial" w:hAnsi="Arial" w:cs="Arial"/>
                <w:color w:val="000000" w:themeColor="text1"/>
                <w:sz w:val="22"/>
                <w:szCs w:val="22"/>
              </w:rPr>
              <w:t>.</w:t>
            </w:r>
          </w:p>
        </w:tc>
      </w:tr>
      <w:tr w:rsidR="00BA709C" w:rsidRPr="00054F04" w14:paraId="11E7F909" w14:textId="77777777" w:rsidTr="00864380">
        <w:trPr>
          <w:trHeight w:val="2268"/>
        </w:trPr>
        <w:tc>
          <w:tcPr>
            <w:tcW w:w="529" w:type="pct"/>
            <w:vAlign w:val="center"/>
          </w:tcPr>
          <w:p w14:paraId="06519AB3"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Minuta do contrato</w:t>
            </w:r>
          </w:p>
        </w:tc>
        <w:tc>
          <w:tcPr>
            <w:tcW w:w="682" w:type="pct"/>
            <w:vAlign w:val="center"/>
          </w:tcPr>
          <w:p w14:paraId="03A8737D"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Alteração</w:t>
            </w:r>
          </w:p>
        </w:tc>
        <w:tc>
          <w:tcPr>
            <w:tcW w:w="513" w:type="pct"/>
            <w:vAlign w:val="center"/>
          </w:tcPr>
          <w:p w14:paraId="70632733" w14:textId="6EEB6C00" w:rsidR="00BA709C" w:rsidRPr="00054F04" w:rsidRDefault="00BA709C" w:rsidP="00AA2038">
            <w:pPr>
              <w:pStyle w:val="Caption"/>
              <w:spacing w:before="120" w:after="120"/>
              <w:jc w:val="center"/>
              <w:rPr>
                <w:rFonts w:cs="Arial"/>
                <w:color w:val="000000" w:themeColor="text1"/>
                <w:sz w:val="22"/>
                <w:szCs w:val="22"/>
              </w:rPr>
            </w:pPr>
            <w:r w:rsidRPr="00054F04">
              <w:rPr>
                <w:rFonts w:cs="Arial"/>
                <w:color w:val="000000" w:themeColor="text1"/>
                <w:sz w:val="22"/>
                <w:szCs w:val="22"/>
              </w:rPr>
              <w:t>36.5.</w:t>
            </w:r>
            <w:r w:rsidR="00AA2038">
              <w:rPr>
                <w:rFonts w:cs="Arial"/>
                <w:color w:val="000000" w:themeColor="text1"/>
                <w:sz w:val="22"/>
                <w:szCs w:val="22"/>
              </w:rPr>
              <w:t>l</w:t>
            </w:r>
            <w:r w:rsidR="00171921">
              <w:rPr>
                <w:rFonts w:cs="Arial"/>
                <w:color w:val="000000" w:themeColor="text1"/>
                <w:sz w:val="22"/>
                <w:szCs w:val="22"/>
              </w:rPr>
              <w:t>)</w:t>
            </w:r>
          </w:p>
        </w:tc>
        <w:tc>
          <w:tcPr>
            <w:tcW w:w="1832" w:type="pct"/>
            <w:vAlign w:val="center"/>
          </w:tcPr>
          <w:p w14:paraId="26E3B07D" w14:textId="50337FA5" w:rsidR="00BA709C" w:rsidRPr="00054F04" w:rsidRDefault="00171921" w:rsidP="00171921">
            <w:pPr>
              <w:spacing w:before="120" w:after="120"/>
              <w:rPr>
                <w:rFonts w:ascii="Arial" w:hAnsi="Arial" w:cs="Arial"/>
                <w:color w:val="000000" w:themeColor="text1"/>
                <w:sz w:val="22"/>
                <w:szCs w:val="22"/>
              </w:rPr>
            </w:pPr>
            <w:r>
              <w:rPr>
                <w:rFonts w:ascii="Arial" w:hAnsi="Arial" w:cs="Arial"/>
                <w:color w:val="000000" w:themeColor="text1"/>
                <w:sz w:val="22"/>
                <w:szCs w:val="22"/>
              </w:rPr>
              <w:t>H</w:t>
            </w:r>
            <w:r w:rsidR="00BA709C" w:rsidRPr="00054F04">
              <w:rPr>
                <w:rFonts w:ascii="Arial" w:hAnsi="Arial" w:cs="Arial"/>
                <w:color w:val="000000" w:themeColor="text1"/>
                <w:sz w:val="22"/>
                <w:szCs w:val="22"/>
              </w:rPr>
              <w:t xml:space="preserve">avendo necessidade de medidas cautelares ou de urgência antes de instituída a arbitragem, a Parte interessada poderá requerê-las ao árbitro de </w:t>
            </w:r>
            <w:r w:rsidR="00BA709C">
              <w:rPr>
                <w:rFonts w:ascii="Arial" w:hAnsi="Arial" w:cs="Arial"/>
                <w:color w:val="000000" w:themeColor="text1"/>
                <w:sz w:val="22"/>
                <w:szCs w:val="22"/>
              </w:rPr>
              <w:t>emergência</w:t>
            </w:r>
            <w:r>
              <w:rPr>
                <w:rFonts w:ascii="Arial" w:hAnsi="Arial" w:cs="Arial"/>
                <w:color w:val="000000" w:themeColor="text1"/>
                <w:sz w:val="22"/>
                <w:szCs w:val="22"/>
              </w:rPr>
              <w:t>.</w:t>
            </w:r>
          </w:p>
        </w:tc>
        <w:tc>
          <w:tcPr>
            <w:tcW w:w="1444" w:type="pct"/>
            <w:vAlign w:val="center"/>
          </w:tcPr>
          <w:p w14:paraId="07F660B0" w14:textId="123036A8" w:rsidR="00BA709C" w:rsidRPr="00054F04" w:rsidRDefault="00BA709C" w:rsidP="008E3F4D">
            <w:pPr>
              <w:spacing w:before="120" w:after="120"/>
              <w:rPr>
                <w:rFonts w:ascii="Arial" w:hAnsi="Arial" w:cs="Arial"/>
                <w:color w:val="000000" w:themeColor="text1"/>
                <w:sz w:val="22"/>
                <w:szCs w:val="22"/>
              </w:rPr>
            </w:pPr>
            <w:r w:rsidRPr="00054F04">
              <w:rPr>
                <w:rFonts w:ascii="Arial" w:hAnsi="Arial" w:cs="Arial"/>
                <w:color w:val="000000" w:themeColor="text1"/>
                <w:sz w:val="22"/>
                <w:szCs w:val="22"/>
              </w:rPr>
              <w:t xml:space="preserve">As partes devem ter a opção ou encaminhar a </w:t>
            </w:r>
            <w:r w:rsidR="008E3F4D">
              <w:rPr>
                <w:rFonts w:ascii="Arial" w:hAnsi="Arial" w:cs="Arial"/>
                <w:color w:val="000000" w:themeColor="text1"/>
                <w:sz w:val="22"/>
                <w:szCs w:val="22"/>
              </w:rPr>
              <w:t>medida cautelar</w:t>
            </w:r>
            <w:r w:rsidRPr="00054F04">
              <w:rPr>
                <w:rFonts w:ascii="Arial" w:hAnsi="Arial" w:cs="Arial"/>
                <w:color w:val="000000" w:themeColor="text1"/>
                <w:sz w:val="22"/>
                <w:szCs w:val="22"/>
              </w:rPr>
              <w:t xml:space="preserve"> primeiro para a arbitragem de emergência se as regras de arbitragem </w:t>
            </w:r>
            <w:r w:rsidR="008E3F4D">
              <w:rPr>
                <w:rFonts w:ascii="Arial" w:hAnsi="Arial" w:cs="Arial"/>
                <w:color w:val="000000" w:themeColor="text1"/>
                <w:sz w:val="22"/>
                <w:szCs w:val="22"/>
              </w:rPr>
              <w:t>aplicáveis</w:t>
            </w:r>
            <w:r w:rsidRPr="00054F04">
              <w:rPr>
                <w:rFonts w:ascii="Arial" w:hAnsi="Arial" w:cs="Arial"/>
                <w:color w:val="000000" w:themeColor="text1"/>
                <w:sz w:val="22"/>
                <w:szCs w:val="22"/>
              </w:rPr>
              <w:t xml:space="preserve"> preverem uma.</w:t>
            </w:r>
          </w:p>
        </w:tc>
      </w:tr>
      <w:tr w:rsidR="00BA709C" w:rsidRPr="00054F04" w14:paraId="74A252C6" w14:textId="77777777" w:rsidTr="00864380">
        <w:trPr>
          <w:trHeight w:val="2268"/>
        </w:trPr>
        <w:tc>
          <w:tcPr>
            <w:tcW w:w="529" w:type="pct"/>
            <w:vAlign w:val="center"/>
          </w:tcPr>
          <w:p w14:paraId="0B49917C"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lastRenderedPageBreak/>
              <w:t>Minuta do contrato</w:t>
            </w:r>
          </w:p>
        </w:tc>
        <w:tc>
          <w:tcPr>
            <w:tcW w:w="682" w:type="pct"/>
            <w:vAlign w:val="center"/>
          </w:tcPr>
          <w:p w14:paraId="205EF2E7"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Alteração</w:t>
            </w:r>
          </w:p>
        </w:tc>
        <w:tc>
          <w:tcPr>
            <w:tcW w:w="513" w:type="pct"/>
            <w:vAlign w:val="center"/>
          </w:tcPr>
          <w:p w14:paraId="75994BE0" w14:textId="77777777" w:rsidR="00BA709C" w:rsidRPr="00054F04" w:rsidRDefault="00BA709C" w:rsidP="00BA709C">
            <w:pPr>
              <w:pStyle w:val="Caption"/>
              <w:spacing w:after="120"/>
              <w:jc w:val="center"/>
              <w:rPr>
                <w:rFonts w:cs="Arial"/>
                <w:color w:val="000000" w:themeColor="text1"/>
                <w:sz w:val="22"/>
                <w:szCs w:val="22"/>
              </w:rPr>
            </w:pPr>
            <w:r w:rsidRPr="00054F04">
              <w:rPr>
                <w:rFonts w:cs="Arial"/>
                <w:color w:val="000000" w:themeColor="text1"/>
                <w:sz w:val="22"/>
                <w:szCs w:val="22"/>
              </w:rPr>
              <w:t>Anexo VII</w:t>
            </w:r>
          </w:p>
          <w:p w14:paraId="1500C6EA" w14:textId="77777777" w:rsidR="00BA709C" w:rsidRPr="00054F04" w:rsidRDefault="00BA709C" w:rsidP="00BA709C">
            <w:pPr>
              <w:pStyle w:val="Caption"/>
              <w:spacing w:after="120"/>
              <w:jc w:val="center"/>
              <w:rPr>
                <w:rFonts w:cs="Arial"/>
                <w:color w:val="000000" w:themeColor="text1"/>
                <w:sz w:val="22"/>
                <w:szCs w:val="22"/>
              </w:rPr>
            </w:pPr>
            <w:r w:rsidRPr="00054F04">
              <w:rPr>
                <w:rFonts w:cs="Arial"/>
                <w:color w:val="000000" w:themeColor="text1"/>
                <w:sz w:val="22"/>
                <w:szCs w:val="22"/>
              </w:rPr>
              <w:t>Item 3.1</w:t>
            </w:r>
          </w:p>
        </w:tc>
        <w:tc>
          <w:tcPr>
            <w:tcW w:w="1832" w:type="pct"/>
            <w:vAlign w:val="center"/>
          </w:tcPr>
          <w:p w14:paraId="59DBC045" w14:textId="77777777" w:rsidR="00BA709C" w:rsidRPr="00054F04" w:rsidRDefault="00BA709C" w:rsidP="00BA709C">
            <w:pPr>
              <w:pStyle w:val="Contrato-Clausula-Nvel2-1dezena"/>
              <w:spacing w:before="120" w:after="120"/>
              <w:ind w:left="0" w:firstLine="0"/>
              <w:jc w:val="left"/>
              <w:rPr>
                <w:rFonts w:cs="Arial"/>
                <w:szCs w:val="22"/>
              </w:rPr>
            </w:pPr>
            <w:bookmarkStart w:id="5" w:name="_Ref319709345"/>
            <w:r w:rsidRPr="00054F04">
              <w:rPr>
                <w:rFonts w:cs="Arial"/>
                <w:szCs w:val="22"/>
              </w:rPr>
              <w:t>Compõem o Custo em Óleo os gastos realizados pelos Contratados relacionados com as Operações, relativos às atividades de:</w:t>
            </w:r>
            <w:bookmarkEnd w:id="5"/>
          </w:p>
          <w:p w14:paraId="5E6BF8EC" w14:textId="77777777" w:rsidR="00BA709C" w:rsidRPr="00054F04" w:rsidRDefault="00BA709C" w:rsidP="00BA709C">
            <w:pPr>
              <w:pStyle w:val="Contrato-Clausula-Nvel2-1dezena"/>
              <w:numPr>
                <w:ilvl w:val="0"/>
                <w:numId w:val="13"/>
              </w:numPr>
              <w:spacing w:before="120" w:after="120"/>
              <w:jc w:val="left"/>
              <w:rPr>
                <w:rFonts w:cs="Arial"/>
                <w:szCs w:val="22"/>
              </w:rPr>
            </w:pPr>
            <w:bookmarkStart w:id="6" w:name="_Ref320181611"/>
            <w:r w:rsidRPr="00054F04">
              <w:rPr>
                <w:rFonts w:cs="Arial"/>
                <w:szCs w:val="22"/>
              </w:rPr>
              <w:t>Exploração e Avaliação;</w:t>
            </w:r>
            <w:bookmarkEnd w:id="6"/>
          </w:p>
          <w:p w14:paraId="6F39581D" w14:textId="77777777" w:rsidR="00BA709C" w:rsidRPr="00054F04" w:rsidRDefault="00BA709C" w:rsidP="00BA709C">
            <w:pPr>
              <w:pStyle w:val="Contrato-Clausula-Nvel2-1dezena"/>
              <w:numPr>
                <w:ilvl w:val="0"/>
                <w:numId w:val="13"/>
              </w:numPr>
              <w:spacing w:before="120" w:after="120"/>
              <w:jc w:val="left"/>
              <w:rPr>
                <w:rFonts w:cs="Arial"/>
                <w:szCs w:val="22"/>
              </w:rPr>
            </w:pPr>
            <w:bookmarkStart w:id="7" w:name="_Ref320182419"/>
            <w:r w:rsidRPr="00054F04">
              <w:rPr>
                <w:rFonts w:cs="Arial"/>
                <w:szCs w:val="22"/>
              </w:rPr>
              <w:t>Desenvolvimento;</w:t>
            </w:r>
            <w:bookmarkEnd w:id="7"/>
          </w:p>
          <w:p w14:paraId="05F63D56" w14:textId="77777777" w:rsidR="00BA709C" w:rsidRPr="00054F04" w:rsidRDefault="00BA709C" w:rsidP="00BA709C">
            <w:pPr>
              <w:pStyle w:val="Contrato-Clausula-Nvel2-1dezena"/>
              <w:numPr>
                <w:ilvl w:val="0"/>
                <w:numId w:val="13"/>
              </w:numPr>
              <w:spacing w:before="120" w:after="120"/>
              <w:jc w:val="left"/>
              <w:rPr>
                <w:rFonts w:cs="Arial"/>
                <w:szCs w:val="22"/>
              </w:rPr>
            </w:pPr>
            <w:bookmarkStart w:id="8" w:name="_Ref320290456"/>
            <w:r w:rsidRPr="00054F04">
              <w:rPr>
                <w:rFonts w:cs="Arial"/>
                <w:szCs w:val="22"/>
              </w:rPr>
              <w:t>Produção;</w:t>
            </w:r>
            <w:bookmarkEnd w:id="8"/>
            <w:r w:rsidRPr="00054F04">
              <w:rPr>
                <w:rFonts w:cs="Arial"/>
                <w:szCs w:val="22"/>
              </w:rPr>
              <w:t xml:space="preserve"> </w:t>
            </w:r>
            <w:r>
              <w:rPr>
                <w:rFonts w:cs="Arial"/>
                <w:szCs w:val="22"/>
              </w:rPr>
              <w:t>e</w:t>
            </w:r>
          </w:p>
          <w:p w14:paraId="529BB5D4" w14:textId="77777777" w:rsidR="00BA709C" w:rsidRPr="00194BA8" w:rsidRDefault="00BA709C" w:rsidP="00BA709C">
            <w:pPr>
              <w:pStyle w:val="Contrato-Clausula-Nvel2-1dezena"/>
              <w:numPr>
                <w:ilvl w:val="0"/>
                <w:numId w:val="13"/>
              </w:numPr>
              <w:spacing w:before="120" w:after="120"/>
              <w:jc w:val="left"/>
              <w:rPr>
                <w:rFonts w:cs="Arial"/>
                <w:szCs w:val="22"/>
              </w:rPr>
            </w:pPr>
            <w:r w:rsidRPr="00054F04">
              <w:rPr>
                <w:rFonts w:cs="Arial"/>
                <w:szCs w:val="22"/>
              </w:rPr>
              <w:t>Desativação das instalações</w:t>
            </w:r>
            <w:r>
              <w:rPr>
                <w:rFonts w:cs="Arial"/>
                <w:szCs w:val="22"/>
              </w:rPr>
              <w:t>, incluindo o valor depositado no fundo de provisionamento.</w:t>
            </w:r>
          </w:p>
        </w:tc>
        <w:tc>
          <w:tcPr>
            <w:tcW w:w="1444" w:type="pct"/>
            <w:vAlign w:val="center"/>
          </w:tcPr>
          <w:p w14:paraId="3A9B5896" w14:textId="77777777" w:rsidR="00BA709C" w:rsidRPr="00054F04" w:rsidRDefault="00BA709C" w:rsidP="00BA709C">
            <w:pPr>
              <w:spacing w:before="120" w:after="120"/>
              <w:rPr>
                <w:rFonts w:ascii="Arial" w:hAnsi="Arial" w:cs="Arial"/>
                <w:sz w:val="22"/>
                <w:szCs w:val="22"/>
              </w:rPr>
            </w:pPr>
            <w:r w:rsidRPr="00054F04">
              <w:rPr>
                <w:rFonts w:ascii="Arial" w:hAnsi="Arial" w:cs="Arial"/>
                <w:sz w:val="22"/>
                <w:szCs w:val="22"/>
              </w:rPr>
              <w:t xml:space="preserve">Considerando que diversos dos custos e despesas que são recuperáveis não são incorridas na Área do Contrato (tais como aquelas descritas nos itens 3.2 c, 3.2 g até 3.2 i e 3.2.1), sugerimos a alteração da redação para dar </w:t>
            </w:r>
            <w:r w:rsidRPr="00054F04">
              <w:rPr>
                <w:rFonts w:ascii="Arial" w:hAnsi="Arial" w:cs="Arial"/>
                <w:color w:val="000000" w:themeColor="text1"/>
                <w:sz w:val="22"/>
                <w:szCs w:val="22"/>
              </w:rPr>
              <w:t>maior clareza ao processo de recuperação de custos.</w:t>
            </w:r>
          </w:p>
        </w:tc>
      </w:tr>
      <w:tr w:rsidR="00BA709C" w:rsidRPr="00054F04" w14:paraId="7F92C2C3" w14:textId="77777777" w:rsidTr="00864380">
        <w:trPr>
          <w:trHeight w:val="2268"/>
        </w:trPr>
        <w:tc>
          <w:tcPr>
            <w:tcW w:w="529" w:type="pct"/>
            <w:vAlign w:val="center"/>
          </w:tcPr>
          <w:p w14:paraId="124E5F6F"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Minuta do contrato</w:t>
            </w:r>
          </w:p>
        </w:tc>
        <w:tc>
          <w:tcPr>
            <w:tcW w:w="682" w:type="pct"/>
            <w:vAlign w:val="center"/>
          </w:tcPr>
          <w:p w14:paraId="63AFCF35"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Alteração</w:t>
            </w:r>
          </w:p>
        </w:tc>
        <w:tc>
          <w:tcPr>
            <w:tcW w:w="513" w:type="pct"/>
            <w:vAlign w:val="center"/>
          </w:tcPr>
          <w:p w14:paraId="6AAD12B2"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Anexo VII</w:t>
            </w:r>
          </w:p>
          <w:p w14:paraId="0CB32CD4" w14:textId="77777777" w:rsidR="00BA709C" w:rsidRPr="00054F04" w:rsidRDefault="00BA709C" w:rsidP="00BA709C">
            <w:pPr>
              <w:pStyle w:val="Caption"/>
              <w:spacing w:before="120" w:after="120"/>
              <w:jc w:val="center"/>
              <w:rPr>
                <w:rFonts w:cs="Arial"/>
                <w:sz w:val="22"/>
                <w:szCs w:val="22"/>
              </w:rPr>
            </w:pPr>
            <w:r w:rsidRPr="00054F04">
              <w:rPr>
                <w:rFonts w:cs="Arial"/>
                <w:color w:val="000000" w:themeColor="text1"/>
                <w:sz w:val="22"/>
                <w:szCs w:val="22"/>
              </w:rPr>
              <w:t>Item 3.8</w:t>
            </w:r>
          </w:p>
        </w:tc>
        <w:tc>
          <w:tcPr>
            <w:tcW w:w="1832" w:type="pct"/>
            <w:vAlign w:val="center"/>
          </w:tcPr>
          <w:p w14:paraId="50CB85A6" w14:textId="77777777" w:rsidR="00BA709C" w:rsidRPr="00054F04" w:rsidRDefault="00BA709C" w:rsidP="00BA709C">
            <w:pPr>
              <w:pStyle w:val="Contrato-Pargrafo-Nvel2"/>
              <w:numPr>
                <w:ilvl w:val="0"/>
                <w:numId w:val="0"/>
              </w:numPr>
              <w:spacing w:before="120" w:after="120"/>
              <w:jc w:val="left"/>
            </w:pPr>
            <w:r w:rsidRPr="00054F04">
              <w:t>Gastos praticados pelo Contratado nas transações com pessoas jurídicas Afiliadas serão recuperáveis como Custo em Óleo, desde que não haja elemento de lucro incluído.</w:t>
            </w:r>
          </w:p>
        </w:tc>
        <w:tc>
          <w:tcPr>
            <w:tcW w:w="1444" w:type="pct"/>
            <w:vAlign w:val="center"/>
          </w:tcPr>
          <w:p w14:paraId="2AD319D5" w14:textId="77777777" w:rsidR="00BA709C" w:rsidRPr="00054F04" w:rsidRDefault="00BA709C" w:rsidP="00BA709C">
            <w:pPr>
              <w:pStyle w:val="Caption"/>
              <w:spacing w:before="120" w:after="120"/>
              <w:rPr>
                <w:rFonts w:cs="Arial"/>
                <w:color w:val="000000" w:themeColor="text1"/>
                <w:sz w:val="22"/>
                <w:szCs w:val="22"/>
              </w:rPr>
            </w:pPr>
            <w:r w:rsidRPr="00054F04">
              <w:rPr>
                <w:rFonts w:cs="Arial"/>
                <w:color w:val="000000" w:themeColor="text1"/>
                <w:sz w:val="22"/>
                <w:szCs w:val="22"/>
              </w:rPr>
              <w:t>A alteração proposta é consistente com as Melhores Práticas da Indústria do Petróleo e contratos de partilha adotados internacionalmente.</w:t>
            </w:r>
          </w:p>
        </w:tc>
      </w:tr>
      <w:tr w:rsidR="00BA709C" w:rsidRPr="00054F04" w14:paraId="3C01AA46" w14:textId="77777777" w:rsidTr="00864380">
        <w:trPr>
          <w:trHeight w:val="2268"/>
        </w:trPr>
        <w:tc>
          <w:tcPr>
            <w:tcW w:w="529" w:type="pct"/>
            <w:vAlign w:val="center"/>
          </w:tcPr>
          <w:p w14:paraId="3C46B07F"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Minuta do contrato</w:t>
            </w:r>
          </w:p>
        </w:tc>
        <w:tc>
          <w:tcPr>
            <w:tcW w:w="682" w:type="pct"/>
            <w:vAlign w:val="center"/>
          </w:tcPr>
          <w:p w14:paraId="7EEDC323"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Inclusão</w:t>
            </w:r>
          </w:p>
        </w:tc>
        <w:tc>
          <w:tcPr>
            <w:tcW w:w="513" w:type="pct"/>
            <w:vAlign w:val="center"/>
          </w:tcPr>
          <w:p w14:paraId="02640F1A"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Anexo VII</w:t>
            </w:r>
          </w:p>
          <w:p w14:paraId="53A415D0" w14:textId="77777777" w:rsidR="00BA709C" w:rsidRPr="00054F04" w:rsidRDefault="00BA709C" w:rsidP="00BA709C">
            <w:pPr>
              <w:pStyle w:val="Caption"/>
              <w:spacing w:before="120" w:after="120"/>
              <w:jc w:val="center"/>
              <w:rPr>
                <w:rFonts w:cs="Arial"/>
                <w:sz w:val="22"/>
                <w:szCs w:val="22"/>
              </w:rPr>
            </w:pPr>
            <w:r>
              <w:rPr>
                <w:rFonts w:cs="Arial"/>
                <w:color w:val="000000" w:themeColor="text1"/>
                <w:sz w:val="22"/>
                <w:szCs w:val="22"/>
              </w:rPr>
              <w:t>(</w:t>
            </w:r>
            <w:r w:rsidRPr="00054F04">
              <w:rPr>
                <w:rFonts w:cs="Arial"/>
                <w:color w:val="000000" w:themeColor="text1"/>
                <w:sz w:val="22"/>
                <w:szCs w:val="22"/>
              </w:rPr>
              <w:t>Item 3.10</w:t>
            </w:r>
            <w:r>
              <w:rPr>
                <w:rFonts w:cs="Arial"/>
                <w:color w:val="000000" w:themeColor="text1"/>
                <w:sz w:val="22"/>
                <w:szCs w:val="22"/>
              </w:rPr>
              <w:t>)</w:t>
            </w:r>
          </w:p>
        </w:tc>
        <w:tc>
          <w:tcPr>
            <w:tcW w:w="1832" w:type="pct"/>
            <w:vAlign w:val="center"/>
          </w:tcPr>
          <w:p w14:paraId="58E59D56" w14:textId="31889638" w:rsidR="00BA709C" w:rsidRPr="00054F04" w:rsidRDefault="002E33A3" w:rsidP="00327851">
            <w:pPr>
              <w:pStyle w:val="Contrato-Clausula-Nvel2-1dezena"/>
              <w:spacing w:before="120" w:after="120"/>
              <w:ind w:left="0" w:firstLine="0"/>
              <w:jc w:val="left"/>
              <w:rPr>
                <w:rFonts w:cs="Arial"/>
                <w:szCs w:val="22"/>
              </w:rPr>
            </w:pPr>
            <w:r>
              <w:rPr>
                <w:rFonts w:cs="Arial"/>
                <w:szCs w:val="22"/>
              </w:rPr>
              <w:t xml:space="preserve">Desde já não contemplados </w:t>
            </w:r>
            <w:r w:rsidR="00171921">
              <w:rPr>
                <w:rFonts w:cs="Arial"/>
                <w:szCs w:val="22"/>
              </w:rPr>
              <w:t xml:space="preserve">pela Cláusula 3.9 (l), </w:t>
            </w:r>
            <w:r w:rsidR="00327851">
              <w:rPr>
                <w:rFonts w:cs="Arial"/>
                <w:szCs w:val="22"/>
              </w:rPr>
              <w:t xml:space="preserve">os valores relativos à </w:t>
            </w:r>
            <w:r w:rsidR="00BA709C" w:rsidRPr="00054F04">
              <w:rPr>
                <w:rFonts w:cs="Arial"/>
                <w:szCs w:val="22"/>
              </w:rPr>
              <w:t>tributos, diretos ou indiretos, que venham a incidir diretamente sobre as atividades de Exploração, Avaliação, Desenvolvimento ou Produção conduzidas pelo Operador, incluindo, mas não limitado a, ICMS e ISS</w:t>
            </w:r>
            <w:r w:rsidR="00327851">
              <w:rPr>
                <w:rFonts w:cs="Arial"/>
                <w:szCs w:val="22"/>
              </w:rPr>
              <w:t>, são recuperáveis como Custo em Óleo</w:t>
            </w:r>
            <w:r w:rsidR="00BA709C" w:rsidRPr="00054F04">
              <w:rPr>
                <w:rFonts w:cs="Arial"/>
                <w:szCs w:val="22"/>
              </w:rPr>
              <w:t>.</w:t>
            </w:r>
          </w:p>
        </w:tc>
        <w:tc>
          <w:tcPr>
            <w:tcW w:w="1444" w:type="pct"/>
            <w:vAlign w:val="center"/>
          </w:tcPr>
          <w:p w14:paraId="7BD1D5BD" w14:textId="77777777" w:rsidR="00BA709C" w:rsidRPr="00054F04" w:rsidRDefault="00BA709C" w:rsidP="00BA709C">
            <w:pPr>
              <w:pStyle w:val="Caption"/>
              <w:spacing w:before="120" w:after="120"/>
              <w:rPr>
                <w:rFonts w:cs="Arial"/>
                <w:color w:val="000000" w:themeColor="text1"/>
                <w:sz w:val="22"/>
                <w:szCs w:val="22"/>
              </w:rPr>
            </w:pPr>
            <w:r w:rsidRPr="00054F04">
              <w:rPr>
                <w:rFonts w:cs="Arial"/>
                <w:color w:val="000000" w:themeColor="text1"/>
                <w:sz w:val="22"/>
                <w:szCs w:val="22"/>
              </w:rPr>
              <w:t xml:space="preserve">O item 3.9.1 define que impostos sobre a renda e outros tributos incidentes sobre a aquisição, mas que geram créditos para o Contratado não poderão ser recuperados como Custo em Óleo. Portanto, este item pretende clarificar que, </w:t>
            </w:r>
            <w:r w:rsidRPr="00054F04">
              <w:rPr>
                <w:rFonts w:cs="Arial"/>
                <w:i/>
                <w:color w:val="000000" w:themeColor="text1"/>
                <w:sz w:val="22"/>
                <w:szCs w:val="22"/>
              </w:rPr>
              <w:t>contrario sensu</w:t>
            </w:r>
            <w:r w:rsidRPr="00054F04">
              <w:rPr>
                <w:rFonts w:cs="Arial"/>
                <w:color w:val="000000" w:themeColor="text1"/>
                <w:sz w:val="22"/>
                <w:szCs w:val="22"/>
              </w:rPr>
              <w:t xml:space="preserve">, certos tributos serão de fato recuperáveis em Custo em Óleo, o que está de acordo com diversos contratos de partilha adotados ao redor do mundo. Ademais, este item protege os investidores de tributos que </w:t>
            </w:r>
            <w:r w:rsidRPr="00054F04">
              <w:rPr>
                <w:rFonts w:cs="Arial"/>
                <w:color w:val="000000" w:themeColor="text1"/>
                <w:sz w:val="22"/>
                <w:szCs w:val="22"/>
              </w:rPr>
              <w:lastRenderedPageBreak/>
              <w:t>atualmente não incidem sobre atividades de E&amp;P e que podem impactar profundamente os fundamentos econômicos do projeto.</w:t>
            </w:r>
          </w:p>
        </w:tc>
      </w:tr>
      <w:tr w:rsidR="00BA709C" w:rsidRPr="00054F04" w14:paraId="0665B514" w14:textId="77777777" w:rsidTr="00864380">
        <w:trPr>
          <w:trHeight w:val="2268"/>
        </w:trPr>
        <w:tc>
          <w:tcPr>
            <w:tcW w:w="529" w:type="pct"/>
            <w:vAlign w:val="center"/>
          </w:tcPr>
          <w:p w14:paraId="7D740887"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lastRenderedPageBreak/>
              <w:t>Minuta do contrato</w:t>
            </w:r>
          </w:p>
        </w:tc>
        <w:tc>
          <w:tcPr>
            <w:tcW w:w="682" w:type="pct"/>
            <w:vAlign w:val="center"/>
          </w:tcPr>
          <w:p w14:paraId="6778232C"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Alteração</w:t>
            </w:r>
          </w:p>
        </w:tc>
        <w:tc>
          <w:tcPr>
            <w:tcW w:w="513" w:type="pct"/>
            <w:vAlign w:val="center"/>
          </w:tcPr>
          <w:p w14:paraId="06EA30C5"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Anexo VII</w:t>
            </w:r>
          </w:p>
          <w:p w14:paraId="615DAA9D" w14:textId="77777777" w:rsidR="00BA709C" w:rsidRPr="00054F04" w:rsidRDefault="00BA709C" w:rsidP="00BA709C">
            <w:pPr>
              <w:pStyle w:val="Caption"/>
              <w:spacing w:before="120" w:after="120"/>
              <w:jc w:val="center"/>
              <w:rPr>
                <w:rFonts w:cs="Arial"/>
                <w:sz w:val="22"/>
                <w:szCs w:val="22"/>
              </w:rPr>
            </w:pPr>
            <w:r w:rsidRPr="00054F04">
              <w:rPr>
                <w:rFonts w:cs="Arial"/>
                <w:color w:val="000000" w:themeColor="text1"/>
                <w:sz w:val="22"/>
                <w:szCs w:val="22"/>
              </w:rPr>
              <w:t>Item 3.9 (a)</w:t>
            </w:r>
          </w:p>
        </w:tc>
        <w:tc>
          <w:tcPr>
            <w:tcW w:w="1832" w:type="pct"/>
            <w:vAlign w:val="center"/>
          </w:tcPr>
          <w:p w14:paraId="616739F3" w14:textId="77777777" w:rsidR="00BA709C" w:rsidRPr="00054F04" w:rsidRDefault="00BA709C" w:rsidP="00BA709C">
            <w:pPr>
              <w:pStyle w:val="Contrato-Pargrafo-Nvel2"/>
              <w:numPr>
                <w:ilvl w:val="0"/>
                <w:numId w:val="0"/>
              </w:numPr>
              <w:spacing w:before="120" w:after="120"/>
              <w:jc w:val="left"/>
            </w:pPr>
            <w:r w:rsidRPr="00054F04">
              <w:t>Royalties, exceto con</w:t>
            </w:r>
            <w:r>
              <w:t>forme disposto no item</w:t>
            </w:r>
            <w:r w:rsidRPr="00054F04">
              <w:t xml:space="preserve"> 3.11 deste Anexo VII.</w:t>
            </w:r>
          </w:p>
        </w:tc>
        <w:tc>
          <w:tcPr>
            <w:tcW w:w="1444" w:type="pct"/>
            <w:vAlign w:val="center"/>
          </w:tcPr>
          <w:p w14:paraId="50271537" w14:textId="77777777" w:rsidR="00BA709C" w:rsidRPr="00054F04" w:rsidRDefault="00BA709C" w:rsidP="00BA709C">
            <w:pPr>
              <w:pStyle w:val="Caption"/>
              <w:spacing w:before="120" w:after="120"/>
              <w:rPr>
                <w:rFonts w:cs="Arial"/>
                <w:color w:val="000000" w:themeColor="text1"/>
                <w:sz w:val="22"/>
                <w:szCs w:val="22"/>
              </w:rPr>
            </w:pPr>
            <w:r w:rsidRPr="00054F04">
              <w:rPr>
                <w:rFonts w:cs="Arial"/>
                <w:color w:val="000000" w:themeColor="text1"/>
                <w:sz w:val="22"/>
                <w:szCs w:val="22"/>
              </w:rPr>
              <w:t>Favor referir-se ao no</w:t>
            </w:r>
            <w:r>
              <w:rPr>
                <w:rFonts w:cs="Arial"/>
                <w:color w:val="000000" w:themeColor="text1"/>
                <w:sz w:val="22"/>
                <w:szCs w:val="22"/>
              </w:rPr>
              <w:t>sso comentário ao novo item 3.11</w:t>
            </w:r>
            <w:r w:rsidRPr="00054F04">
              <w:rPr>
                <w:rFonts w:cs="Arial"/>
                <w:color w:val="000000" w:themeColor="text1"/>
                <w:sz w:val="22"/>
                <w:szCs w:val="22"/>
              </w:rPr>
              <w:t xml:space="preserve"> do Anexo VII acima.</w:t>
            </w:r>
          </w:p>
        </w:tc>
      </w:tr>
      <w:tr w:rsidR="00BA709C" w:rsidRPr="00054F04" w14:paraId="1487C85F" w14:textId="77777777" w:rsidTr="00864380">
        <w:trPr>
          <w:trHeight w:val="2268"/>
        </w:trPr>
        <w:tc>
          <w:tcPr>
            <w:tcW w:w="529" w:type="pct"/>
            <w:vAlign w:val="center"/>
          </w:tcPr>
          <w:p w14:paraId="06E0686E"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Minuta do contrato</w:t>
            </w:r>
          </w:p>
        </w:tc>
        <w:tc>
          <w:tcPr>
            <w:tcW w:w="682" w:type="pct"/>
            <w:vAlign w:val="center"/>
          </w:tcPr>
          <w:p w14:paraId="6A130539"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Alteração</w:t>
            </w:r>
          </w:p>
        </w:tc>
        <w:tc>
          <w:tcPr>
            <w:tcW w:w="513" w:type="pct"/>
            <w:vAlign w:val="center"/>
          </w:tcPr>
          <w:p w14:paraId="76BC3D8F"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Anexo VII</w:t>
            </w:r>
          </w:p>
          <w:p w14:paraId="2E929FB2" w14:textId="77777777" w:rsidR="00BA709C" w:rsidRPr="00054F04" w:rsidRDefault="00BA709C" w:rsidP="00BA709C">
            <w:pPr>
              <w:pStyle w:val="Caption"/>
              <w:spacing w:before="120" w:after="120"/>
              <w:jc w:val="center"/>
              <w:rPr>
                <w:rFonts w:cs="Arial"/>
                <w:sz w:val="22"/>
                <w:szCs w:val="22"/>
              </w:rPr>
            </w:pPr>
            <w:r w:rsidRPr="00054F04">
              <w:rPr>
                <w:rFonts w:cs="Arial"/>
                <w:color w:val="000000" w:themeColor="text1"/>
                <w:sz w:val="22"/>
                <w:szCs w:val="22"/>
              </w:rPr>
              <w:t>Item 3.9 (j)</w:t>
            </w:r>
          </w:p>
        </w:tc>
        <w:tc>
          <w:tcPr>
            <w:tcW w:w="1832" w:type="pct"/>
            <w:vAlign w:val="center"/>
          </w:tcPr>
          <w:p w14:paraId="4A05362C" w14:textId="77777777" w:rsidR="00BA709C" w:rsidRPr="00054F04" w:rsidRDefault="00BA709C" w:rsidP="00BA709C">
            <w:pPr>
              <w:pStyle w:val="Contrato-Pargrafo-Nvel2"/>
              <w:numPr>
                <w:ilvl w:val="0"/>
                <w:numId w:val="0"/>
              </w:numPr>
              <w:spacing w:before="120" w:after="120"/>
              <w:jc w:val="left"/>
            </w:pPr>
            <w:bookmarkStart w:id="9" w:name="_Ref320290127"/>
            <w:r w:rsidRPr="00054F04">
              <w:t>Reposição de bens, equipamentos e insumos que forem perdidos, danificados ou inutilizados em virtude de culpa grave, dolo ou violação de lei por parte do Operador, seus prepostos, contratados, Afiliados ou associados e os serviços relacionados</w:t>
            </w:r>
            <w:bookmarkEnd w:id="9"/>
            <w:r w:rsidRPr="00054F04">
              <w:t>.</w:t>
            </w:r>
          </w:p>
        </w:tc>
        <w:tc>
          <w:tcPr>
            <w:tcW w:w="1444" w:type="pct"/>
            <w:vAlign w:val="center"/>
          </w:tcPr>
          <w:p w14:paraId="44FC0CE7" w14:textId="77777777" w:rsidR="00BA709C" w:rsidRPr="00054F04" w:rsidRDefault="00BA709C" w:rsidP="00BA709C">
            <w:pPr>
              <w:pStyle w:val="Caption"/>
              <w:spacing w:before="120" w:after="120"/>
              <w:rPr>
                <w:rFonts w:cs="Arial"/>
                <w:color w:val="000000" w:themeColor="text1"/>
                <w:sz w:val="22"/>
                <w:szCs w:val="22"/>
              </w:rPr>
            </w:pPr>
            <w:r w:rsidRPr="00054F04">
              <w:rPr>
                <w:rFonts w:cs="Arial"/>
                <w:color w:val="000000" w:themeColor="text1"/>
                <w:sz w:val="22"/>
                <w:szCs w:val="22"/>
              </w:rPr>
              <w:t>As mudanças propostas pretendem limitar os cenários àqueles aceitáveis nos termos das Melhores Práticas da Indústria do Petróleo e contratos de partilha utilizados ao redor do mundo. A redação original é muito ampla e vaga, e tal incerteza jurídica pode desnecessariamente e negativamente impactar a condução das operações.</w:t>
            </w:r>
          </w:p>
        </w:tc>
      </w:tr>
      <w:tr w:rsidR="00864380" w:rsidRPr="00054F04" w14:paraId="494C32D5" w14:textId="77777777" w:rsidTr="00864380">
        <w:trPr>
          <w:trHeight w:val="2268"/>
        </w:trPr>
        <w:tc>
          <w:tcPr>
            <w:tcW w:w="529" w:type="pct"/>
            <w:vAlign w:val="center"/>
          </w:tcPr>
          <w:p w14:paraId="518E1B23" w14:textId="77777777" w:rsidR="00864380" w:rsidRPr="00054F04" w:rsidRDefault="00864380" w:rsidP="008E0DFB">
            <w:pPr>
              <w:pStyle w:val="Caption"/>
              <w:spacing w:before="120" w:after="120"/>
              <w:jc w:val="center"/>
              <w:rPr>
                <w:rFonts w:cs="Arial"/>
                <w:color w:val="000000" w:themeColor="text1"/>
                <w:sz w:val="22"/>
                <w:szCs w:val="22"/>
              </w:rPr>
            </w:pPr>
            <w:r w:rsidRPr="00054F04">
              <w:rPr>
                <w:rFonts w:cs="Arial"/>
                <w:color w:val="000000" w:themeColor="text1"/>
                <w:sz w:val="22"/>
                <w:szCs w:val="22"/>
              </w:rPr>
              <w:lastRenderedPageBreak/>
              <w:t>Minuta do contrato</w:t>
            </w:r>
          </w:p>
        </w:tc>
        <w:tc>
          <w:tcPr>
            <w:tcW w:w="682" w:type="pct"/>
            <w:vAlign w:val="center"/>
          </w:tcPr>
          <w:p w14:paraId="53B3FDBB" w14:textId="77777777" w:rsidR="00864380" w:rsidRPr="00054F04" w:rsidRDefault="00864380" w:rsidP="008E0DFB">
            <w:pPr>
              <w:pStyle w:val="Caption"/>
              <w:spacing w:before="120" w:after="120"/>
              <w:jc w:val="center"/>
              <w:rPr>
                <w:rFonts w:cs="Arial"/>
                <w:color w:val="000000" w:themeColor="text1"/>
                <w:sz w:val="22"/>
                <w:szCs w:val="22"/>
              </w:rPr>
            </w:pPr>
            <w:r w:rsidRPr="00054F04">
              <w:rPr>
                <w:rFonts w:cs="Arial"/>
                <w:color w:val="000000" w:themeColor="text1"/>
                <w:sz w:val="22"/>
                <w:szCs w:val="22"/>
              </w:rPr>
              <w:t>Inclusão</w:t>
            </w:r>
          </w:p>
        </w:tc>
        <w:tc>
          <w:tcPr>
            <w:tcW w:w="513" w:type="pct"/>
            <w:vAlign w:val="center"/>
          </w:tcPr>
          <w:p w14:paraId="3B19DDFA" w14:textId="77777777" w:rsidR="00864380" w:rsidRPr="00054F04" w:rsidRDefault="00864380" w:rsidP="008E0DFB">
            <w:pPr>
              <w:pStyle w:val="Caption"/>
              <w:spacing w:before="120" w:after="120"/>
              <w:jc w:val="center"/>
              <w:rPr>
                <w:rFonts w:cs="Arial"/>
                <w:color w:val="000000" w:themeColor="text1"/>
                <w:sz w:val="22"/>
                <w:szCs w:val="22"/>
              </w:rPr>
            </w:pPr>
            <w:r w:rsidRPr="00054F04">
              <w:rPr>
                <w:rFonts w:cs="Arial"/>
                <w:color w:val="000000" w:themeColor="text1"/>
                <w:sz w:val="22"/>
                <w:szCs w:val="22"/>
              </w:rPr>
              <w:t>Anexo VII</w:t>
            </w:r>
          </w:p>
          <w:p w14:paraId="6A65A100" w14:textId="77777777" w:rsidR="00864380" w:rsidRPr="00054F04" w:rsidRDefault="00864380" w:rsidP="008E0DFB">
            <w:pPr>
              <w:pStyle w:val="Caption"/>
              <w:spacing w:before="120" w:after="120"/>
              <w:jc w:val="center"/>
              <w:rPr>
                <w:rFonts w:cs="Arial"/>
                <w:sz w:val="22"/>
                <w:szCs w:val="22"/>
              </w:rPr>
            </w:pPr>
            <w:r>
              <w:rPr>
                <w:rFonts w:cs="Arial"/>
                <w:color w:val="000000" w:themeColor="text1"/>
                <w:sz w:val="22"/>
                <w:szCs w:val="22"/>
              </w:rPr>
              <w:t>(</w:t>
            </w:r>
            <w:r w:rsidRPr="00054F04">
              <w:rPr>
                <w:rFonts w:cs="Arial"/>
                <w:color w:val="000000" w:themeColor="text1"/>
                <w:sz w:val="22"/>
                <w:szCs w:val="22"/>
              </w:rPr>
              <w:t>Item 3.11</w:t>
            </w:r>
            <w:r>
              <w:rPr>
                <w:rFonts w:cs="Arial"/>
                <w:color w:val="000000" w:themeColor="text1"/>
                <w:sz w:val="22"/>
                <w:szCs w:val="22"/>
              </w:rPr>
              <w:t>)</w:t>
            </w:r>
          </w:p>
        </w:tc>
        <w:tc>
          <w:tcPr>
            <w:tcW w:w="1832" w:type="pct"/>
            <w:vAlign w:val="center"/>
          </w:tcPr>
          <w:p w14:paraId="57DE6D64" w14:textId="77777777" w:rsidR="00864380" w:rsidRPr="00054F04" w:rsidRDefault="00864380" w:rsidP="008E0DFB">
            <w:pPr>
              <w:pStyle w:val="Contrato-Pargrafo-Nvel2"/>
              <w:numPr>
                <w:ilvl w:val="0"/>
                <w:numId w:val="0"/>
              </w:numPr>
              <w:spacing w:before="120" w:after="120"/>
              <w:jc w:val="left"/>
            </w:pPr>
            <w:r w:rsidRPr="00054F04">
              <w:t>São recuperáveis como Custo em Óleo o valor de Participações Governamentais a serem criadas após a data de assinatura do presente Contrato, ou o aumen</w:t>
            </w:r>
            <w:r>
              <w:t>to do valor a ser recolhido pelos Contratado</w:t>
            </w:r>
            <w:r w:rsidRPr="00054F04">
              <w:t>s como Participações Governamentais, tomando como referência a base de cálculo e os percentuais de Participações Governamentais vigentes na data de assinatura do presente Contrato.</w:t>
            </w:r>
          </w:p>
        </w:tc>
        <w:tc>
          <w:tcPr>
            <w:tcW w:w="1444" w:type="pct"/>
            <w:vAlign w:val="center"/>
          </w:tcPr>
          <w:p w14:paraId="0B46EF4C" w14:textId="77777777" w:rsidR="00864380" w:rsidRDefault="00864380" w:rsidP="008E0DFB">
            <w:pPr>
              <w:pStyle w:val="Caption"/>
              <w:spacing w:before="120" w:after="120"/>
              <w:rPr>
                <w:rFonts w:cs="Arial"/>
                <w:color w:val="000000" w:themeColor="text1"/>
                <w:sz w:val="22"/>
                <w:szCs w:val="22"/>
              </w:rPr>
            </w:pPr>
            <w:r w:rsidRPr="00054F04">
              <w:rPr>
                <w:rFonts w:cs="Arial"/>
                <w:color w:val="000000" w:themeColor="text1"/>
                <w:sz w:val="22"/>
                <w:szCs w:val="22"/>
              </w:rPr>
              <w:t xml:space="preserve">Os investidores estarão entrando neste Contrato considerando as Participações Governamentais atualmente em vigor (tanto em termos de base de cálculo, como índices). Esta cláusula pretende proteger os fundamentos econômicos do projeto e o princípio do </w:t>
            </w:r>
            <w:r w:rsidRPr="00054F04">
              <w:rPr>
                <w:rFonts w:cs="Arial"/>
                <w:i/>
                <w:color w:val="000000" w:themeColor="text1"/>
                <w:sz w:val="22"/>
                <w:szCs w:val="22"/>
              </w:rPr>
              <w:t>pacta sunt servanda</w:t>
            </w:r>
            <w:r w:rsidRPr="00054F04">
              <w:rPr>
                <w:rFonts w:cs="Arial"/>
                <w:color w:val="000000" w:themeColor="text1"/>
                <w:sz w:val="22"/>
                <w:szCs w:val="22"/>
              </w:rPr>
              <w:t>, caso novas Participações Governamentais sejam criadas ou que as bases de cálculos ou índices sejam unilateralmente modificados pelo Governo Federal.</w:t>
            </w:r>
            <w:r>
              <w:rPr>
                <w:rFonts w:cs="Arial"/>
                <w:color w:val="000000" w:themeColor="text1"/>
                <w:sz w:val="22"/>
                <w:szCs w:val="22"/>
              </w:rPr>
              <w:t xml:space="preserve"> </w:t>
            </w:r>
          </w:p>
          <w:p w14:paraId="0B1780DB" w14:textId="3B56E8E3" w:rsidR="00864380" w:rsidRPr="00054F04" w:rsidRDefault="00864380" w:rsidP="008E0DFB">
            <w:pPr>
              <w:pStyle w:val="Caption"/>
              <w:spacing w:before="120" w:after="120"/>
              <w:rPr>
                <w:rFonts w:cs="Arial"/>
                <w:color w:val="000000" w:themeColor="text1"/>
                <w:sz w:val="22"/>
                <w:szCs w:val="22"/>
              </w:rPr>
            </w:pPr>
            <w:r>
              <w:rPr>
                <w:rFonts w:cs="Arial"/>
                <w:color w:val="000000" w:themeColor="text1"/>
                <w:sz w:val="22"/>
                <w:szCs w:val="22"/>
              </w:rPr>
              <w:t>Esse dispositivo é especialmente importante tendo em vista as alterações nas políticas brasileiras de petróleo e gás a depender de quem estiver no poder.</w:t>
            </w:r>
          </w:p>
          <w:p w14:paraId="1FB6F7C6" w14:textId="77777777" w:rsidR="00864380" w:rsidRPr="00054F04" w:rsidRDefault="00864380" w:rsidP="008E0DFB">
            <w:pPr>
              <w:pStyle w:val="Caption"/>
              <w:spacing w:before="120" w:after="120"/>
              <w:rPr>
                <w:rFonts w:cs="Arial"/>
                <w:color w:val="000000" w:themeColor="text1"/>
                <w:sz w:val="22"/>
                <w:szCs w:val="22"/>
              </w:rPr>
            </w:pPr>
            <w:r w:rsidRPr="00054F04">
              <w:rPr>
                <w:rFonts w:cs="Arial"/>
                <w:color w:val="000000" w:themeColor="text1"/>
                <w:sz w:val="22"/>
                <w:szCs w:val="22"/>
              </w:rPr>
              <w:t>É importante destacar que este assunto está completamente sob a jurisdição e controle do Governo Federal (que também é o próprio Contratante).</w:t>
            </w:r>
          </w:p>
        </w:tc>
      </w:tr>
      <w:tr w:rsidR="00BA709C" w:rsidRPr="00054F04" w14:paraId="551EBE02" w14:textId="77777777" w:rsidTr="00864380">
        <w:trPr>
          <w:trHeight w:val="2268"/>
        </w:trPr>
        <w:tc>
          <w:tcPr>
            <w:tcW w:w="529" w:type="pct"/>
            <w:vAlign w:val="center"/>
          </w:tcPr>
          <w:p w14:paraId="381E9ECF"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Minuta do contrato</w:t>
            </w:r>
          </w:p>
        </w:tc>
        <w:tc>
          <w:tcPr>
            <w:tcW w:w="682" w:type="pct"/>
            <w:vAlign w:val="center"/>
          </w:tcPr>
          <w:p w14:paraId="09BF2AD1"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Alteração</w:t>
            </w:r>
          </w:p>
        </w:tc>
        <w:tc>
          <w:tcPr>
            <w:tcW w:w="513" w:type="pct"/>
            <w:vAlign w:val="center"/>
          </w:tcPr>
          <w:p w14:paraId="05DA4F93"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Anexo VII</w:t>
            </w:r>
          </w:p>
          <w:p w14:paraId="232B5DFF" w14:textId="77777777" w:rsidR="00BA709C" w:rsidRPr="00054F04" w:rsidRDefault="00BA709C" w:rsidP="00BA709C">
            <w:pPr>
              <w:pStyle w:val="Caption"/>
              <w:spacing w:before="120" w:after="120"/>
              <w:jc w:val="center"/>
              <w:rPr>
                <w:rFonts w:cs="Arial"/>
                <w:sz w:val="22"/>
                <w:szCs w:val="22"/>
              </w:rPr>
            </w:pPr>
            <w:r w:rsidRPr="00054F04">
              <w:rPr>
                <w:rFonts w:cs="Arial"/>
                <w:color w:val="000000" w:themeColor="text1"/>
                <w:sz w:val="22"/>
                <w:szCs w:val="22"/>
              </w:rPr>
              <w:t>Item 4.5.3</w:t>
            </w:r>
          </w:p>
        </w:tc>
        <w:tc>
          <w:tcPr>
            <w:tcW w:w="1832" w:type="pct"/>
            <w:vAlign w:val="center"/>
          </w:tcPr>
          <w:p w14:paraId="51C1BDD4" w14:textId="78E90733" w:rsidR="00BA709C" w:rsidRPr="00054F04" w:rsidRDefault="00BA709C" w:rsidP="00327851">
            <w:pPr>
              <w:pStyle w:val="Contrato-Clausula-Nvel2-1dezena"/>
              <w:spacing w:before="120" w:after="120"/>
              <w:ind w:left="0" w:firstLine="0"/>
              <w:jc w:val="left"/>
              <w:rPr>
                <w:rFonts w:cs="Arial"/>
                <w:szCs w:val="22"/>
              </w:rPr>
            </w:pPr>
            <w:r w:rsidRPr="00054F04">
              <w:rPr>
                <w:rFonts w:cs="Arial"/>
                <w:szCs w:val="22"/>
              </w:rPr>
              <w:t xml:space="preserve">A não concordância da Gestora com os esclarecimentos prestados implicará o estorno dos gastos anteriormente reconhecidos como Custo em Óleo, </w:t>
            </w:r>
            <w:r w:rsidR="00327851">
              <w:rPr>
                <w:rFonts w:cs="Arial"/>
                <w:szCs w:val="22"/>
              </w:rPr>
              <w:t>sem prejuízo aos direitos do Contratado previstos na Cláusula 36.</w:t>
            </w:r>
          </w:p>
        </w:tc>
        <w:tc>
          <w:tcPr>
            <w:tcW w:w="1444" w:type="pct"/>
            <w:vAlign w:val="center"/>
          </w:tcPr>
          <w:p w14:paraId="109C3EB7" w14:textId="77777777" w:rsidR="00BA709C" w:rsidRPr="00054F04" w:rsidRDefault="00BA709C" w:rsidP="00BA709C">
            <w:pPr>
              <w:pStyle w:val="Caption"/>
              <w:spacing w:before="120" w:after="120"/>
              <w:rPr>
                <w:rFonts w:cs="Arial"/>
                <w:color w:val="000000" w:themeColor="text1"/>
                <w:sz w:val="22"/>
                <w:szCs w:val="22"/>
              </w:rPr>
            </w:pPr>
            <w:r w:rsidRPr="00054F04">
              <w:rPr>
                <w:rFonts w:cs="Arial"/>
                <w:color w:val="000000" w:themeColor="text1"/>
                <w:sz w:val="22"/>
                <w:szCs w:val="22"/>
              </w:rPr>
              <w:t>Considerando que a Gestora terá várias etapas de avaliação e aprovação do Custo em Óleo, esta redação pretende dar mais conforto aos investidores ao garantir que estas possíveis disputas serão sujeitas a uma decisão independente.</w:t>
            </w:r>
          </w:p>
        </w:tc>
      </w:tr>
      <w:tr w:rsidR="00BA709C" w:rsidRPr="00054F04" w14:paraId="2A4A4A5F" w14:textId="77777777" w:rsidTr="00864380">
        <w:trPr>
          <w:trHeight w:val="2268"/>
        </w:trPr>
        <w:tc>
          <w:tcPr>
            <w:tcW w:w="529" w:type="pct"/>
            <w:vAlign w:val="center"/>
          </w:tcPr>
          <w:p w14:paraId="176C302A"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lastRenderedPageBreak/>
              <w:t>Minuta do contrato</w:t>
            </w:r>
          </w:p>
        </w:tc>
        <w:tc>
          <w:tcPr>
            <w:tcW w:w="682" w:type="pct"/>
            <w:vAlign w:val="center"/>
          </w:tcPr>
          <w:p w14:paraId="2C808224"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Alteração</w:t>
            </w:r>
          </w:p>
        </w:tc>
        <w:tc>
          <w:tcPr>
            <w:tcW w:w="513" w:type="pct"/>
            <w:vAlign w:val="center"/>
          </w:tcPr>
          <w:p w14:paraId="590D7279"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Anexo XI</w:t>
            </w:r>
          </w:p>
          <w:p w14:paraId="73ED6C2A"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Item 1.21</w:t>
            </w:r>
          </w:p>
          <w:p w14:paraId="765B69C9"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 xml:space="preserve">Tabela </w:t>
            </w:r>
            <w:r>
              <w:rPr>
                <w:rFonts w:cs="Arial"/>
                <w:color w:val="000000" w:themeColor="text1"/>
                <w:sz w:val="22"/>
                <w:szCs w:val="22"/>
              </w:rPr>
              <w:t xml:space="preserve">– item </w:t>
            </w:r>
            <w:r w:rsidRPr="00054F04">
              <w:rPr>
                <w:rFonts w:cs="Arial"/>
                <w:color w:val="000000" w:themeColor="text1"/>
                <w:sz w:val="22"/>
                <w:szCs w:val="22"/>
              </w:rPr>
              <w:t>3</w:t>
            </w:r>
          </w:p>
        </w:tc>
        <w:tc>
          <w:tcPr>
            <w:tcW w:w="1832" w:type="pct"/>
            <w:vAlign w:val="center"/>
          </w:tcPr>
          <w:p w14:paraId="2BF63ED4" w14:textId="77777777" w:rsidR="00BA709C" w:rsidRPr="00054F04" w:rsidRDefault="00BA709C" w:rsidP="00BA709C">
            <w:pPr>
              <w:pStyle w:val="Contrato-Clausula-Nvel2-1dezena"/>
              <w:spacing w:before="120" w:after="120"/>
              <w:ind w:left="0" w:firstLine="0"/>
              <w:jc w:val="left"/>
              <w:rPr>
                <w:rFonts w:cs="Arial"/>
                <w:szCs w:val="22"/>
              </w:rPr>
            </w:pPr>
            <w:r w:rsidRPr="00054F04">
              <w:rPr>
                <w:rFonts w:cs="Arial"/>
                <w:szCs w:val="22"/>
              </w:rPr>
              <w:t>Acordo de Individualização da Produção D2</w:t>
            </w:r>
          </w:p>
        </w:tc>
        <w:tc>
          <w:tcPr>
            <w:tcW w:w="1444" w:type="pct"/>
            <w:vAlign w:val="center"/>
          </w:tcPr>
          <w:p w14:paraId="20D519C4" w14:textId="77777777" w:rsidR="00BA709C" w:rsidRPr="00054F04" w:rsidRDefault="00BA709C" w:rsidP="00BA709C">
            <w:pPr>
              <w:pStyle w:val="Caption"/>
              <w:spacing w:before="120" w:after="120"/>
              <w:rPr>
                <w:rFonts w:cs="Arial"/>
                <w:color w:val="000000" w:themeColor="text1"/>
                <w:sz w:val="22"/>
                <w:szCs w:val="22"/>
              </w:rPr>
            </w:pPr>
            <w:r w:rsidRPr="00054F04">
              <w:rPr>
                <w:rFonts w:cs="Arial"/>
                <w:color w:val="000000" w:themeColor="text1"/>
                <w:sz w:val="22"/>
                <w:szCs w:val="22"/>
              </w:rPr>
              <w:t>O direito de voto da Gestora deve ser limitado às questões relacionadas com a aprovação de orçamento e custo em óleo. Esta sugestão também está de acordo com os contratos de partilha internacionais.</w:t>
            </w:r>
          </w:p>
        </w:tc>
      </w:tr>
      <w:tr w:rsidR="00BA709C" w:rsidRPr="00054F04" w14:paraId="0C42C5BC" w14:textId="77777777" w:rsidTr="00864380">
        <w:trPr>
          <w:trHeight w:val="2268"/>
        </w:trPr>
        <w:tc>
          <w:tcPr>
            <w:tcW w:w="529" w:type="pct"/>
            <w:vAlign w:val="center"/>
          </w:tcPr>
          <w:p w14:paraId="7F13F400"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Minuta do contrato</w:t>
            </w:r>
          </w:p>
        </w:tc>
        <w:tc>
          <w:tcPr>
            <w:tcW w:w="682" w:type="pct"/>
            <w:vAlign w:val="center"/>
          </w:tcPr>
          <w:p w14:paraId="3B84ADDE"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Alteração</w:t>
            </w:r>
          </w:p>
        </w:tc>
        <w:tc>
          <w:tcPr>
            <w:tcW w:w="513" w:type="pct"/>
            <w:vAlign w:val="center"/>
          </w:tcPr>
          <w:p w14:paraId="6C0EFFE1"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Anexo XI</w:t>
            </w:r>
          </w:p>
          <w:p w14:paraId="167B399A"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Item 1.21</w:t>
            </w:r>
          </w:p>
          <w:p w14:paraId="105D7AED"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 xml:space="preserve">Tabela </w:t>
            </w:r>
            <w:r>
              <w:rPr>
                <w:rFonts w:cs="Arial"/>
                <w:color w:val="000000" w:themeColor="text1"/>
                <w:sz w:val="22"/>
                <w:szCs w:val="22"/>
              </w:rPr>
              <w:t xml:space="preserve">– item </w:t>
            </w:r>
            <w:r w:rsidRPr="00054F04">
              <w:rPr>
                <w:rFonts w:cs="Arial"/>
                <w:color w:val="000000" w:themeColor="text1"/>
                <w:sz w:val="22"/>
                <w:szCs w:val="22"/>
              </w:rPr>
              <w:t>7</w:t>
            </w:r>
          </w:p>
        </w:tc>
        <w:tc>
          <w:tcPr>
            <w:tcW w:w="1832" w:type="pct"/>
            <w:vAlign w:val="center"/>
          </w:tcPr>
          <w:p w14:paraId="6D418F7E" w14:textId="77777777" w:rsidR="00BA709C" w:rsidRPr="00054F04" w:rsidRDefault="00BA709C" w:rsidP="00BA709C">
            <w:pPr>
              <w:pStyle w:val="Contrato-Clausula-Nvel2-1dezena"/>
              <w:spacing w:before="120" w:after="120"/>
              <w:ind w:left="0" w:firstLine="0"/>
              <w:jc w:val="left"/>
              <w:rPr>
                <w:rFonts w:cs="Arial"/>
                <w:szCs w:val="22"/>
              </w:rPr>
            </w:pPr>
            <w:r w:rsidRPr="00054F04">
              <w:rPr>
                <w:rFonts w:cs="Arial"/>
                <w:szCs w:val="22"/>
              </w:rPr>
              <w:t>Programa Anual de Produção D2</w:t>
            </w:r>
          </w:p>
        </w:tc>
        <w:tc>
          <w:tcPr>
            <w:tcW w:w="1444" w:type="pct"/>
            <w:vAlign w:val="center"/>
          </w:tcPr>
          <w:p w14:paraId="072AB3DC" w14:textId="77777777" w:rsidR="00BA709C" w:rsidRPr="00054F04" w:rsidRDefault="00BA709C" w:rsidP="00BA709C">
            <w:pPr>
              <w:pStyle w:val="Caption"/>
              <w:spacing w:before="120" w:after="120"/>
              <w:rPr>
                <w:rFonts w:cs="Arial"/>
                <w:color w:val="000000" w:themeColor="text1"/>
                <w:sz w:val="22"/>
                <w:szCs w:val="22"/>
              </w:rPr>
            </w:pPr>
            <w:r w:rsidRPr="00054F04">
              <w:rPr>
                <w:rFonts w:cs="Arial"/>
                <w:color w:val="000000" w:themeColor="text1"/>
                <w:sz w:val="22"/>
                <w:szCs w:val="22"/>
              </w:rPr>
              <w:t>O direito de voto da Gestora deve ser limitado às questões relacionadas com a aprovação de orçamento e custo em óleo. Esta sugestão também está de acordo com os contratos de partilha internacionais.</w:t>
            </w:r>
          </w:p>
        </w:tc>
      </w:tr>
      <w:tr w:rsidR="00BA709C" w:rsidRPr="00054F04" w14:paraId="269FB8B1" w14:textId="77777777" w:rsidTr="00864380">
        <w:trPr>
          <w:trHeight w:val="2268"/>
        </w:trPr>
        <w:tc>
          <w:tcPr>
            <w:tcW w:w="529" w:type="pct"/>
            <w:vAlign w:val="center"/>
          </w:tcPr>
          <w:p w14:paraId="78A8635B"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Minuta do contrato</w:t>
            </w:r>
          </w:p>
        </w:tc>
        <w:tc>
          <w:tcPr>
            <w:tcW w:w="682" w:type="pct"/>
            <w:vAlign w:val="center"/>
          </w:tcPr>
          <w:p w14:paraId="6EF8A4C0"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Alteração</w:t>
            </w:r>
          </w:p>
        </w:tc>
        <w:tc>
          <w:tcPr>
            <w:tcW w:w="513" w:type="pct"/>
            <w:vAlign w:val="center"/>
          </w:tcPr>
          <w:p w14:paraId="53D53BFB"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Anexo XI</w:t>
            </w:r>
          </w:p>
          <w:p w14:paraId="366AEB1E"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Item 1.21</w:t>
            </w:r>
          </w:p>
          <w:p w14:paraId="3ECABD0F"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 xml:space="preserve">Tabela </w:t>
            </w:r>
            <w:r>
              <w:rPr>
                <w:rFonts w:cs="Arial"/>
                <w:color w:val="000000" w:themeColor="text1"/>
                <w:sz w:val="22"/>
                <w:szCs w:val="22"/>
              </w:rPr>
              <w:t xml:space="preserve">– item </w:t>
            </w:r>
            <w:r w:rsidRPr="00054F04">
              <w:rPr>
                <w:rFonts w:cs="Arial"/>
                <w:color w:val="000000" w:themeColor="text1"/>
                <w:sz w:val="22"/>
                <w:szCs w:val="22"/>
              </w:rPr>
              <w:t>9</w:t>
            </w:r>
          </w:p>
        </w:tc>
        <w:tc>
          <w:tcPr>
            <w:tcW w:w="1832" w:type="pct"/>
            <w:vAlign w:val="center"/>
          </w:tcPr>
          <w:p w14:paraId="02C3B627" w14:textId="77777777" w:rsidR="00BA709C" w:rsidRPr="00054F04" w:rsidRDefault="00BA709C" w:rsidP="00BA709C">
            <w:pPr>
              <w:pStyle w:val="Contrato-Clausula-Nvel2-1dezena"/>
              <w:spacing w:before="120" w:after="120"/>
              <w:ind w:left="0" w:firstLine="0"/>
              <w:jc w:val="left"/>
              <w:rPr>
                <w:rFonts w:cs="Arial"/>
                <w:szCs w:val="22"/>
              </w:rPr>
            </w:pPr>
            <w:r w:rsidRPr="00054F04">
              <w:rPr>
                <w:rFonts w:cs="Arial"/>
                <w:szCs w:val="22"/>
              </w:rPr>
              <w:t>Contabilização dos gastos realizados D2</w:t>
            </w:r>
          </w:p>
        </w:tc>
        <w:tc>
          <w:tcPr>
            <w:tcW w:w="1444" w:type="pct"/>
            <w:vAlign w:val="center"/>
          </w:tcPr>
          <w:p w14:paraId="292FB782" w14:textId="77777777" w:rsidR="00BA709C" w:rsidRPr="00054F04" w:rsidRDefault="00BA709C" w:rsidP="00BA709C">
            <w:pPr>
              <w:pStyle w:val="Caption"/>
              <w:spacing w:before="120" w:after="120"/>
              <w:rPr>
                <w:rFonts w:cs="Arial"/>
                <w:color w:val="000000" w:themeColor="text1"/>
                <w:sz w:val="22"/>
                <w:szCs w:val="22"/>
              </w:rPr>
            </w:pPr>
            <w:r w:rsidRPr="00054F04">
              <w:rPr>
                <w:rFonts w:cs="Arial"/>
                <w:color w:val="000000" w:themeColor="text1"/>
                <w:sz w:val="22"/>
                <w:szCs w:val="22"/>
              </w:rPr>
              <w:t>O direito de voto da Gestora deve ser limitado às questões relacionadas com a aprovação de orçamento e custo em óleo. Esta sugestão também está de acordo com os contratos de partilha internacionais.</w:t>
            </w:r>
          </w:p>
        </w:tc>
      </w:tr>
      <w:tr w:rsidR="00BA709C" w:rsidRPr="00054F04" w14:paraId="3C7A2FC1" w14:textId="77777777" w:rsidTr="00864380">
        <w:trPr>
          <w:trHeight w:val="2268"/>
        </w:trPr>
        <w:tc>
          <w:tcPr>
            <w:tcW w:w="529" w:type="pct"/>
            <w:vAlign w:val="center"/>
          </w:tcPr>
          <w:p w14:paraId="587D2D33"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lastRenderedPageBreak/>
              <w:t>Minuta do contrato</w:t>
            </w:r>
          </w:p>
        </w:tc>
        <w:tc>
          <w:tcPr>
            <w:tcW w:w="682" w:type="pct"/>
            <w:vAlign w:val="center"/>
          </w:tcPr>
          <w:p w14:paraId="553BE1A1"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Alteração</w:t>
            </w:r>
          </w:p>
        </w:tc>
        <w:tc>
          <w:tcPr>
            <w:tcW w:w="513" w:type="pct"/>
            <w:vAlign w:val="center"/>
          </w:tcPr>
          <w:p w14:paraId="754BD11A"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Anexo XI</w:t>
            </w:r>
          </w:p>
          <w:p w14:paraId="78A1B6B2"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Item 1.21</w:t>
            </w:r>
          </w:p>
          <w:p w14:paraId="6EEACC5D"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 xml:space="preserve">Tabela </w:t>
            </w:r>
            <w:r>
              <w:rPr>
                <w:rFonts w:cs="Arial"/>
                <w:color w:val="000000" w:themeColor="text1"/>
                <w:sz w:val="22"/>
                <w:szCs w:val="22"/>
              </w:rPr>
              <w:t xml:space="preserve">– item </w:t>
            </w:r>
            <w:r w:rsidRPr="00054F04">
              <w:rPr>
                <w:rFonts w:cs="Arial"/>
                <w:color w:val="000000" w:themeColor="text1"/>
                <w:sz w:val="22"/>
                <w:szCs w:val="22"/>
              </w:rPr>
              <w:t>10</w:t>
            </w:r>
          </w:p>
        </w:tc>
        <w:tc>
          <w:tcPr>
            <w:tcW w:w="1832" w:type="pct"/>
            <w:vAlign w:val="center"/>
          </w:tcPr>
          <w:p w14:paraId="40AEF5CF" w14:textId="77777777" w:rsidR="00BA709C" w:rsidRPr="00054F04" w:rsidRDefault="00BA709C" w:rsidP="00BA709C">
            <w:pPr>
              <w:pStyle w:val="Contrato-Clausula-Nvel2-1dezena"/>
              <w:spacing w:before="120" w:after="120"/>
              <w:ind w:left="0" w:firstLine="0"/>
              <w:jc w:val="left"/>
              <w:rPr>
                <w:rFonts w:cs="Arial"/>
                <w:szCs w:val="22"/>
              </w:rPr>
            </w:pPr>
            <w:r w:rsidRPr="00054F04">
              <w:rPr>
                <w:rFonts w:cs="Arial"/>
                <w:szCs w:val="22"/>
              </w:rPr>
              <w:t>Autorização de Dispêndios D2</w:t>
            </w:r>
          </w:p>
        </w:tc>
        <w:tc>
          <w:tcPr>
            <w:tcW w:w="1444" w:type="pct"/>
            <w:vAlign w:val="center"/>
          </w:tcPr>
          <w:p w14:paraId="1318E0F1" w14:textId="77777777" w:rsidR="00BA709C" w:rsidRPr="00054F04" w:rsidRDefault="00BA709C" w:rsidP="00BA709C">
            <w:pPr>
              <w:pStyle w:val="Caption"/>
              <w:spacing w:before="120" w:after="120"/>
              <w:rPr>
                <w:rFonts w:cs="Arial"/>
                <w:color w:val="000000" w:themeColor="text1"/>
                <w:sz w:val="22"/>
                <w:szCs w:val="22"/>
              </w:rPr>
            </w:pPr>
            <w:r w:rsidRPr="00054F04">
              <w:rPr>
                <w:rFonts w:cs="Arial"/>
                <w:color w:val="000000" w:themeColor="text1"/>
                <w:sz w:val="22"/>
                <w:szCs w:val="22"/>
              </w:rPr>
              <w:t>O direito de voto da Gestora deve ser limitado às questões relacionadas com a aprovação de orçamento e custo em óleo. Esta sugestão também está de acordo com os contratos de partilha internacionais.</w:t>
            </w:r>
          </w:p>
        </w:tc>
      </w:tr>
      <w:tr w:rsidR="00BA709C" w:rsidRPr="00054F04" w14:paraId="607266D5" w14:textId="77777777" w:rsidTr="00864380">
        <w:trPr>
          <w:trHeight w:val="2268"/>
        </w:trPr>
        <w:tc>
          <w:tcPr>
            <w:tcW w:w="529" w:type="pct"/>
            <w:vAlign w:val="center"/>
          </w:tcPr>
          <w:p w14:paraId="3686CD6A"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Minuta do contrato</w:t>
            </w:r>
          </w:p>
        </w:tc>
        <w:tc>
          <w:tcPr>
            <w:tcW w:w="682" w:type="pct"/>
            <w:vAlign w:val="center"/>
          </w:tcPr>
          <w:p w14:paraId="6C832E3A"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Alteração</w:t>
            </w:r>
          </w:p>
        </w:tc>
        <w:tc>
          <w:tcPr>
            <w:tcW w:w="513" w:type="pct"/>
            <w:vAlign w:val="center"/>
          </w:tcPr>
          <w:p w14:paraId="7F915549"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Anexo XI</w:t>
            </w:r>
          </w:p>
          <w:p w14:paraId="0581D938"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Item 1.21</w:t>
            </w:r>
          </w:p>
          <w:p w14:paraId="6176EB05"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 xml:space="preserve">Tabela </w:t>
            </w:r>
            <w:r>
              <w:rPr>
                <w:rFonts w:cs="Arial"/>
                <w:color w:val="000000" w:themeColor="text1"/>
                <w:sz w:val="22"/>
                <w:szCs w:val="22"/>
              </w:rPr>
              <w:t xml:space="preserve">– item </w:t>
            </w:r>
            <w:r w:rsidRPr="00054F04">
              <w:rPr>
                <w:rFonts w:cs="Arial"/>
                <w:color w:val="000000" w:themeColor="text1"/>
                <w:sz w:val="22"/>
                <w:szCs w:val="22"/>
              </w:rPr>
              <w:t>12</w:t>
            </w:r>
          </w:p>
        </w:tc>
        <w:tc>
          <w:tcPr>
            <w:tcW w:w="1832" w:type="pct"/>
            <w:vAlign w:val="center"/>
          </w:tcPr>
          <w:p w14:paraId="2A230911" w14:textId="77777777" w:rsidR="00BA709C" w:rsidRPr="00054F04" w:rsidRDefault="00BA709C" w:rsidP="00BA709C">
            <w:pPr>
              <w:pStyle w:val="Contrato-Clausula-Nvel2-1dezena"/>
              <w:spacing w:before="120" w:after="120"/>
              <w:ind w:left="0" w:firstLine="0"/>
              <w:jc w:val="left"/>
              <w:rPr>
                <w:rFonts w:cs="Arial"/>
                <w:szCs w:val="22"/>
              </w:rPr>
            </w:pPr>
            <w:r w:rsidRPr="00054F04">
              <w:rPr>
                <w:rFonts w:cs="Arial"/>
                <w:szCs w:val="22"/>
              </w:rPr>
              <w:t>Criação de Subcomitês D2</w:t>
            </w:r>
          </w:p>
        </w:tc>
        <w:tc>
          <w:tcPr>
            <w:tcW w:w="1444" w:type="pct"/>
            <w:vAlign w:val="center"/>
          </w:tcPr>
          <w:p w14:paraId="1D1F9A62" w14:textId="77777777" w:rsidR="00BA709C" w:rsidRPr="00054F04" w:rsidRDefault="00BA709C" w:rsidP="00BA709C">
            <w:pPr>
              <w:pStyle w:val="Caption"/>
              <w:spacing w:before="120" w:after="120"/>
              <w:rPr>
                <w:rFonts w:cs="Arial"/>
                <w:color w:val="000000" w:themeColor="text1"/>
                <w:sz w:val="22"/>
                <w:szCs w:val="22"/>
              </w:rPr>
            </w:pPr>
            <w:r w:rsidRPr="00054F04">
              <w:rPr>
                <w:rFonts w:cs="Arial"/>
                <w:color w:val="000000" w:themeColor="text1"/>
                <w:sz w:val="22"/>
                <w:szCs w:val="22"/>
              </w:rPr>
              <w:t>O direito de voto da Gestora deve ser limitado às questões relacionadas com a aprovação de orçamento e custo em óleo. Esta sugestão também está de acordo com os contratos de partilha internacionais.</w:t>
            </w:r>
          </w:p>
        </w:tc>
      </w:tr>
      <w:tr w:rsidR="00BA709C" w:rsidRPr="00054F04" w14:paraId="2250BB9C" w14:textId="77777777" w:rsidTr="00864380">
        <w:trPr>
          <w:trHeight w:val="2268"/>
        </w:trPr>
        <w:tc>
          <w:tcPr>
            <w:tcW w:w="529" w:type="pct"/>
            <w:vAlign w:val="center"/>
          </w:tcPr>
          <w:p w14:paraId="1FDFF34A"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Minuta do contrato</w:t>
            </w:r>
          </w:p>
        </w:tc>
        <w:tc>
          <w:tcPr>
            <w:tcW w:w="682" w:type="pct"/>
            <w:vAlign w:val="center"/>
          </w:tcPr>
          <w:p w14:paraId="6D8525A9"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Alteração</w:t>
            </w:r>
          </w:p>
        </w:tc>
        <w:tc>
          <w:tcPr>
            <w:tcW w:w="513" w:type="pct"/>
            <w:vAlign w:val="center"/>
          </w:tcPr>
          <w:p w14:paraId="2802C50C"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Anexo XI</w:t>
            </w:r>
          </w:p>
          <w:p w14:paraId="0D4E328E"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Item 1.21</w:t>
            </w:r>
          </w:p>
          <w:p w14:paraId="0BF63939"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 xml:space="preserve">Tabela </w:t>
            </w:r>
            <w:r>
              <w:rPr>
                <w:rFonts w:cs="Arial"/>
                <w:color w:val="000000" w:themeColor="text1"/>
                <w:sz w:val="22"/>
                <w:szCs w:val="22"/>
              </w:rPr>
              <w:t xml:space="preserve">– item </w:t>
            </w:r>
            <w:r w:rsidRPr="00054F04">
              <w:rPr>
                <w:rFonts w:cs="Arial"/>
                <w:color w:val="000000" w:themeColor="text1"/>
                <w:sz w:val="22"/>
                <w:szCs w:val="22"/>
              </w:rPr>
              <w:t>13</w:t>
            </w:r>
          </w:p>
        </w:tc>
        <w:tc>
          <w:tcPr>
            <w:tcW w:w="1832" w:type="pct"/>
            <w:vAlign w:val="center"/>
          </w:tcPr>
          <w:p w14:paraId="7FFDE5B1" w14:textId="77777777" w:rsidR="00BA709C" w:rsidRPr="00054F04" w:rsidRDefault="00BA709C" w:rsidP="00BA709C">
            <w:pPr>
              <w:pStyle w:val="Contrato-Clausula-Nvel2-1dezena"/>
              <w:spacing w:before="120" w:after="120"/>
              <w:ind w:left="0" w:firstLine="0"/>
              <w:jc w:val="left"/>
              <w:rPr>
                <w:rFonts w:cs="Arial"/>
                <w:szCs w:val="22"/>
              </w:rPr>
            </w:pPr>
            <w:r w:rsidRPr="00054F04">
              <w:rPr>
                <w:rFonts w:cs="Arial"/>
                <w:bCs/>
                <w:szCs w:val="22"/>
              </w:rPr>
              <w:t>Elaboração e Alteração do Regimento Interno do Comitê Operacional D2</w:t>
            </w:r>
          </w:p>
        </w:tc>
        <w:tc>
          <w:tcPr>
            <w:tcW w:w="1444" w:type="pct"/>
            <w:vAlign w:val="center"/>
          </w:tcPr>
          <w:p w14:paraId="4A61BB06" w14:textId="77777777" w:rsidR="00BA709C" w:rsidRPr="00054F04" w:rsidRDefault="00BA709C" w:rsidP="00BA709C">
            <w:pPr>
              <w:pStyle w:val="Caption"/>
              <w:spacing w:before="120" w:after="120"/>
              <w:rPr>
                <w:rFonts w:cs="Arial"/>
                <w:color w:val="000000" w:themeColor="text1"/>
                <w:sz w:val="22"/>
                <w:szCs w:val="22"/>
              </w:rPr>
            </w:pPr>
            <w:r w:rsidRPr="00054F04">
              <w:rPr>
                <w:rFonts w:cs="Arial"/>
                <w:color w:val="000000" w:themeColor="text1"/>
                <w:sz w:val="22"/>
                <w:szCs w:val="22"/>
              </w:rPr>
              <w:t>O direito de voto da Gestora deve ser limitado às questões relacionadas com a aprovação de orçamento e custo em óleo. Esta sugestão também está de acordo com os contratos de partilha internacionais.</w:t>
            </w:r>
          </w:p>
        </w:tc>
      </w:tr>
      <w:tr w:rsidR="00BA709C" w:rsidRPr="00054F04" w14:paraId="0728DC9C" w14:textId="77777777" w:rsidTr="00864380">
        <w:trPr>
          <w:trHeight w:val="2268"/>
        </w:trPr>
        <w:tc>
          <w:tcPr>
            <w:tcW w:w="529" w:type="pct"/>
            <w:vAlign w:val="center"/>
          </w:tcPr>
          <w:p w14:paraId="0E3A0EC4"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lastRenderedPageBreak/>
              <w:t>Minuta do contrato</w:t>
            </w:r>
          </w:p>
        </w:tc>
        <w:tc>
          <w:tcPr>
            <w:tcW w:w="682" w:type="pct"/>
            <w:vAlign w:val="center"/>
          </w:tcPr>
          <w:p w14:paraId="6455266E"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Alteração</w:t>
            </w:r>
          </w:p>
        </w:tc>
        <w:tc>
          <w:tcPr>
            <w:tcW w:w="513" w:type="pct"/>
            <w:vAlign w:val="center"/>
          </w:tcPr>
          <w:p w14:paraId="31B030C4"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Anexo XI</w:t>
            </w:r>
          </w:p>
          <w:p w14:paraId="4F4B8AC5"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Item 1.21</w:t>
            </w:r>
          </w:p>
          <w:p w14:paraId="201790EB"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 xml:space="preserve">Tabela </w:t>
            </w:r>
            <w:r>
              <w:rPr>
                <w:rFonts w:cs="Arial"/>
                <w:color w:val="000000" w:themeColor="text1"/>
                <w:sz w:val="22"/>
                <w:szCs w:val="22"/>
              </w:rPr>
              <w:t xml:space="preserve">– item </w:t>
            </w:r>
            <w:r w:rsidRPr="00054F04">
              <w:rPr>
                <w:rFonts w:cs="Arial"/>
                <w:color w:val="000000" w:themeColor="text1"/>
                <w:sz w:val="22"/>
                <w:szCs w:val="22"/>
              </w:rPr>
              <w:t>14</w:t>
            </w:r>
          </w:p>
        </w:tc>
        <w:tc>
          <w:tcPr>
            <w:tcW w:w="1832" w:type="pct"/>
            <w:vAlign w:val="center"/>
          </w:tcPr>
          <w:p w14:paraId="431F49AF" w14:textId="77777777" w:rsidR="00BA709C" w:rsidRPr="00054F04" w:rsidRDefault="00BA709C" w:rsidP="00BA709C">
            <w:pPr>
              <w:pStyle w:val="Contrato-Clausula-Nvel2-1dezena"/>
              <w:spacing w:before="120" w:after="120"/>
              <w:ind w:left="0" w:firstLine="0"/>
              <w:jc w:val="left"/>
              <w:rPr>
                <w:rFonts w:cs="Arial"/>
                <w:szCs w:val="22"/>
              </w:rPr>
            </w:pPr>
            <w:r w:rsidRPr="00054F04">
              <w:rPr>
                <w:rFonts w:cs="Arial"/>
                <w:bCs/>
                <w:szCs w:val="22"/>
              </w:rPr>
              <w:t>Outros assuntos de sua competência D2</w:t>
            </w:r>
          </w:p>
        </w:tc>
        <w:tc>
          <w:tcPr>
            <w:tcW w:w="1444" w:type="pct"/>
            <w:vAlign w:val="center"/>
          </w:tcPr>
          <w:p w14:paraId="225A8EE6" w14:textId="77777777" w:rsidR="00BA709C" w:rsidRPr="00054F04" w:rsidRDefault="00BA709C" w:rsidP="00BA709C">
            <w:pPr>
              <w:pStyle w:val="Caption"/>
              <w:spacing w:before="120" w:after="120"/>
              <w:rPr>
                <w:rFonts w:cs="Arial"/>
                <w:color w:val="000000" w:themeColor="text1"/>
                <w:sz w:val="22"/>
                <w:szCs w:val="22"/>
              </w:rPr>
            </w:pPr>
            <w:r w:rsidRPr="00054F04">
              <w:rPr>
                <w:rFonts w:cs="Arial"/>
                <w:color w:val="000000" w:themeColor="text1"/>
                <w:sz w:val="22"/>
                <w:szCs w:val="22"/>
              </w:rPr>
              <w:t>O direito de voto da Gestora deve ser limitado às questões relacionadas com a aprovação de orçamento e custo em óleo. Esta sugestão também está de acordo com os contratos de partilha internacionais.</w:t>
            </w:r>
          </w:p>
        </w:tc>
      </w:tr>
      <w:tr w:rsidR="00BA709C" w:rsidRPr="00054F04" w14:paraId="6ADD400E" w14:textId="77777777" w:rsidTr="00864380">
        <w:trPr>
          <w:trHeight w:val="2268"/>
        </w:trPr>
        <w:tc>
          <w:tcPr>
            <w:tcW w:w="529" w:type="pct"/>
            <w:vAlign w:val="center"/>
          </w:tcPr>
          <w:p w14:paraId="45A3F1FC"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Minuta do contrato</w:t>
            </w:r>
          </w:p>
        </w:tc>
        <w:tc>
          <w:tcPr>
            <w:tcW w:w="682" w:type="pct"/>
            <w:vAlign w:val="center"/>
          </w:tcPr>
          <w:p w14:paraId="3D873BEB"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Alteração</w:t>
            </w:r>
          </w:p>
        </w:tc>
        <w:tc>
          <w:tcPr>
            <w:tcW w:w="513" w:type="pct"/>
            <w:vAlign w:val="center"/>
          </w:tcPr>
          <w:p w14:paraId="08128B61"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Anexo XI</w:t>
            </w:r>
          </w:p>
          <w:p w14:paraId="4A79B605"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Item 1.21</w:t>
            </w:r>
          </w:p>
          <w:p w14:paraId="3A48B6FB"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Tabela</w:t>
            </w:r>
            <w:r>
              <w:rPr>
                <w:rFonts w:cs="Arial"/>
                <w:color w:val="000000" w:themeColor="text1"/>
                <w:sz w:val="22"/>
                <w:szCs w:val="22"/>
              </w:rPr>
              <w:t xml:space="preserve"> - item</w:t>
            </w:r>
            <w:r w:rsidRPr="00054F04">
              <w:rPr>
                <w:rFonts w:cs="Arial"/>
                <w:color w:val="000000" w:themeColor="text1"/>
                <w:sz w:val="22"/>
                <w:szCs w:val="22"/>
              </w:rPr>
              <w:t xml:space="preserve"> 16</w:t>
            </w:r>
          </w:p>
        </w:tc>
        <w:tc>
          <w:tcPr>
            <w:tcW w:w="1832" w:type="pct"/>
            <w:vAlign w:val="center"/>
          </w:tcPr>
          <w:p w14:paraId="12A09ADF" w14:textId="77777777" w:rsidR="00BA709C" w:rsidRPr="00054F04" w:rsidRDefault="00BA709C" w:rsidP="00BA709C">
            <w:pPr>
              <w:spacing w:before="120" w:after="120"/>
              <w:rPr>
                <w:rFonts w:ascii="Arial" w:hAnsi="Arial" w:cs="Arial"/>
                <w:bCs/>
                <w:sz w:val="22"/>
                <w:szCs w:val="22"/>
              </w:rPr>
            </w:pPr>
            <w:r w:rsidRPr="00054F04">
              <w:rPr>
                <w:rFonts w:ascii="Arial" w:hAnsi="Arial" w:cs="Arial"/>
                <w:bCs/>
                <w:sz w:val="22"/>
                <w:szCs w:val="22"/>
              </w:rPr>
              <w:t>Plano de Avaliação de Descoberta e suas revisões D4</w:t>
            </w:r>
          </w:p>
        </w:tc>
        <w:tc>
          <w:tcPr>
            <w:tcW w:w="1444" w:type="pct"/>
            <w:vAlign w:val="center"/>
          </w:tcPr>
          <w:p w14:paraId="36620EC4" w14:textId="77777777" w:rsidR="00BA709C" w:rsidRPr="00054F04" w:rsidRDefault="00BA709C" w:rsidP="00BA709C">
            <w:pPr>
              <w:pStyle w:val="Caption"/>
              <w:spacing w:before="120" w:after="120"/>
              <w:rPr>
                <w:rFonts w:cs="Arial"/>
                <w:color w:val="000000" w:themeColor="text1"/>
                <w:sz w:val="22"/>
                <w:szCs w:val="22"/>
              </w:rPr>
            </w:pPr>
            <w:r w:rsidRPr="00054F04">
              <w:rPr>
                <w:rFonts w:cs="Arial"/>
                <w:color w:val="000000" w:themeColor="text1"/>
                <w:sz w:val="22"/>
                <w:szCs w:val="22"/>
              </w:rPr>
              <w:t>O direito de voto da Gestora deve ser limitado às questões relacionadas com a aprovação de orçamento e custo em óleo. Esta sugestão também está de acordo com os contratos de partilha internacionais.</w:t>
            </w:r>
          </w:p>
        </w:tc>
      </w:tr>
      <w:tr w:rsidR="00BA709C" w:rsidRPr="00054F04" w14:paraId="1B53BB17" w14:textId="77777777" w:rsidTr="00864380">
        <w:trPr>
          <w:trHeight w:val="2268"/>
        </w:trPr>
        <w:tc>
          <w:tcPr>
            <w:tcW w:w="529" w:type="pct"/>
            <w:vAlign w:val="center"/>
          </w:tcPr>
          <w:p w14:paraId="44EF4488"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Minuta do contrato</w:t>
            </w:r>
          </w:p>
        </w:tc>
        <w:tc>
          <w:tcPr>
            <w:tcW w:w="682" w:type="pct"/>
            <w:vAlign w:val="center"/>
          </w:tcPr>
          <w:p w14:paraId="2A250188"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Alteração</w:t>
            </w:r>
          </w:p>
        </w:tc>
        <w:tc>
          <w:tcPr>
            <w:tcW w:w="513" w:type="pct"/>
            <w:vAlign w:val="center"/>
          </w:tcPr>
          <w:p w14:paraId="68B87600"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Anexo XI</w:t>
            </w:r>
          </w:p>
          <w:p w14:paraId="0793D5AA"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Item 1.21</w:t>
            </w:r>
          </w:p>
          <w:p w14:paraId="4D78914E"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 xml:space="preserve">Tabela </w:t>
            </w:r>
            <w:r>
              <w:rPr>
                <w:rFonts w:cs="Arial"/>
                <w:color w:val="000000" w:themeColor="text1"/>
                <w:sz w:val="22"/>
                <w:szCs w:val="22"/>
              </w:rPr>
              <w:t xml:space="preserve">– item </w:t>
            </w:r>
            <w:r w:rsidRPr="00054F04">
              <w:rPr>
                <w:rFonts w:cs="Arial"/>
                <w:color w:val="000000" w:themeColor="text1"/>
                <w:sz w:val="22"/>
                <w:szCs w:val="22"/>
              </w:rPr>
              <w:t>17</w:t>
            </w:r>
          </w:p>
        </w:tc>
        <w:tc>
          <w:tcPr>
            <w:tcW w:w="1832" w:type="pct"/>
            <w:vAlign w:val="center"/>
          </w:tcPr>
          <w:p w14:paraId="256B402B" w14:textId="77777777" w:rsidR="00BA709C" w:rsidRPr="00054F04" w:rsidRDefault="00BA709C" w:rsidP="00BA709C">
            <w:pPr>
              <w:spacing w:before="120" w:after="120"/>
              <w:rPr>
                <w:rFonts w:ascii="Arial" w:hAnsi="Arial" w:cs="Arial"/>
                <w:bCs/>
                <w:sz w:val="22"/>
                <w:szCs w:val="22"/>
              </w:rPr>
            </w:pPr>
            <w:r w:rsidRPr="00054F04">
              <w:rPr>
                <w:rFonts w:ascii="Arial" w:hAnsi="Arial" w:cs="Arial"/>
                <w:bCs/>
                <w:sz w:val="22"/>
                <w:szCs w:val="22"/>
              </w:rPr>
              <w:t>Plano de Exploração e suas revisões D4</w:t>
            </w:r>
          </w:p>
        </w:tc>
        <w:tc>
          <w:tcPr>
            <w:tcW w:w="1444" w:type="pct"/>
            <w:vAlign w:val="center"/>
          </w:tcPr>
          <w:p w14:paraId="1E897B81" w14:textId="77777777" w:rsidR="00BA709C" w:rsidRPr="00054F04" w:rsidRDefault="00BA709C" w:rsidP="00BA709C">
            <w:pPr>
              <w:pStyle w:val="Caption"/>
              <w:spacing w:before="120" w:after="120"/>
              <w:rPr>
                <w:rFonts w:cs="Arial"/>
                <w:color w:val="000000" w:themeColor="text1"/>
                <w:sz w:val="22"/>
                <w:szCs w:val="22"/>
              </w:rPr>
            </w:pPr>
            <w:r w:rsidRPr="00054F04">
              <w:rPr>
                <w:rFonts w:cs="Arial"/>
                <w:color w:val="000000" w:themeColor="text1"/>
                <w:sz w:val="22"/>
                <w:szCs w:val="22"/>
              </w:rPr>
              <w:t>O direito de voto da Gestora deve ser limitado às questões relacionadas com a aprovação de orçamento e custo em óleo. Esta sugestão também está de acordo com os contratos de partilha internacionais.</w:t>
            </w:r>
          </w:p>
        </w:tc>
      </w:tr>
      <w:tr w:rsidR="00BA709C" w:rsidRPr="00054F04" w14:paraId="112C9F04" w14:textId="77777777" w:rsidTr="00864380">
        <w:trPr>
          <w:trHeight w:val="2268"/>
        </w:trPr>
        <w:tc>
          <w:tcPr>
            <w:tcW w:w="529" w:type="pct"/>
            <w:vAlign w:val="center"/>
          </w:tcPr>
          <w:p w14:paraId="763D0FCF"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lastRenderedPageBreak/>
              <w:t>Minuta do contrato</w:t>
            </w:r>
          </w:p>
        </w:tc>
        <w:tc>
          <w:tcPr>
            <w:tcW w:w="682" w:type="pct"/>
            <w:vAlign w:val="center"/>
          </w:tcPr>
          <w:p w14:paraId="1F9469B8"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Alteração</w:t>
            </w:r>
          </w:p>
        </w:tc>
        <w:tc>
          <w:tcPr>
            <w:tcW w:w="513" w:type="pct"/>
            <w:vAlign w:val="center"/>
          </w:tcPr>
          <w:p w14:paraId="1BA87284"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Anexo XI</w:t>
            </w:r>
          </w:p>
          <w:p w14:paraId="283DEE0C"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Item 1.21</w:t>
            </w:r>
          </w:p>
          <w:p w14:paraId="6AE20FC2"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 xml:space="preserve">Tabela </w:t>
            </w:r>
            <w:r>
              <w:rPr>
                <w:rFonts w:cs="Arial"/>
                <w:color w:val="000000" w:themeColor="text1"/>
                <w:sz w:val="22"/>
                <w:szCs w:val="22"/>
              </w:rPr>
              <w:t xml:space="preserve">– item </w:t>
            </w:r>
            <w:r w:rsidRPr="00054F04">
              <w:rPr>
                <w:rFonts w:cs="Arial"/>
                <w:color w:val="000000" w:themeColor="text1"/>
                <w:sz w:val="22"/>
                <w:szCs w:val="22"/>
              </w:rPr>
              <w:t>20</w:t>
            </w:r>
          </w:p>
        </w:tc>
        <w:tc>
          <w:tcPr>
            <w:tcW w:w="1832" w:type="pct"/>
            <w:vAlign w:val="center"/>
          </w:tcPr>
          <w:p w14:paraId="7D8377AA" w14:textId="77777777" w:rsidR="00BA709C" w:rsidRPr="00054F04" w:rsidRDefault="00BA709C" w:rsidP="00BA709C">
            <w:pPr>
              <w:pStyle w:val="Contrato-Clausula-Nvel2-1dezena"/>
              <w:spacing w:before="120" w:after="120"/>
              <w:ind w:left="0" w:firstLine="0"/>
              <w:jc w:val="left"/>
              <w:rPr>
                <w:rFonts w:cs="Arial"/>
                <w:szCs w:val="22"/>
              </w:rPr>
            </w:pPr>
            <w:r w:rsidRPr="00054F04">
              <w:rPr>
                <w:rFonts w:cs="Arial"/>
                <w:bCs/>
                <w:szCs w:val="22"/>
              </w:rPr>
              <w:t>Solicitação de prorrogação do prazo da Fase de Exploração</w:t>
            </w:r>
            <w:r w:rsidRPr="00054F04">
              <w:rPr>
                <w:rFonts w:cs="Arial"/>
                <w:bCs/>
                <w:szCs w:val="22"/>
              </w:rPr>
              <w:tab/>
              <w:t xml:space="preserve"> D4</w:t>
            </w:r>
          </w:p>
        </w:tc>
        <w:tc>
          <w:tcPr>
            <w:tcW w:w="1444" w:type="pct"/>
            <w:vAlign w:val="center"/>
          </w:tcPr>
          <w:p w14:paraId="3792AE11" w14:textId="77777777" w:rsidR="00BA709C" w:rsidRPr="00054F04" w:rsidRDefault="00BA709C" w:rsidP="00BA709C">
            <w:pPr>
              <w:pStyle w:val="Caption"/>
              <w:spacing w:before="120" w:after="120"/>
              <w:rPr>
                <w:rFonts w:cs="Arial"/>
                <w:color w:val="000000" w:themeColor="text1"/>
                <w:sz w:val="22"/>
                <w:szCs w:val="22"/>
              </w:rPr>
            </w:pPr>
            <w:r w:rsidRPr="00054F04">
              <w:rPr>
                <w:rFonts w:cs="Arial"/>
                <w:color w:val="000000" w:themeColor="text1"/>
                <w:sz w:val="22"/>
                <w:szCs w:val="22"/>
              </w:rPr>
              <w:t>O direito de voto da Gestora deve ser limitado às questões relacionadas com a aprovação de orçamento e custo em óleo. Esta sugestão também está de acordo com os contratos de partilha internacionais.</w:t>
            </w:r>
          </w:p>
        </w:tc>
      </w:tr>
      <w:tr w:rsidR="00BA709C" w:rsidRPr="00054F04" w14:paraId="711E623A" w14:textId="77777777" w:rsidTr="00864380">
        <w:trPr>
          <w:trHeight w:val="2268"/>
        </w:trPr>
        <w:tc>
          <w:tcPr>
            <w:tcW w:w="529" w:type="pct"/>
            <w:vAlign w:val="center"/>
          </w:tcPr>
          <w:p w14:paraId="77DD11F3"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Minuta do contrato</w:t>
            </w:r>
          </w:p>
        </w:tc>
        <w:tc>
          <w:tcPr>
            <w:tcW w:w="682" w:type="pct"/>
            <w:vAlign w:val="center"/>
          </w:tcPr>
          <w:p w14:paraId="77068BA3"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Exclusão</w:t>
            </w:r>
          </w:p>
        </w:tc>
        <w:tc>
          <w:tcPr>
            <w:tcW w:w="513" w:type="pct"/>
            <w:vAlign w:val="center"/>
          </w:tcPr>
          <w:p w14:paraId="5127EFDD"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Anexo XI</w:t>
            </w:r>
          </w:p>
          <w:p w14:paraId="0429D0AC"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Item 2.2 (k)</w:t>
            </w:r>
          </w:p>
        </w:tc>
        <w:tc>
          <w:tcPr>
            <w:tcW w:w="1832" w:type="pct"/>
            <w:vAlign w:val="center"/>
          </w:tcPr>
          <w:p w14:paraId="533712BA" w14:textId="77777777" w:rsidR="00BA709C" w:rsidRPr="00054F04" w:rsidRDefault="00BA709C" w:rsidP="00BA709C">
            <w:pPr>
              <w:spacing w:before="120" w:after="120"/>
              <w:rPr>
                <w:rFonts w:ascii="Arial" w:hAnsi="Arial" w:cs="Arial"/>
                <w:bCs/>
                <w:sz w:val="22"/>
                <w:szCs w:val="22"/>
              </w:rPr>
            </w:pPr>
          </w:p>
        </w:tc>
        <w:tc>
          <w:tcPr>
            <w:tcW w:w="1444" w:type="pct"/>
            <w:vAlign w:val="center"/>
          </w:tcPr>
          <w:p w14:paraId="02D644E9" w14:textId="67540290" w:rsidR="00BA709C" w:rsidRPr="00054F04" w:rsidRDefault="00BA709C" w:rsidP="002E33A3">
            <w:pPr>
              <w:pStyle w:val="Caption"/>
              <w:spacing w:before="120" w:after="120"/>
              <w:rPr>
                <w:rFonts w:cs="Arial"/>
                <w:color w:val="000000" w:themeColor="text1"/>
                <w:sz w:val="22"/>
                <w:szCs w:val="22"/>
              </w:rPr>
            </w:pPr>
            <w:r w:rsidRPr="00054F04">
              <w:rPr>
                <w:rFonts w:cs="Arial"/>
                <w:color w:val="000000" w:themeColor="text1"/>
                <w:sz w:val="22"/>
                <w:szCs w:val="22"/>
              </w:rPr>
              <w:t>O Operador não pode e não age como mandatário das outras Partes nesse caso. Os Royalties devem ser pagos individualmente por cada uma das partes.</w:t>
            </w:r>
            <w:r w:rsidR="002E33A3">
              <w:rPr>
                <w:rFonts w:cs="Arial"/>
                <w:color w:val="000000" w:themeColor="text1"/>
                <w:sz w:val="22"/>
                <w:szCs w:val="22"/>
              </w:rPr>
              <w:t xml:space="preserve"> </w:t>
            </w:r>
            <w:r w:rsidR="00327851">
              <w:rPr>
                <w:rFonts w:cs="Arial"/>
                <w:color w:val="000000" w:themeColor="text1"/>
                <w:sz w:val="22"/>
                <w:szCs w:val="22"/>
              </w:rPr>
              <w:t>Com</w:t>
            </w:r>
            <w:r w:rsidR="002E33A3">
              <w:rPr>
                <w:rFonts w:cs="Arial"/>
                <w:color w:val="000000" w:themeColor="text1"/>
                <w:sz w:val="22"/>
                <w:szCs w:val="22"/>
              </w:rPr>
              <w:t>o</w:t>
            </w:r>
            <w:r w:rsidR="00327851">
              <w:rPr>
                <w:rFonts w:cs="Arial"/>
                <w:color w:val="000000" w:themeColor="text1"/>
                <w:sz w:val="22"/>
                <w:szCs w:val="22"/>
              </w:rPr>
              <w:t xml:space="preserve"> questão prática, o Operador não paga</w:t>
            </w:r>
            <w:r w:rsidR="002E33A3">
              <w:rPr>
                <w:rFonts w:cs="Arial"/>
                <w:color w:val="000000" w:themeColor="text1"/>
                <w:sz w:val="22"/>
                <w:szCs w:val="22"/>
              </w:rPr>
              <w:t xml:space="preserve"> </w:t>
            </w:r>
            <w:r w:rsidR="00327851">
              <w:rPr>
                <w:rFonts w:cs="Arial"/>
                <w:color w:val="000000" w:themeColor="text1"/>
                <w:sz w:val="22"/>
                <w:szCs w:val="22"/>
              </w:rPr>
              <w:t xml:space="preserve">royalties em nome dos outros </w:t>
            </w:r>
            <w:r w:rsidR="002E33A3">
              <w:rPr>
                <w:rFonts w:cs="Arial"/>
                <w:color w:val="000000" w:themeColor="text1"/>
                <w:sz w:val="22"/>
                <w:szCs w:val="22"/>
              </w:rPr>
              <w:t>Contratados</w:t>
            </w:r>
            <w:r w:rsidR="00327851">
              <w:rPr>
                <w:rFonts w:cs="Arial"/>
                <w:color w:val="000000" w:themeColor="text1"/>
                <w:sz w:val="22"/>
                <w:szCs w:val="22"/>
              </w:rPr>
              <w:t>. O regime de responsabilidade solidária perante a ANP</w:t>
            </w:r>
            <w:r w:rsidR="004C3266">
              <w:rPr>
                <w:rFonts w:cs="Arial"/>
                <w:color w:val="000000" w:themeColor="text1"/>
                <w:sz w:val="22"/>
                <w:szCs w:val="22"/>
              </w:rPr>
              <w:t xml:space="preserve"> já é tratado no corpo do PSC, portanto esta disposição poderia causar ambiguidade na interpretação do contrato.</w:t>
            </w:r>
          </w:p>
        </w:tc>
      </w:tr>
      <w:tr w:rsidR="00BA709C" w:rsidRPr="00054F04" w14:paraId="6010F1B1" w14:textId="77777777" w:rsidTr="00864380">
        <w:trPr>
          <w:trHeight w:val="2268"/>
        </w:trPr>
        <w:tc>
          <w:tcPr>
            <w:tcW w:w="529" w:type="pct"/>
            <w:vAlign w:val="center"/>
          </w:tcPr>
          <w:p w14:paraId="35AB4522"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Minuta do contrato</w:t>
            </w:r>
          </w:p>
        </w:tc>
        <w:tc>
          <w:tcPr>
            <w:tcW w:w="682" w:type="pct"/>
            <w:vAlign w:val="center"/>
          </w:tcPr>
          <w:p w14:paraId="0687EFB7" w14:textId="1EDECF52" w:rsidR="00BA709C" w:rsidRPr="00054F04" w:rsidRDefault="004C3266" w:rsidP="00BA709C">
            <w:pPr>
              <w:pStyle w:val="Caption"/>
              <w:spacing w:before="120" w:after="120"/>
              <w:jc w:val="center"/>
              <w:rPr>
                <w:rFonts w:cs="Arial"/>
                <w:color w:val="000000" w:themeColor="text1"/>
                <w:sz w:val="22"/>
                <w:szCs w:val="22"/>
              </w:rPr>
            </w:pPr>
            <w:r>
              <w:rPr>
                <w:rFonts w:cs="Arial"/>
                <w:color w:val="000000" w:themeColor="text1"/>
                <w:sz w:val="22"/>
                <w:szCs w:val="22"/>
              </w:rPr>
              <w:t>Alteração</w:t>
            </w:r>
          </w:p>
        </w:tc>
        <w:tc>
          <w:tcPr>
            <w:tcW w:w="513" w:type="pct"/>
            <w:vAlign w:val="center"/>
          </w:tcPr>
          <w:p w14:paraId="2803E219"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Anexo XI</w:t>
            </w:r>
          </w:p>
          <w:p w14:paraId="3805AFC6"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Item 2.2 (p)</w:t>
            </w:r>
          </w:p>
        </w:tc>
        <w:tc>
          <w:tcPr>
            <w:tcW w:w="1832" w:type="pct"/>
            <w:vAlign w:val="center"/>
          </w:tcPr>
          <w:p w14:paraId="4D351ED6" w14:textId="27B41AD5" w:rsidR="00BA709C" w:rsidRPr="00054F04" w:rsidRDefault="004C3266" w:rsidP="004C3266">
            <w:pPr>
              <w:pStyle w:val="Contrato-Clausula-Nvel2-1dezena"/>
              <w:spacing w:before="120" w:after="120"/>
              <w:ind w:left="0" w:firstLine="0"/>
              <w:jc w:val="left"/>
              <w:rPr>
                <w:rFonts w:cs="Arial"/>
                <w:bCs/>
                <w:szCs w:val="22"/>
              </w:rPr>
            </w:pPr>
            <w:r>
              <w:t>Realizar a gestão dos projetos de Exploração e Produção relacionados ao Contrato por meio de metodologia consistente com as Melhores Práticas da Indústria do Petróleo.</w:t>
            </w:r>
          </w:p>
        </w:tc>
        <w:tc>
          <w:tcPr>
            <w:tcW w:w="1444" w:type="pct"/>
            <w:vAlign w:val="center"/>
          </w:tcPr>
          <w:p w14:paraId="09ECE4C4" w14:textId="7E2ACEC0" w:rsidR="00BA709C" w:rsidRPr="00054F04" w:rsidRDefault="00BA709C" w:rsidP="00864380">
            <w:pPr>
              <w:spacing w:before="120" w:after="120"/>
              <w:rPr>
                <w:rFonts w:ascii="Arial" w:hAnsi="Arial" w:cs="Arial"/>
                <w:color w:val="000000" w:themeColor="text1"/>
                <w:sz w:val="22"/>
                <w:szCs w:val="22"/>
              </w:rPr>
            </w:pPr>
            <w:r w:rsidRPr="00054F04">
              <w:rPr>
                <w:rFonts w:ascii="Arial" w:hAnsi="Arial" w:cs="Arial"/>
                <w:color w:val="000000" w:themeColor="text1"/>
                <w:sz w:val="22"/>
                <w:szCs w:val="22"/>
              </w:rPr>
              <w:t xml:space="preserve">Esta linguagem é extremamente ampla e vaga, à qual o Operador não pode se comprometer. </w:t>
            </w:r>
            <w:r w:rsidR="004C3266">
              <w:rPr>
                <w:rFonts w:ascii="Arial" w:hAnsi="Arial" w:cs="Arial"/>
                <w:color w:val="000000" w:themeColor="text1"/>
                <w:sz w:val="22"/>
                <w:szCs w:val="22"/>
              </w:rPr>
              <w:t xml:space="preserve">O governo não pode interferir na formar como o Operador gerencia o projeto, </w:t>
            </w:r>
            <w:r w:rsidR="00864380">
              <w:rPr>
                <w:rFonts w:ascii="Arial" w:hAnsi="Arial" w:cs="Arial"/>
                <w:color w:val="000000" w:themeColor="text1"/>
                <w:sz w:val="22"/>
                <w:szCs w:val="22"/>
              </w:rPr>
              <w:t>a não ser</w:t>
            </w:r>
            <w:r w:rsidR="004C3266">
              <w:rPr>
                <w:rFonts w:ascii="Arial" w:hAnsi="Arial" w:cs="Arial"/>
                <w:color w:val="000000" w:themeColor="text1"/>
                <w:sz w:val="22"/>
                <w:szCs w:val="22"/>
              </w:rPr>
              <w:t xml:space="preserve"> pelas várias obrigações que já estão previstas no contrato e na regulação. </w:t>
            </w:r>
            <w:r w:rsidR="00FC51FA">
              <w:rPr>
                <w:rFonts w:ascii="Arial" w:hAnsi="Arial" w:cs="Arial"/>
                <w:color w:val="000000" w:themeColor="text1"/>
                <w:sz w:val="22"/>
                <w:szCs w:val="22"/>
              </w:rPr>
              <w:t xml:space="preserve">Esta disposição não é consistente com qualquer PSC adotado </w:t>
            </w:r>
            <w:r w:rsidR="002E33A3">
              <w:rPr>
                <w:rFonts w:ascii="Arial" w:hAnsi="Arial" w:cs="Arial"/>
                <w:color w:val="000000" w:themeColor="text1"/>
                <w:sz w:val="22"/>
                <w:szCs w:val="22"/>
              </w:rPr>
              <w:t>ao redor do</w:t>
            </w:r>
            <w:r w:rsidR="00FC51FA">
              <w:rPr>
                <w:rFonts w:ascii="Arial" w:hAnsi="Arial" w:cs="Arial"/>
                <w:color w:val="000000" w:themeColor="text1"/>
                <w:sz w:val="22"/>
                <w:szCs w:val="22"/>
              </w:rPr>
              <w:t xml:space="preserve"> mundo.</w:t>
            </w:r>
          </w:p>
        </w:tc>
      </w:tr>
      <w:tr w:rsidR="00BA709C" w:rsidRPr="00054F04" w14:paraId="41831760" w14:textId="77777777" w:rsidTr="00864380">
        <w:trPr>
          <w:trHeight w:val="2268"/>
        </w:trPr>
        <w:tc>
          <w:tcPr>
            <w:tcW w:w="529" w:type="pct"/>
            <w:vAlign w:val="center"/>
          </w:tcPr>
          <w:p w14:paraId="0514FFE0"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lastRenderedPageBreak/>
              <w:t>Minuta do contrato</w:t>
            </w:r>
          </w:p>
        </w:tc>
        <w:tc>
          <w:tcPr>
            <w:tcW w:w="682" w:type="pct"/>
            <w:vAlign w:val="center"/>
          </w:tcPr>
          <w:p w14:paraId="11A8EF6C"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Exclusão</w:t>
            </w:r>
          </w:p>
        </w:tc>
        <w:tc>
          <w:tcPr>
            <w:tcW w:w="513" w:type="pct"/>
            <w:vAlign w:val="center"/>
          </w:tcPr>
          <w:p w14:paraId="18F5BACF"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Anexo XI</w:t>
            </w:r>
          </w:p>
          <w:p w14:paraId="260C4FFF"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Item 2.7</w:t>
            </w:r>
          </w:p>
        </w:tc>
        <w:tc>
          <w:tcPr>
            <w:tcW w:w="1832" w:type="pct"/>
            <w:vAlign w:val="center"/>
          </w:tcPr>
          <w:p w14:paraId="4165B756" w14:textId="77777777" w:rsidR="00BA709C" w:rsidRPr="00054F04" w:rsidRDefault="00BA709C" w:rsidP="00BA709C">
            <w:pPr>
              <w:pStyle w:val="Contrato-Clausula-Nvel2-1dezena"/>
              <w:spacing w:before="120" w:after="120"/>
              <w:ind w:left="0" w:firstLine="0"/>
              <w:jc w:val="left"/>
              <w:rPr>
                <w:rFonts w:cs="Arial"/>
                <w:bCs/>
                <w:szCs w:val="22"/>
              </w:rPr>
            </w:pPr>
          </w:p>
        </w:tc>
        <w:tc>
          <w:tcPr>
            <w:tcW w:w="1444" w:type="pct"/>
            <w:vAlign w:val="center"/>
          </w:tcPr>
          <w:p w14:paraId="763745F1" w14:textId="65E5AF52" w:rsidR="00BA709C" w:rsidRPr="00054F04" w:rsidRDefault="00BA709C" w:rsidP="002E33A3">
            <w:pPr>
              <w:spacing w:before="120" w:after="120"/>
              <w:rPr>
                <w:rFonts w:ascii="Arial" w:hAnsi="Arial" w:cs="Arial"/>
                <w:color w:val="000000" w:themeColor="text1"/>
                <w:sz w:val="22"/>
                <w:szCs w:val="22"/>
              </w:rPr>
            </w:pPr>
            <w:r w:rsidRPr="00054F04">
              <w:rPr>
                <w:rFonts w:ascii="Arial" w:hAnsi="Arial" w:cs="Arial"/>
                <w:color w:val="000000" w:themeColor="text1"/>
                <w:sz w:val="22"/>
                <w:szCs w:val="22"/>
              </w:rPr>
              <w:t xml:space="preserve">Qualquer </w:t>
            </w:r>
            <w:r w:rsidR="002E33A3">
              <w:rPr>
                <w:rFonts w:ascii="Arial" w:hAnsi="Arial" w:cs="Arial"/>
                <w:color w:val="000000" w:themeColor="text1"/>
                <w:sz w:val="22"/>
                <w:szCs w:val="22"/>
              </w:rPr>
              <w:t>disposição acerca</w:t>
            </w:r>
            <w:r w:rsidRPr="00054F04">
              <w:rPr>
                <w:rFonts w:ascii="Arial" w:hAnsi="Arial" w:cs="Arial"/>
                <w:color w:val="000000" w:themeColor="text1"/>
                <w:sz w:val="22"/>
                <w:szCs w:val="22"/>
              </w:rPr>
              <w:t xml:space="preserve"> de alocação de responsabilidade entre os Contratados deve ser endereçada em documentos privados específicos (como um JOA), e não devem necessariamente ser incluídos no Contrato de Consórcio. Além disso, a responsabilidade solidária dos Contratados já está determinada no</w:t>
            </w:r>
            <w:r w:rsidR="004C3266">
              <w:rPr>
                <w:rFonts w:ascii="Arial" w:hAnsi="Arial" w:cs="Arial"/>
                <w:color w:val="000000" w:themeColor="text1"/>
                <w:sz w:val="22"/>
                <w:szCs w:val="22"/>
              </w:rPr>
              <w:t xml:space="preserve"> corpo do</w:t>
            </w:r>
            <w:r w:rsidRPr="00054F04">
              <w:rPr>
                <w:rFonts w:ascii="Arial" w:hAnsi="Arial" w:cs="Arial"/>
                <w:color w:val="000000" w:themeColor="text1"/>
                <w:sz w:val="22"/>
                <w:szCs w:val="22"/>
              </w:rPr>
              <w:t xml:space="preserve"> Contrato de Partilha de Produção.</w:t>
            </w:r>
            <w:r w:rsidR="004C3266">
              <w:rPr>
                <w:rFonts w:ascii="Arial" w:hAnsi="Arial" w:cs="Arial"/>
                <w:color w:val="000000" w:themeColor="text1"/>
                <w:sz w:val="22"/>
                <w:szCs w:val="22"/>
              </w:rPr>
              <w:t xml:space="preserve"> </w:t>
            </w:r>
            <w:r w:rsidR="00FC51FA">
              <w:rPr>
                <w:rFonts w:ascii="Arial" w:hAnsi="Arial" w:cs="Arial"/>
                <w:color w:val="000000" w:themeColor="text1"/>
                <w:sz w:val="22"/>
                <w:szCs w:val="22"/>
              </w:rPr>
              <w:t xml:space="preserve">Esta disposição não é consistente com qualquer PSC adotado </w:t>
            </w:r>
            <w:r w:rsidR="002E33A3">
              <w:rPr>
                <w:rFonts w:ascii="Arial" w:hAnsi="Arial" w:cs="Arial"/>
                <w:color w:val="000000" w:themeColor="text1"/>
                <w:sz w:val="22"/>
                <w:szCs w:val="22"/>
              </w:rPr>
              <w:t>ao redor do</w:t>
            </w:r>
            <w:r w:rsidR="00FC51FA">
              <w:rPr>
                <w:rFonts w:ascii="Arial" w:hAnsi="Arial" w:cs="Arial"/>
                <w:color w:val="000000" w:themeColor="text1"/>
                <w:sz w:val="22"/>
                <w:szCs w:val="22"/>
              </w:rPr>
              <w:t xml:space="preserve"> mundo.</w:t>
            </w:r>
          </w:p>
        </w:tc>
      </w:tr>
      <w:tr w:rsidR="00BA709C" w:rsidRPr="00054F04" w14:paraId="0AF45F8C" w14:textId="77777777" w:rsidTr="00864380">
        <w:trPr>
          <w:trHeight w:val="2268"/>
        </w:trPr>
        <w:tc>
          <w:tcPr>
            <w:tcW w:w="529" w:type="pct"/>
            <w:vAlign w:val="center"/>
          </w:tcPr>
          <w:p w14:paraId="5D249C35"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Minuta do contrato</w:t>
            </w:r>
          </w:p>
        </w:tc>
        <w:tc>
          <w:tcPr>
            <w:tcW w:w="682" w:type="pct"/>
            <w:vAlign w:val="center"/>
          </w:tcPr>
          <w:p w14:paraId="60899164"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Alteração</w:t>
            </w:r>
          </w:p>
        </w:tc>
        <w:tc>
          <w:tcPr>
            <w:tcW w:w="513" w:type="pct"/>
            <w:vAlign w:val="center"/>
          </w:tcPr>
          <w:p w14:paraId="189B9800"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Anexo XI</w:t>
            </w:r>
          </w:p>
          <w:p w14:paraId="2422F658"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Item 3.21</w:t>
            </w:r>
          </w:p>
        </w:tc>
        <w:tc>
          <w:tcPr>
            <w:tcW w:w="1832" w:type="pct"/>
            <w:vAlign w:val="center"/>
          </w:tcPr>
          <w:p w14:paraId="6C51463D" w14:textId="77777777" w:rsidR="00BA709C" w:rsidRPr="00054F04" w:rsidRDefault="00BA709C" w:rsidP="00BA709C">
            <w:pPr>
              <w:pStyle w:val="Contrato-Clausula-Nvel2-1dezena"/>
              <w:spacing w:before="120" w:after="120"/>
              <w:ind w:left="0" w:firstLine="0"/>
              <w:jc w:val="left"/>
              <w:rPr>
                <w:rFonts w:cs="Arial"/>
                <w:b/>
                <w:bCs/>
                <w:szCs w:val="22"/>
              </w:rPr>
            </w:pPr>
            <w:r w:rsidRPr="00054F04">
              <w:rPr>
                <w:rFonts w:cs="Arial"/>
                <w:b/>
                <w:bCs/>
                <w:szCs w:val="22"/>
              </w:rPr>
              <w:t>Atividades de Desativação das Instalações</w:t>
            </w:r>
          </w:p>
          <w:p w14:paraId="05007BD0" w14:textId="043E4B99" w:rsidR="00BA709C" w:rsidRPr="00054F04" w:rsidRDefault="002E33A3" w:rsidP="002E33A3">
            <w:pPr>
              <w:pStyle w:val="Contrato-Clausula-Nvel2-1dezena"/>
              <w:spacing w:before="120" w:after="120"/>
              <w:ind w:left="0" w:firstLine="0"/>
              <w:jc w:val="left"/>
              <w:rPr>
                <w:rFonts w:cs="Arial"/>
                <w:bCs/>
                <w:szCs w:val="22"/>
              </w:rPr>
            </w:pPr>
            <w:r>
              <w:rPr>
                <w:rFonts w:cs="Arial"/>
                <w:bCs/>
                <w:szCs w:val="22"/>
              </w:rPr>
              <w:t>Até um ano antes do início</w:t>
            </w:r>
            <w:r w:rsidR="00BA709C" w:rsidRPr="00054F04">
              <w:rPr>
                <w:rFonts w:cs="Arial"/>
                <w:bCs/>
                <w:szCs w:val="22"/>
              </w:rPr>
              <w:t xml:space="preserve"> </w:t>
            </w:r>
            <w:r>
              <w:rPr>
                <w:rFonts w:cs="Arial"/>
                <w:bCs/>
                <w:szCs w:val="22"/>
              </w:rPr>
              <w:t>d</w:t>
            </w:r>
            <w:r w:rsidR="00BA709C" w:rsidRPr="00054F04">
              <w:rPr>
                <w:rFonts w:cs="Arial"/>
                <w:bCs/>
                <w:szCs w:val="22"/>
              </w:rPr>
              <w:t>as atividades de Desativação das Instalações, o Operador deverá apresentar aos demais Consorciados uma proposta de atividades de desativação das instalações, detalhando as Operações a serem realizadas na Área do Contrato, e o orçamento para tais atividades.</w:t>
            </w:r>
          </w:p>
        </w:tc>
        <w:tc>
          <w:tcPr>
            <w:tcW w:w="1444" w:type="pct"/>
            <w:vAlign w:val="center"/>
          </w:tcPr>
          <w:p w14:paraId="7E9A9288" w14:textId="77777777" w:rsidR="00BA709C" w:rsidRPr="00054F04" w:rsidRDefault="00BA709C" w:rsidP="00BA709C">
            <w:pPr>
              <w:spacing w:before="120" w:after="120"/>
              <w:rPr>
                <w:rFonts w:ascii="Arial" w:hAnsi="Arial" w:cs="Arial"/>
                <w:color w:val="000000" w:themeColor="text1"/>
                <w:sz w:val="22"/>
                <w:szCs w:val="22"/>
              </w:rPr>
            </w:pPr>
            <w:r w:rsidRPr="00054F04">
              <w:rPr>
                <w:rFonts w:ascii="Arial" w:hAnsi="Arial" w:cs="Arial"/>
                <w:color w:val="000000" w:themeColor="text1"/>
                <w:sz w:val="22"/>
                <w:szCs w:val="22"/>
              </w:rPr>
              <w:t>As mudanças propostas são consistentes com as Melhores Práticas da Indústria do Petróleo e com nossas mudanças propostas para o Programa de Desativação das Instalações.</w:t>
            </w:r>
          </w:p>
        </w:tc>
      </w:tr>
      <w:tr w:rsidR="00BA709C" w:rsidRPr="00054F04" w14:paraId="387FE4E5" w14:textId="77777777" w:rsidTr="00864380">
        <w:trPr>
          <w:trHeight w:val="2268"/>
        </w:trPr>
        <w:tc>
          <w:tcPr>
            <w:tcW w:w="529" w:type="pct"/>
            <w:vAlign w:val="center"/>
          </w:tcPr>
          <w:p w14:paraId="5C024650"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Minuta do contrato</w:t>
            </w:r>
          </w:p>
        </w:tc>
        <w:tc>
          <w:tcPr>
            <w:tcW w:w="682" w:type="pct"/>
            <w:vAlign w:val="center"/>
          </w:tcPr>
          <w:p w14:paraId="5E505DB4"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Alteração</w:t>
            </w:r>
          </w:p>
        </w:tc>
        <w:tc>
          <w:tcPr>
            <w:tcW w:w="513" w:type="pct"/>
            <w:vAlign w:val="center"/>
          </w:tcPr>
          <w:p w14:paraId="4C2798C8"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Anexo XI</w:t>
            </w:r>
          </w:p>
          <w:p w14:paraId="261D1B0E"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Item 3.21.1</w:t>
            </w:r>
          </w:p>
        </w:tc>
        <w:tc>
          <w:tcPr>
            <w:tcW w:w="1832" w:type="pct"/>
            <w:vAlign w:val="center"/>
          </w:tcPr>
          <w:p w14:paraId="45A3BF3A" w14:textId="77777777" w:rsidR="00BA709C" w:rsidRPr="00054F04" w:rsidRDefault="00BA709C" w:rsidP="00BA709C">
            <w:pPr>
              <w:pStyle w:val="Contrato-Clausula-Nvel2-1dezena"/>
              <w:spacing w:before="120" w:after="120"/>
              <w:ind w:left="0" w:firstLine="0"/>
              <w:jc w:val="left"/>
              <w:rPr>
                <w:rFonts w:cs="Arial"/>
                <w:b/>
                <w:bCs/>
                <w:szCs w:val="22"/>
              </w:rPr>
            </w:pPr>
            <w:r>
              <w:rPr>
                <w:rFonts w:cs="Arial"/>
                <w:szCs w:val="22"/>
              </w:rPr>
              <w:t>O</w:t>
            </w:r>
            <w:r w:rsidRPr="00054F04">
              <w:rPr>
                <w:rFonts w:cs="Arial"/>
                <w:szCs w:val="22"/>
              </w:rPr>
              <w:t xml:space="preserve"> Comitê Operacional deverá analisar e deliberar sobre a proposta </w:t>
            </w:r>
            <w:r>
              <w:rPr>
                <w:rFonts w:cs="Arial"/>
                <w:szCs w:val="22"/>
              </w:rPr>
              <w:t>e</w:t>
            </w:r>
            <w:r w:rsidRPr="00054F04">
              <w:rPr>
                <w:rFonts w:cs="Arial"/>
                <w:szCs w:val="22"/>
              </w:rPr>
              <w:t>m um prazo de 30 (trinta) dias contados da</w:t>
            </w:r>
            <w:r>
              <w:rPr>
                <w:rFonts w:cs="Arial"/>
                <w:szCs w:val="22"/>
              </w:rPr>
              <w:t xml:space="preserve"> sua apresentação</w:t>
            </w:r>
            <w:r w:rsidRPr="00054F04">
              <w:rPr>
                <w:rFonts w:cs="Arial"/>
                <w:szCs w:val="22"/>
              </w:rPr>
              <w:t>.</w:t>
            </w:r>
          </w:p>
        </w:tc>
        <w:tc>
          <w:tcPr>
            <w:tcW w:w="1444" w:type="pct"/>
            <w:vAlign w:val="center"/>
          </w:tcPr>
          <w:p w14:paraId="35EBF76D" w14:textId="77777777" w:rsidR="00BA709C" w:rsidRPr="00054F04" w:rsidRDefault="00BA709C" w:rsidP="00BA709C">
            <w:pPr>
              <w:spacing w:before="120" w:after="120"/>
              <w:rPr>
                <w:rFonts w:ascii="Arial" w:hAnsi="Arial" w:cs="Arial"/>
                <w:color w:val="000000" w:themeColor="text1"/>
                <w:sz w:val="22"/>
                <w:szCs w:val="22"/>
              </w:rPr>
            </w:pPr>
            <w:r w:rsidRPr="00054F04">
              <w:rPr>
                <w:rFonts w:ascii="Arial" w:hAnsi="Arial" w:cs="Arial"/>
                <w:color w:val="000000" w:themeColor="text1"/>
                <w:sz w:val="22"/>
                <w:szCs w:val="22"/>
              </w:rPr>
              <w:t>Favor referir-se ao comentário para o item 3.21 do Anexo XI, supra.</w:t>
            </w:r>
          </w:p>
        </w:tc>
      </w:tr>
      <w:tr w:rsidR="00BA709C" w:rsidRPr="00054F04" w14:paraId="6B3EFC5B" w14:textId="77777777" w:rsidTr="00864380">
        <w:trPr>
          <w:trHeight w:val="2268"/>
        </w:trPr>
        <w:tc>
          <w:tcPr>
            <w:tcW w:w="529" w:type="pct"/>
            <w:vAlign w:val="center"/>
          </w:tcPr>
          <w:p w14:paraId="1D7CE5EF"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lastRenderedPageBreak/>
              <w:t>Minuta do contrato</w:t>
            </w:r>
          </w:p>
        </w:tc>
        <w:tc>
          <w:tcPr>
            <w:tcW w:w="682" w:type="pct"/>
            <w:vAlign w:val="center"/>
          </w:tcPr>
          <w:p w14:paraId="5B8DB2E7"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Alteração</w:t>
            </w:r>
          </w:p>
        </w:tc>
        <w:tc>
          <w:tcPr>
            <w:tcW w:w="513" w:type="pct"/>
            <w:vAlign w:val="center"/>
          </w:tcPr>
          <w:p w14:paraId="661520C8"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Anexo XI</w:t>
            </w:r>
          </w:p>
          <w:p w14:paraId="539782D4" w14:textId="77777777" w:rsidR="00BA709C" w:rsidRPr="00054F04" w:rsidRDefault="00BA709C" w:rsidP="00BA709C">
            <w:pPr>
              <w:pStyle w:val="Caption"/>
              <w:spacing w:before="120" w:after="120"/>
              <w:jc w:val="center"/>
              <w:rPr>
                <w:rFonts w:cs="Arial"/>
                <w:color w:val="000000" w:themeColor="text1"/>
                <w:sz w:val="22"/>
                <w:szCs w:val="22"/>
              </w:rPr>
            </w:pPr>
            <w:r w:rsidRPr="00054F04">
              <w:rPr>
                <w:rFonts w:cs="Arial"/>
                <w:color w:val="000000" w:themeColor="text1"/>
                <w:sz w:val="22"/>
                <w:szCs w:val="22"/>
              </w:rPr>
              <w:t>Item 3.22</w:t>
            </w:r>
          </w:p>
        </w:tc>
        <w:tc>
          <w:tcPr>
            <w:tcW w:w="1832" w:type="pct"/>
            <w:vAlign w:val="center"/>
          </w:tcPr>
          <w:p w14:paraId="7682E79D" w14:textId="77777777" w:rsidR="00BA709C" w:rsidRPr="00054F04" w:rsidRDefault="00BA709C" w:rsidP="00BA709C">
            <w:pPr>
              <w:pStyle w:val="Contrato-Clausula-Nvel2-1dezena"/>
              <w:spacing w:before="120" w:after="120"/>
              <w:ind w:left="0" w:firstLine="0"/>
              <w:jc w:val="left"/>
              <w:rPr>
                <w:rFonts w:cs="Arial"/>
                <w:szCs w:val="22"/>
              </w:rPr>
            </w:pPr>
            <w:r w:rsidRPr="00054F04">
              <w:rPr>
                <w:rFonts w:cs="Arial"/>
                <w:szCs w:val="22"/>
              </w:rPr>
              <w:t>As atividades finais de desativação de instalação deverão ser definidas no Programa Anual de Trabalho e Orçamento aplicável e submetidas à ANP para aprovação.</w:t>
            </w:r>
          </w:p>
        </w:tc>
        <w:tc>
          <w:tcPr>
            <w:tcW w:w="1444" w:type="pct"/>
            <w:vAlign w:val="center"/>
          </w:tcPr>
          <w:p w14:paraId="16FC61C2" w14:textId="77777777" w:rsidR="00BA709C" w:rsidRPr="00054F04" w:rsidRDefault="00BA709C" w:rsidP="00BA709C">
            <w:pPr>
              <w:spacing w:before="120" w:after="120"/>
              <w:rPr>
                <w:rFonts w:ascii="Arial" w:hAnsi="Arial" w:cs="Arial"/>
                <w:color w:val="000000" w:themeColor="text1"/>
                <w:sz w:val="22"/>
                <w:szCs w:val="22"/>
              </w:rPr>
            </w:pPr>
            <w:r w:rsidRPr="00054F04">
              <w:rPr>
                <w:rFonts w:ascii="Arial" w:hAnsi="Arial" w:cs="Arial"/>
                <w:color w:val="000000" w:themeColor="text1"/>
                <w:sz w:val="22"/>
                <w:szCs w:val="22"/>
              </w:rPr>
              <w:t>Favor referir-se ao comentário para o item 3.21 do Anexo XI, supra.</w:t>
            </w:r>
          </w:p>
        </w:tc>
      </w:tr>
      <w:tr w:rsidR="00732900" w:rsidRPr="00054F04" w14:paraId="696DCC00" w14:textId="77777777" w:rsidTr="00864380">
        <w:trPr>
          <w:trHeight w:val="2268"/>
        </w:trPr>
        <w:tc>
          <w:tcPr>
            <w:tcW w:w="529" w:type="pct"/>
            <w:vAlign w:val="center"/>
          </w:tcPr>
          <w:p w14:paraId="6A6427B1" w14:textId="77777777" w:rsidR="00732900" w:rsidRPr="00054F04" w:rsidRDefault="00732900" w:rsidP="00BA709C">
            <w:pPr>
              <w:pStyle w:val="Caption"/>
              <w:spacing w:before="120" w:after="120"/>
              <w:jc w:val="center"/>
              <w:rPr>
                <w:rFonts w:cs="Arial"/>
                <w:color w:val="000000" w:themeColor="text1"/>
                <w:sz w:val="22"/>
                <w:szCs w:val="22"/>
              </w:rPr>
            </w:pPr>
            <w:r>
              <w:rPr>
                <w:rFonts w:cs="Arial"/>
                <w:color w:val="000000" w:themeColor="text1"/>
                <w:sz w:val="22"/>
                <w:szCs w:val="22"/>
              </w:rPr>
              <w:t>Minuta do contrato</w:t>
            </w:r>
          </w:p>
        </w:tc>
        <w:tc>
          <w:tcPr>
            <w:tcW w:w="682" w:type="pct"/>
            <w:vAlign w:val="center"/>
          </w:tcPr>
          <w:p w14:paraId="1F539C3A" w14:textId="77777777" w:rsidR="00732900" w:rsidRPr="00054F04" w:rsidRDefault="00732900" w:rsidP="00BA709C">
            <w:pPr>
              <w:pStyle w:val="Caption"/>
              <w:spacing w:before="120" w:after="120"/>
              <w:jc w:val="center"/>
              <w:rPr>
                <w:rFonts w:cs="Arial"/>
                <w:color w:val="000000" w:themeColor="text1"/>
                <w:sz w:val="22"/>
                <w:szCs w:val="22"/>
              </w:rPr>
            </w:pPr>
            <w:r>
              <w:rPr>
                <w:rFonts w:cs="Arial"/>
                <w:color w:val="000000" w:themeColor="text1"/>
                <w:sz w:val="22"/>
                <w:szCs w:val="22"/>
              </w:rPr>
              <w:t>Alteração</w:t>
            </w:r>
          </w:p>
        </w:tc>
        <w:tc>
          <w:tcPr>
            <w:tcW w:w="513" w:type="pct"/>
            <w:vAlign w:val="center"/>
          </w:tcPr>
          <w:p w14:paraId="659D1843" w14:textId="77777777" w:rsidR="00732900" w:rsidRDefault="00732900" w:rsidP="00BA709C">
            <w:pPr>
              <w:pStyle w:val="Caption"/>
              <w:spacing w:before="120" w:after="120"/>
              <w:jc w:val="center"/>
              <w:rPr>
                <w:rFonts w:cs="Arial"/>
                <w:color w:val="000000" w:themeColor="text1"/>
                <w:sz w:val="22"/>
                <w:szCs w:val="22"/>
              </w:rPr>
            </w:pPr>
            <w:r>
              <w:rPr>
                <w:rFonts w:cs="Arial"/>
                <w:color w:val="000000" w:themeColor="text1"/>
                <w:sz w:val="22"/>
                <w:szCs w:val="22"/>
              </w:rPr>
              <w:t>Anexo XI</w:t>
            </w:r>
          </w:p>
          <w:p w14:paraId="56B8AF36" w14:textId="77777777" w:rsidR="00732900" w:rsidRPr="00732900" w:rsidRDefault="00732900" w:rsidP="00732900">
            <w:pPr>
              <w:jc w:val="center"/>
              <w:rPr>
                <w:rFonts w:ascii="Arial" w:hAnsi="Arial" w:cs="Arial"/>
                <w:color w:val="000000" w:themeColor="text1"/>
                <w:sz w:val="22"/>
                <w:szCs w:val="22"/>
              </w:rPr>
            </w:pPr>
            <w:r w:rsidRPr="00732900">
              <w:rPr>
                <w:rFonts w:ascii="Arial" w:hAnsi="Arial" w:cs="Arial"/>
                <w:color w:val="000000" w:themeColor="text1"/>
                <w:sz w:val="22"/>
                <w:szCs w:val="22"/>
              </w:rPr>
              <w:t>Item 3.28</w:t>
            </w:r>
          </w:p>
        </w:tc>
        <w:tc>
          <w:tcPr>
            <w:tcW w:w="1832" w:type="pct"/>
            <w:vAlign w:val="center"/>
          </w:tcPr>
          <w:tbl>
            <w:tblPr>
              <w:tblStyle w:val="TableGrid"/>
              <w:tblW w:w="5000" w:type="pct"/>
              <w:jc w:val="center"/>
              <w:tblCellMar>
                <w:left w:w="57" w:type="dxa"/>
                <w:right w:w="57" w:type="dxa"/>
              </w:tblCellMar>
              <w:tblLook w:val="04A0" w:firstRow="1" w:lastRow="0" w:firstColumn="1" w:lastColumn="0" w:noHBand="0" w:noVBand="1"/>
            </w:tblPr>
            <w:tblGrid>
              <w:gridCol w:w="1342"/>
              <w:gridCol w:w="1181"/>
              <w:gridCol w:w="1181"/>
              <w:gridCol w:w="1181"/>
            </w:tblGrid>
            <w:tr w:rsidR="00FC51FA" w:rsidRPr="003B52DA" w14:paraId="22C337F6" w14:textId="77777777" w:rsidTr="009A72DC">
              <w:trPr>
                <w:trHeight w:val="737"/>
                <w:jc w:val="center"/>
              </w:trPr>
              <w:tc>
                <w:tcPr>
                  <w:tcW w:w="1121" w:type="pct"/>
                  <w:vAlign w:val="center"/>
                </w:tcPr>
                <w:p w14:paraId="4630C965" w14:textId="0877DC84" w:rsidR="00FC51FA" w:rsidRPr="00FC51FA" w:rsidRDefault="00F219B4" w:rsidP="00FC51FA">
                  <w:pPr>
                    <w:pStyle w:val="Contrato-Tabela"/>
                    <w:rPr>
                      <w:b/>
                      <w:sz w:val="16"/>
                      <w:szCs w:val="16"/>
                    </w:rPr>
                  </w:pPr>
                  <w:proofErr w:type="spellStart"/>
                  <w:r>
                    <w:rPr>
                      <w:b/>
                      <w:sz w:val="16"/>
                      <w:szCs w:val="16"/>
                    </w:rPr>
                    <w:t>Tipo</w:t>
                  </w:r>
                  <w:proofErr w:type="spellEnd"/>
                  <w:r>
                    <w:rPr>
                      <w:b/>
                      <w:sz w:val="16"/>
                      <w:szCs w:val="16"/>
                    </w:rPr>
                    <w:t xml:space="preserve"> de </w:t>
                  </w:r>
                  <w:proofErr w:type="spellStart"/>
                  <w:r>
                    <w:rPr>
                      <w:b/>
                      <w:sz w:val="16"/>
                      <w:szCs w:val="16"/>
                    </w:rPr>
                    <w:t>Operação</w:t>
                  </w:r>
                  <w:proofErr w:type="spellEnd"/>
                </w:p>
              </w:tc>
              <w:tc>
                <w:tcPr>
                  <w:tcW w:w="1236" w:type="pct"/>
                  <w:vAlign w:val="center"/>
                </w:tcPr>
                <w:p w14:paraId="58AB0F17" w14:textId="142D3A9F" w:rsidR="00FC51FA" w:rsidRPr="00FC51FA" w:rsidRDefault="00F219B4" w:rsidP="00FC51FA">
                  <w:pPr>
                    <w:pStyle w:val="Contrato-Tabela"/>
                    <w:rPr>
                      <w:b/>
                      <w:sz w:val="16"/>
                      <w:szCs w:val="16"/>
                    </w:rPr>
                  </w:pPr>
                  <w:proofErr w:type="spellStart"/>
                  <w:r>
                    <w:rPr>
                      <w:b/>
                      <w:sz w:val="16"/>
                      <w:szCs w:val="16"/>
                    </w:rPr>
                    <w:t>Procedimento</w:t>
                  </w:r>
                  <w:proofErr w:type="spellEnd"/>
                  <w:r w:rsidR="00FC51FA" w:rsidRPr="00FC51FA">
                    <w:rPr>
                      <w:b/>
                      <w:sz w:val="16"/>
                      <w:szCs w:val="16"/>
                    </w:rPr>
                    <w:t xml:space="preserve"> A</w:t>
                  </w:r>
                </w:p>
              </w:tc>
              <w:tc>
                <w:tcPr>
                  <w:tcW w:w="1170" w:type="pct"/>
                  <w:vAlign w:val="center"/>
                </w:tcPr>
                <w:p w14:paraId="356ED8AC" w14:textId="07A62530" w:rsidR="00FC51FA" w:rsidRPr="00FC51FA" w:rsidRDefault="00F219B4" w:rsidP="00FC51FA">
                  <w:pPr>
                    <w:pStyle w:val="Contrato-Tabela"/>
                    <w:rPr>
                      <w:b/>
                      <w:sz w:val="16"/>
                      <w:szCs w:val="16"/>
                    </w:rPr>
                  </w:pPr>
                  <w:proofErr w:type="spellStart"/>
                  <w:r>
                    <w:rPr>
                      <w:b/>
                      <w:sz w:val="16"/>
                      <w:szCs w:val="16"/>
                    </w:rPr>
                    <w:t>Procedimento</w:t>
                  </w:r>
                  <w:proofErr w:type="spellEnd"/>
                  <w:r w:rsidRPr="00FC51FA">
                    <w:rPr>
                      <w:b/>
                      <w:sz w:val="16"/>
                      <w:szCs w:val="16"/>
                    </w:rPr>
                    <w:t xml:space="preserve"> </w:t>
                  </w:r>
                  <w:r w:rsidR="00FC51FA" w:rsidRPr="00FC51FA">
                    <w:rPr>
                      <w:b/>
                      <w:sz w:val="16"/>
                      <w:szCs w:val="16"/>
                    </w:rPr>
                    <w:t>B</w:t>
                  </w:r>
                </w:p>
              </w:tc>
              <w:tc>
                <w:tcPr>
                  <w:tcW w:w="1473" w:type="pct"/>
                  <w:vAlign w:val="center"/>
                </w:tcPr>
                <w:p w14:paraId="787B06DD" w14:textId="54758A9C" w:rsidR="00FC51FA" w:rsidRPr="00FC51FA" w:rsidRDefault="00F219B4" w:rsidP="00FC51FA">
                  <w:pPr>
                    <w:pStyle w:val="Contrato-Tabela"/>
                    <w:rPr>
                      <w:b/>
                      <w:sz w:val="16"/>
                      <w:szCs w:val="16"/>
                    </w:rPr>
                  </w:pPr>
                  <w:proofErr w:type="spellStart"/>
                  <w:r>
                    <w:rPr>
                      <w:b/>
                      <w:sz w:val="16"/>
                      <w:szCs w:val="16"/>
                    </w:rPr>
                    <w:t>Procedimento</w:t>
                  </w:r>
                  <w:proofErr w:type="spellEnd"/>
                  <w:r w:rsidRPr="00FC51FA">
                    <w:rPr>
                      <w:b/>
                      <w:sz w:val="16"/>
                      <w:szCs w:val="16"/>
                    </w:rPr>
                    <w:t xml:space="preserve"> </w:t>
                  </w:r>
                  <w:r w:rsidR="00FC51FA" w:rsidRPr="00FC51FA">
                    <w:rPr>
                      <w:b/>
                      <w:sz w:val="16"/>
                      <w:szCs w:val="16"/>
                    </w:rPr>
                    <w:t>C</w:t>
                  </w:r>
                </w:p>
              </w:tc>
            </w:tr>
            <w:tr w:rsidR="00FC51FA" w:rsidRPr="003B52DA" w14:paraId="3B78CBBB" w14:textId="77777777" w:rsidTr="009A72DC">
              <w:trPr>
                <w:trHeight w:val="737"/>
                <w:jc w:val="center"/>
              </w:trPr>
              <w:tc>
                <w:tcPr>
                  <w:tcW w:w="1121" w:type="pct"/>
                  <w:vAlign w:val="center"/>
                </w:tcPr>
                <w:p w14:paraId="36468C98" w14:textId="7B662B5B" w:rsidR="00FC51FA" w:rsidRPr="00FC51FA" w:rsidRDefault="00F219B4" w:rsidP="00FC51FA">
                  <w:pPr>
                    <w:pStyle w:val="Contrato-Tabela"/>
                    <w:rPr>
                      <w:sz w:val="16"/>
                      <w:szCs w:val="16"/>
                    </w:rPr>
                  </w:pPr>
                  <w:proofErr w:type="spellStart"/>
                  <w:r>
                    <w:rPr>
                      <w:sz w:val="16"/>
                      <w:szCs w:val="16"/>
                    </w:rPr>
                    <w:t>Exploração</w:t>
                  </w:r>
                  <w:proofErr w:type="spellEnd"/>
                  <w:r>
                    <w:rPr>
                      <w:sz w:val="16"/>
                      <w:szCs w:val="16"/>
                    </w:rPr>
                    <w:t xml:space="preserve"> e </w:t>
                  </w:r>
                  <w:proofErr w:type="spellStart"/>
                  <w:r>
                    <w:rPr>
                      <w:sz w:val="16"/>
                      <w:szCs w:val="16"/>
                    </w:rPr>
                    <w:t>Avaliação</w:t>
                  </w:r>
                  <w:proofErr w:type="spellEnd"/>
                </w:p>
              </w:tc>
              <w:tc>
                <w:tcPr>
                  <w:tcW w:w="1236" w:type="pct"/>
                  <w:vAlign w:val="center"/>
                </w:tcPr>
                <w:p w14:paraId="4B8C6DD9" w14:textId="4870AC75" w:rsidR="00FC51FA" w:rsidRPr="00FC51FA" w:rsidRDefault="00F219B4" w:rsidP="00F219B4">
                  <w:pPr>
                    <w:pStyle w:val="Contrato-Tabela"/>
                    <w:rPr>
                      <w:sz w:val="16"/>
                      <w:szCs w:val="16"/>
                    </w:rPr>
                  </w:pPr>
                  <w:proofErr w:type="spellStart"/>
                  <w:r>
                    <w:rPr>
                      <w:sz w:val="16"/>
                      <w:szCs w:val="16"/>
                    </w:rPr>
                    <w:t>Até</w:t>
                  </w:r>
                  <w:proofErr w:type="spellEnd"/>
                  <w:r>
                    <w:rPr>
                      <w:sz w:val="16"/>
                      <w:szCs w:val="16"/>
                    </w:rPr>
                    <w:t xml:space="preserve"> US$ </w:t>
                  </w:r>
                  <w:r w:rsidR="00FC51FA">
                    <w:rPr>
                      <w:sz w:val="16"/>
                      <w:szCs w:val="16"/>
                    </w:rPr>
                    <w:t>1</w:t>
                  </w:r>
                  <w:r>
                    <w:rPr>
                      <w:sz w:val="16"/>
                      <w:szCs w:val="16"/>
                    </w:rPr>
                    <w:t>.</w:t>
                  </w:r>
                  <w:r w:rsidR="00FC51FA">
                    <w:rPr>
                      <w:sz w:val="16"/>
                      <w:szCs w:val="16"/>
                    </w:rPr>
                    <w:t>5</w:t>
                  </w:r>
                  <w:r w:rsidR="00FC51FA" w:rsidRPr="00FC51FA">
                    <w:rPr>
                      <w:sz w:val="16"/>
                      <w:szCs w:val="16"/>
                    </w:rPr>
                    <w:t xml:space="preserve"> </w:t>
                  </w:r>
                  <w:proofErr w:type="spellStart"/>
                  <w:r>
                    <w:rPr>
                      <w:sz w:val="16"/>
                      <w:szCs w:val="16"/>
                    </w:rPr>
                    <w:t>milhão</w:t>
                  </w:r>
                  <w:proofErr w:type="spellEnd"/>
                </w:p>
              </w:tc>
              <w:tc>
                <w:tcPr>
                  <w:tcW w:w="1170" w:type="pct"/>
                  <w:vAlign w:val="center"/>
                </w:tcPr>
                <w:p w14:paraId="655EF45F" w14:textId="14B47749" w:rsidR="00FC51FA" w:rsidRPr="00F219B4" w:rsidRDefault="00F219B4" w:rsidP="00F219B4">
                  <w:pPr>
                    <w:pStyle w:val="Contrato-Tabela"/>
                    <w:rPr>
                      <w:sz w:val="16"/>
                      <w:szCs w:val="16"/>
                      <w:lang w:val="pt-BR"/>
                    </w:rPr>
                  </w:pPr>
                  <w:r w:rsidRPr="00F219B4">
                    <w:rPr>
                      <w:sz w:val="16"/>
                      <w:szCs w:val="16"/>
                      <w:lang w:val="pt-BR"/>
                    </w:rPr>
                    <w:t xml:space="preserve">Acima de US$ </w:t>
                  </w:r>
                  <w:r w:rsidR="00FC51FA" w:rsidRPr="00F219B4">
                    <w:rPr>
                      <w:sz w:val="16"/>
                      <w:szCs w:val="16"/>
                      <w:lang w:val="pt-BR"/>
                    </w:rPr>
                    <w:t>1</w:t>
                  </w:r>
                  <w:r w:rsidRPr="00F219B4">
                    <w:rPr>
                      <w:sz w:val="16"/>
                      <w:szCs w:val="16"/>
                      <w:lang w:val="pt-BR"/>
                    </w:rPr>
                    <w:t>.</w:t>
                  </w:r>
                  <w:r w:rsidR="00FC51FA" w:rsidRPr="00F219B4">
                    <w:rPr>
                      <w:sz w:val="16"/>
                      <w:szCs w:val="16"/>
                      <w:lang w:val="pt-BR"/>
                    </w:rPr>
                    <w:t xml:space="preserve">5 </w:t>
                  </w:r>
                  <w:r w:rsidRPr="00F219B4">
                    <w:rPr>
                      <w:sz w:val="16"/>
                      <w:szCs w:val="16"/>
                      <w:lang w:val="pt-BR"/>
                    </w:rPr>
                    <w:t xml:space="preserve">milhão </w:t>
                  </w:r>
                  <w:r>
                    <w:rPr>
                      <w:sz w:val="16"/>
                      <w:szCs w:val="16"/>
                      <w:lang w:val="pt-BR"/>
                    </w:rPr>
                    <w:t xml:space="preserve">e </w:t>
                  </w:r>
                  <w:r w:rsidRPr="00F219B4">
                    <w:rPr>
                      <w:sz w:val="16"/>
                      <w:szCs w:val="16"/>
                      <w:lang w:val="pt-BR"/>
                    </w:rPr>
                    <w:t xml:space="preserve">até </w:t>
                  </w:r>
                  <w:r w:rsidR="00FC51FA" w:rsidRPr="00F219B4">
                    <w:rPr>
                      <w:sz w:val="16"/>
                      <w:szCs w:val="16"/>
                      <w:lang w:val="pt-BR"/>
                    </w:rPr>
                    <w:t xml:space="preserve">10 </w:t>
                  </w:r>
                  <w:r>
                    <w:rPr>
                      <w:sz w:val="16"/>
                      <w:szCs w:val="16"/>
                      <w:lang w:val="pt-BR"/>
                    </w:rPr>
                    <w:t>milhões</w:t>
                  </w:r>
                </w:p>
              </w:tc>
              <w:tc>
                <w:tcPr>
                  <w:tcW w:w="1473" w:type="pct"/>
                  <w:vAlign w:val="center"/>
                </w:tcPr>
                <w:p w14:paraId="06D1D8DA" w14:textId="08630320" w:rsidR="00FC51FA" w:rsidRPr="00FC51FA" w:rsidRDefault="00F219B4" w:rsidP="00F219B4">
                  <w:pPr>
                    <w:pStyle w:val="Contrato-Tabela"/>
                    <w:rPr>
                      <w:sz w:val="16"/>
                      <w:szCs w:val="16"/>
                    </w:rPr>
                  </w:pPr>
                  <w:proofErr w:type="spellStart"/>
                  <w:r>
                    <w:rPr>
                      <w:sz w:val="16"/>
                      <w:szCs w:val="16"/>
                    </w:rPr>
                    <w:t>Acima</w:t>
                  </w:r>
                  <w:proofErr w:type="spellEnd"/>
                  <w:r>
                    <w:rPr>
                      <w:sz w:val="16"/>
                      <w:szCs w:val="16"/>
                    </w:rPr>
                    <w:t xml:space="preserve"> de</w:t>
                  </w:r>
                  <w:r w:rsidR="00FC51FA" w:rsidRPr="00FC51FA">
                    <w:rPr>
                      <w:sz w:val="16"/>
                      <w:szCs w:val="16"/>
                    </w:rPr>
                    <w:t xml:space="preserve"> </w:t>
                  </w:r>
                  <w:r>
                    <w:rPr>
                      <w:sz w:val="16"/>
                      <w:szCs w:val="16"/>
                    </w:rPr>
                    <w:t xml:space="preserve">US$ </w:t>
                  </w:r>
                  <w:r w:rsidR="00FC51FA">
                    <w:rPr>
                      <w:sz w:val="16"/>
                      <w:szCs w:val="16"/>
                    </w:rPr>
                    <w:t>10</w:t>
                  </w:r>
                  <w:r w:rsidR="00FC51FA" w:rsidRPr="00FC51FA">
                    <w:rPr>
                      <w:sz w:val="16"/>
                      <w:szCs w:val="16"/>
                    </w:rPr>
                    <w:t xml:space="preserve"> </w:t>
                  </w:r>
                  <w:proofErr w:type="spellStart"/>
                  <w:r>
                    <w:rPr>
                      <w:sz w:val="16"/>
                      <w:szCs w:val="16"/>
                    </w:rPr>
                    <w:t>milhões</w:t>
                  </w:r>
                  <w:proofErr w:type="spellEnd"/>
                </w:p>
              </w:tc>
            </w:tr>
            <w:tr w:rsidR="00FC51FA" w:rsidRPr="003B52DA" w14:paraId="7476D9E5" w14:textId="77777777" w:rsidTr="009A72DC">
              <w:trPr>
                <w:trHeight w:val="737"/>
                <w:jc w:val="center"/>
              </w:trPr>
              <w:tc>
                <w:tcPr>
                  <w:tcW w:w="1121" w:type="pct"/>
                  <w:vAlign w:val="center"/>
                </w:tcPr>
                <w:p w14:paraId="242CA90A" w14:textId="1FEEAD09" w:rsidR="00FC51FA" w:rsidRPr="00FC51FA" w:rsidRDefault="00F219B4" w:rsidP="00FC51FA">
                  <w:pPr>
                    <w:pStyle w:val="Contrato-Tabela"/>
                    <w:rPr>
                      <w:sz w:val="16"/>
                      <w:szCs w:val="16"/>
                    </w:rPr>
                  </w:pPr>
                  <w:proofErr w:type="spellStart"/>
                  <w:r>
                    <w:rPr>
                      <w:sz w:val="16"/>
                      <w:szCs w:val="16"/>
                    </w:rPr>
                    <w:t>Desenvolvimento</w:t>
                  </w:r>
                  <w:proofErr w:type="spellEnd"/>
                </w:p>
              </w:tc>
              <w:tc>
                <w:tcPr>
                  <w:tcW w:w="1236" w:type="pct"/>
                  <w:vAlign w:val="center"/>
                </w:tcPr>
                <w:p w14:paraId="605DB1E2" w14:textId="06DEE3DC" w:rsidR="00FC51FA" w:rsidRPr="00FC51FA" w:rsidRDefault="00F219B4" w:rsidP="00F219B4">
                  <w:pPr>
                    <w:pStyle w:val="Contrato-Tabela"/>
                    <w:rPr>
                      <w:sz w:val="16"/>
                      <w:szCs w:val="16"/>
                    </w:rPr>
                  </w:pPr>
                  <w:proofErr w:type="spellStart"/>
                  <w:r>
                    <w:rPr>
                      <w:sz w:val="16"/>
                      <w:szCs w:val="16"/>
                    </w:rPr>
                    <w:t>Até</w:t>
                  </w:r>
                  <w:proofErr w:type="spellEnd"/>
                  <w:r>
                    <w:rPr>
                      <w:sz w:val="16"/>
                      <w:szCs w:val="16"/>
                    </w:rPr>
                    <w:t xml:space="preserve"> US$ </w:t>
                  </w:r>
                  <w:r w:rsidR="00FC51FA">
                    <w:rPr>
                      <w:sz w:val="16"/>
                      <w:szCs w:val="16"/>
                    </w:rPr>
                    <w:t>3</w:t>
                  </w:r>
                  <w:r w:rsidR="00FC51FA" w:rsidRPr="00FC51FA">
                    <w:rPr>
                      <w:sz w:val="16"/>
                      <w:szCs w:val="16"/>
                    </w:rPr>
                    <w:t xml:space="preserve"> </w:t>
                  </w:r>
                  <w:proofErr w:type="spellStart"/>
                  <w:r>
                    <w:rPr>
                      <w:sz w:val="16"/>
                      <w:szCs w:val="16"/>
                    </w:rPr>
                    <w:t>milhões</w:t>
                  </w:r>
                  <w:proofErr w:type="spellEnd"/>
                </w:p>
              </w:tc>
              <w:tc>
                <w:tcPr>
                  <w:tcW w:w="1170" w:type="pct"/>
                  <w:vAlign w:val="center"/>
                </w:tcPr>
                <w:p w14:paraId="057E0F5C" w14:textId="6DF2BFC9" w:rsidR="00FC51FA" w:rsidRPr="00F219B4" w:rsidRDefault="00F219B4" w:rsidP="00F219B4">
                  <w:pPr>
                    <w:pStyle w:val="Contrato-Tabela"/>
                    <w:rPr>
                      <w:sz w:val="16"/>
                      <w:szCs w:val="16"/>
                      <w:lang w:val="pt-BR"/>
                    </w:rPr>
                  </w:pPr>
                  <w:r w:rsidRPr="00F219B4">
                    <w:rPr>
                      <w:sz w:val="16"/>
                      <w:szCs w:val="16"/>
                      <w:lang w:val="pt-BR"/>
                    </w:rPr>
                    <w:t>Acima de</w:t>
                  </w:r>
                  <w:r w:rsidR="00FC51FA" w:rsidRPr="00F219B4">
                    <w:rPr>
                      <w:sz w:val="16"/>
                      <w:szCs w:val="16"/>
                      <w:lang w:val="pt-BR"/>
                    </w:rPr>
                    <w:t xml:space="preserve"> </w:t>
                  </w:r>
                  <w:r w:rsidRPr="00F219B4">
                    <w:rPr>
                      <w:sz w:val="16"/>
                      <w:szCs w:val="16"/>
                      <w:lang w:val="pt-BR"/>
                    </w:rPr>
                    <w:t xml:space="preserve">US$ </w:t>
                  </w:r>
                  <w:r w:rsidR="00FC51FA" w:rsidRPr="00F219B4">
                    <w:rPr>
                      <w:sz w:val="16"/>
                      <w:szCs w:val="16"/>
                      <w:lang w:val="pt-BR"/>
                    </w:rPr>
                    <w:t xml:space="preserve">3 </w:t>
                  </w:r>
                  <w:r w:rsidRPr="00F219B4">
                    <w:rPr>
                      <w:sz w:val="16"/>
                      <w:szCs w:val="16"/>
                      <w:lang w:val="pt-BR"/>
                    </w:rPr>
                    <w:t>milhões e</w:t>
                  </w:r>
                  <w:r w:rsidR="00FC51FA" w:rsidRPr="00F219B4">
                    <w:rPr>
                      <w:sz w:val="16"/>
                      <w:szCs w:val="16"/>
                      <w:lang w:val="pt-BR"/>
                    </w:rPr>
                    <w:t xml:space="preserve"> </w:t>
                  </w:r>
                  <w:r w:rsidRPr="00F219B4">
                    <w:rPr>
                      <w:sz w:val="16"/>
                      <w:szCs w:val="16"/>
                      <w:lang w:val="pt-BR"/>
                    </w:rPr>
                    <w:t xml:space="preserve">até </w:t>
                  </w:r>
                  <w:r w:rsidR="00FC51FA" w:rsidRPr="00F219B4">
                    <w:rPr>
                      <w:sz w:val="16"/>
                      <w:szCs w:val="16"/>
                      <w:lang w:val="pt-BR"/>
                    </w:rPr>
                    <w:t xml:space="preserve">15 </w:t>
                  </w:r>
                  <w:r w:rsidRPr="00F219B4">
                    <w:rPr>
                      <w:sz w:val="16"/>
                      <w:szCs w:val="16"/>
                      <w:lang w:val="pt-BR"/>
                    </w:rPr>
                    <w:t>milhões</w:t>
                  </w:r>
                </w:p>
              </w:tc>
              <w:tc>
                <w:tcPr>
                  <w:tcW w:w="1473" w:type="pct"/>
                  <w:vAlign w:val="center"/>
                </w:tcPr>
                <w:p w14:paraId="501FF13F" w14:textId="2A929477" w:rsidR="00FC51FA" w:rsidRPr="00FC51FA" w:rsidRDefault="00F219B4" w:rsidP="00F219B4">
                  <w:pPr>
                    <w:pStyle w:val="Contrato-Tabela"/>
                    <w:rPr>
                      <w:sz w:val="16"/>
                      <w:szCs w:val="16"/>
                    </w:rPr>
                  </w:pPr>
                  <w:proofErr w:type="spellStart"/>
                  <w:r>
                    <w:rPr>
                      <w:sz w:val="16"/>
                      <w:szCs w:val="16"/>
                    </w:rPr>
                    <w:t>Acima</w:t>
                  </w:r>
                  <w:proofErr w:type="spellEnd"/>
                  <w:r w:rsidR="00FC51FA" w:rsidRPr="00FC51FA">
                    <w:rPr>
                      <w:sz w:val="16"/>
                      <w:szCs w:val="16"/>
                    </w:rPr>
                    <w:t xml:space="preserve"> </w:t>
                  </w:r>
                  <w:r>
                    <w:rPr>
                      <w:sz w:val="16"/>
                      <w:szCs w:val="16"/>
                    </w:rPr>
                    <w:t xml:space="preserve">US$ </w:t>
                  </w:r>
                  <w:r w:rsidR="00FC51FA">
                    <w:rPr>
                      <w:sz w:val="16"/>
                      <w:szCs w:val="16"/>
                    </w:rPr>
                    <w:t>15</w:t>
                  </w:r>
                  <w:r w:rsidR="00FC51FA" w:rsidRPr="00FC51FA">
                    <w:rPr>
                      <w:sz w:val="16"/>
                      <w:szCs w:val="16"/>
                    </w:rPr>
                    <w:t xml:space="preserve"> </w:t>
                  </w:r>
                  <w:proofErr w:type="spellStart"/>
                  <w:r>
                    <w:rPr>
                      <w:sz w:val="16"/>
                      <w:szCs w:val="16"/>
                    </w:rPr>
                    <w:t>milhões</w:t>
                  </w:r>
                  <w:proofErr w:type="spellEnd"/>
                </w:p>
              </w:tc>
            </w:tr>
            <w:tr w:rsidR="00FC51FA" w:rsidRPr="003B52DA" w14:paraId="071C28B1" w14:textId="77777777" w:rsidTr="009A72DC">
              <w:trPr>
                <w:trHeight w:val="737"/>
                <w:jc w:val="center"/>
              </w:trPr>
              <w:tc>
                <w:tcPr>
                  <w:tcW w:w="1121" w:type="pct"/>
                  <w:vAlign w:val="center"/>
                </w:tcPr>
                <w:p w14:paraId="0E92287F" w14:textId="54D33D4A" w:rsidR="00FC51FA" w:rsidRPr="00FC51FA" w:rsidRDefault="00F219B4" w:rsidP="00FC51FA">
                  <w:pPr>
                    <w:pStyle w:val="Contrato-Tabela"/>
                    <w:rPr>
                      <w:sz w:val="16"/>
                      <w:szCs w:val="16"/>
                    </w:rPr>
                  </w:pPr>
                  <w:proofErr w:type="spellStart"/>
                  <w:r>
                    <w:rPr>
                      <w:sz w:val="16"/>
                      <w:szCs w:val="16"/>
                    </w:rPr>
                    <w:t>Produção</w:t>
                  </w:r>
                  <w:proofErr w:type="spellEnd"/>
                </w:p>
              </w:tc>
              <w:tc>
                <w:tcPr>
                  <w:tcW w:w="1236" w:type="pct"/>
                  <w:vAlign w:val="center"/>
                </w:tcPr>
                <w:p w14:paraId="18283ED2" w14:textId="529F7CA2" w:rsidR="00FC51FA" w:rsidRPr="00FC51FA" w:rsidRDefault="00F219B4" w:rsidP="00F219B4">
                  <w:pPr>
                    <w:pStyle w:val="Contrato-Tabela"/>
                    <w:rPr>
                      <w:sz w:val="16"/>
                      <w:szCs w:val="16"/>
                    </w:rPr>
                  </w:pPr>
                  <w:proofErr w:type="spellStart"/>
                  <w:r>
                    <w:rPr>
                      <w:sz w:val="16"/>
                      <w:szCs w:val="16"/>
                    </w:rPr>
                    <w:t>Até</w:t>
                  </w:r>
                  <w:proofErr w:type="spellEnd"/>
                  <w:r>
                    <w:rPr>
                      <w:sz w:val="16"/>
                      <w:szCs w:val="16"/>
                    </w:rPr>
                    <w:t xml:space="preserve"> US$ </w:t>
                  </w:r>
                  <w:r w:rsidR="00FC51FA">
                    <w:rPr>
                      <w:sz w:val="16"/>
                      <w:szCs w:val="16"/>
                    </w:rPr>
                    <w:t>3</w:t>
                  </w:r>
                  <w:r w:rsidR="00FC51FA" w:rsidRPr="00FC51FA">
                    <w:rPr>
                      <w:sz w:val="16"/>
                      <w:szCs w:val="16"/>
                    </w:rPr>
                    <w:t xml:space="preserve"> </w:t>
                  </w:r>
                  <w:proofErr w:type="spellStart"/>
                  <w:r>
                    <w:rPr>
                      <w:sz w:val="16"/>
                      <w:szCs w:val="16"/>
                    </w:rPr>
                    <w:t>milhoes</w:t>
                  </w:r>
                  <w:proofErr w:type="spellEnd"/>
                </w:p>
              </w:tc>
              <w:tc>
                <w:tcPr>
                  <w:tcW w:w="1170" w:type="pct"/>
                  <w:vAlign w:val="center"/>
                </w:tcPr>
                <w:p w14:paraId="5AFEB7FC" w14:textId="47B6EF39" w:rsidR="00FC51FA" w:rsidRPr="00F219B4" w:rsidRDefault="00F219B4" w:rsidP="00F219B4">
                  <w:pPr>
                    <w:pStyle w:val="Contrato-Tabela"/>
                    <w:rPr>
                      <w:sz w:val="16"/>
                      <w:szCs w:val="16"/>
                      <w:lang w:val="pt-BR"/>
                    </w:rPr>
                  </w:pPr>
                  <w:r>
                    <w:rPr>
                      <w:sz w:val="16"/>
                      <w:szCs w:val="16"/>
                      <w:lang w:val="pt-BR"/>
                    </w:rPr>
                    <w:t xml:space="preserve">Acima US$ </w:t>
                  </w:r>
                  <w:r w:rsidR="00FC51FA" w:rsidRPr="00F219B4">
                    <w:rPr>
                      <w:sz w:val="16"/>
                      <w:szCs w:val="16"/>
                      <w:lang w:val="pt-BR"/>
                    </w:rPr>
                    <w:t xml:space="preserve">3 </w:t>
                  </w:r>
                  <w:r w:rsidRPr="00F219B4">
                    <w:rPr>
                      <w:sz w:val="16"/>
                      <w:szCs w:val="16"/>
                      <w:lang w:val="pt-BR"/>
                    </w:rPr>
                    <w:t xml:space="preserve">milhões </w:t>
                  </w:r>
                  <w:r>
                    <w:rPr>
                      <w:sz w:val="16"/>
                      <w:szCs w:val="16"/>
                      <w:lang w:val="pt-BR"/>
                    </w:rPr>
                    <w:t>e até</w:t>
                  </w:r>
                  <w:r w:rsidR="00FC51FA" w:rsidRPr="00F219B4">
                    <w:rPr>
                      <w:sz w:val="16"/>
                      <w:szCs w:val="16"/>
                      <w:lang w:val="pt-BR"/>
                    </w:rPr>
                    <w:t xml:space="preserve"> </w:t>
                  </w:r>
                  <w:r>
                    <w:rPr>
                      <w:sz w:val="16"/>
                      <w:szCs w:val="16"/>
                      <w:lang w:val="pt-BR"/>
                    </w:rPr>
                    <w:t xml:space="preserve">US$ </w:t>
                  </w:r>
                  <w:r w:rsidR="00FC51FA" w:rsidRPr="00F219B4">
                    <w:rPr>
                      <w:sz w:val="16"/>
                      <w:szCs w:val="16"/>
                      <w:lang w:val="pt-BR"/>
                    </w:rPr>
                    <w:t xml:space="preserve">15 </w:t>
                  </w:r>
                  <w:r w:rsidRPr="00F219B4">
                    <w:rPr>
                      <w:sz w:val="16"/>
                      <w:szCs w:val="16"/>
                      <w:lang w:val="pt-BR"/>
                    </w:rPr>
                    <w:t>milhões</w:t>
                  </w:r>
                </w:p>
              </w:tc>
              <w:tc>
                <w:tcPr>
                  <w:tcW w:w="1473" w:type="pct"/>
                  <w:vAlign w:val="center"/>
                </w:tcPr>
                <w:p w14:paraId="78E51323" w14:textId="0516E86E" w:rsidR="00FC51FA" w:rsidRPr="00FC51FA" w:rsidRDefault="00F219B4" w:rsidP="00F219B4">
                  <w:pPr>
                    <w:pStyle w:val="Contrato-Tabela"/>
                    <w:rPr>
                      <w:sz w:val="16"/>
                      <w:szCs w:val="16"/>
                    </w:rPr>
                  </w:pPr>
                  <w:proofErr w:type="spellStart"/>
                  <w:r>
                    <w:rPr>
                      <w:sz w:val="16"/>
                      <w:szCs w:val="16"/>
                    </w:rPr>
                    <w:t>Acima</w:t>
                  </w:r>
                  <w:proofErr w:type="spellEnd"/>
                  <w:r>
                    <w:rPr>
                      <w:sz w:val="16"/>
                      <w:szCs w:val="16"/>
                    </w:rPr>
                    <w:t xml:space="preserve"> de</w:t>
                  </w:r>
                  <w:r w:rsidR="00FC51FA" w:rsidRPr="00FC51FA">
                    <w:rPr>
                      <w:sz w:val="16"/>
                      <w:szCs w:val="16"/>
                    </w:rPr>
                    <w:t xml:space="preserve"> </w:t>
                  </w:r>
                  <w:r>
                    <w:rPr>
                      <w:sz w:val="16"/>
                      <w:szCs w:val="16"/>
                    </w:rPr>
                    <w:t xml:space="preserve">US$ </w:t>
                  </w:r>
                  <w:r w:rsidR="00FC51FA">
                    <w:rPr>
                      <w:sz w:val="16"/>
                      <w:szCs w:val="16"/>
                    </w:rPr>
                    <w:t>15</w:t>
                  </w:r>
                  <w:r w:rsidR="00FC51FA" w:rsidRPr="00FC51FA">
                    <w:rPr>
                      <w:sz w:val="16"/>
                      <w:szCs w:val="16"/>
                    </w:rPr>
                    <w:t xml:space="preserve"> </w:t>
                  </w:r>
                  <w:proofErr w:type="spellStart"/>
                  <w:r>
                    <w:rPr>
                      <w:sz w:val="16"/>
                      <w:szCs w:val="16"/>
                    </w:rPr>
                    <w:t>milhões</w:t>
                  </w:r>
                  <w:proofErr w:type="spellEnd"/>
                </w:p>
              </w:tc>
            </w:tr>
          </w:tbl>
          <w:p w14:paraId="0626818A" w14:textId="77777777" w:rsidR="00732900" w:rsidRPr="00054F04" w:rsidRDefault="00732900" w:rsidP="00BA709C">
            <w:pPr>
              <w:pStyle w:val="Contrato-Clausula-Nvel2-1dezena"/>
              <w:spacing w:before="120" w:after="120"/>
              <w:ind w:left="0" w:firstLine="0"/>
              <w:jc w:val="left"/>
              <w:rPr>
                <w:rFonts w:cs="Arial"/>
                <w:szCs w:val="22"/>
              </w:rPr>
            </w:pPr>
          </w:p>
        </w:tc>
        <w:tc>
          <w:tcPr>
            <w:tcW w:w="1444" w:type="pct"/>
            <w:vAlign w:val="center"/>
          </w:tcPr>
          <w:p w14:paraId="0E443339" w14:textId="79942E2D" w:rsidR="00732900" w:rsidRPr="00054F04" w:rsidRDefault="00FC51FA" w:rsidP="00BA709C">
            <w:pPr>
              <w:spacing w:before="120" w:after="120"/>
              <w:rPr>
                <w:rFonts w:ascii="Arial" w:hAnsi="Arial" w:cs="Arial"/>
                <w:color w:val="000000" w:themeColor="text1"/>
                <w:sz w:val="22"/>
                <w:szCs w:val="22"/>
              </w:rPr>
            </w:pPr>
            <w:r>
              <w:rPr>
                <w:rFonts w:ascii="Arial" w:hAnsi="Arial" w:cs="Arial"/>
                <w:color w:val="000000" w:themeColor="text1"/>
                <w:sz w:val="22"/>
                <w:szCs w:val="22"/>
              </w:rPr>
              <w:t>Os valores previstos no Contrato são muito baixos e não são viáveis para a condução eficiente das operações. Esta disposição não é consistente com qualquer PSC adotado no mundo.</w:t>
            </w:r>
          </w:p>
        </w:tc>
      </w:tr>
      <w:tr w:rsidR="00BA709C" w:rsidRPr="00054F04" w14:paraId="2CDD5344" w14:textId="77777777" w:rsidTr="00864380">
        <w:trPr>
          <w:trHeight w:val="2268"/>
        </w:trPr>
        <w:tc>
          <w:tcPr>
            <w:tcW w:w="529" w:type="pct"/>
            <w:vAlign w:val="center"/>
          </w:tcPr>
          <w:p w14:paraId="343801FA" w14:textId="77777777" w:rsidR="00BA709C" w:rsidRPr="00054F04" w:rsidRDefault="00BA709C" w:rsidP="00BA709C">
            <w:pPr>
              <w:pStyle w:val="Caption"/>
              <w:spacing w:before="120" w:after="120"/>
              <w:jc w:val="center"/>
              <w:rPr>
                <w:rFonts w:cs="Arial"/>
                <w:color w:val="000000" w:themeColor="text1"/>
                <w:sz w:val="22"/>
                <w:szCs w:val="22"/>
              </w:rPr>
            </w:pPr>
            <w:r>
              <w:rPr>
                <w:rFonts w:cs="Arial"/>
                <w:color w:val="000000" w:themeColor="text1"/>
                <w:sz w:val="22"/>
                <w:szCs w:val="22"/>
              </w:rPr>
              <w:t>Minuta do contrato</w:t>
            </w:r>
          </w:p>
        </w:tc>
        <w:tc>
          <w:tcPr>
            <w:tcW w:w="682" w:type="pct"/>
            <w:vAlign w:val="center"/>
          </w:tcPr>
          <w:p w14:paraId="63B0B5D3" w14:textId="77777777" w:rsidR="00BA709C" w:rsidRPr="00054F04" w:rsidRDefault="00BA709C" w:rsidP="00BA709C">
            <w:pPr>
              <w:pStyle w:val="Caption"/>
              <w:spacing w:before="120" w:after="120"/>
              <w:jc w:val="center"/>
              <w:rPr>
                <w:rFonts w:cs="Arial"/>
                <w:color w:val="000000" w:themeColor="text1"/>
                <w:sz w:val="22"/>
                <w:szCs w:val="22"/>
              </w:rPr>
            </w:pPr>
            <w:r>
              <w:rPr>
                <w:rFonts w:cs="Arial"/>
                <w:color w:val="000000" w:themeColor="text1"/>
                <w:sz w:val="22"/>
                <w:szCs w:val="22"/>
              </w:rPr>
              <w:t>Inclusão</w:t>
            </w:r>
          </w:p>
        </w:tc>
        <w:tc>
          <w:tcPr>
            <w:tcW w:w="513" w:type="pct"/>
            <w:vAlign w:val="center"/>
          </w:tcPr>
          <w:p w14:paraId="0D3C4FF9" w14:textId="77777777" w:rsidR="00BA709C" w:rsidRDefault="00BA709C" w:rsidP="00BA709C">
            <w:pPr>
              <w:pStyle w:val="Caption"/>
              <w:spacing w:before="120" w:after="120"/>
              <w:jc w:val="center"/>
              <w:rPr>
                <w:rFonts w:cs="Arial"/>
                <w:color w:val="000000" w:themeColor="text1"/>
                <w:sz w:val="22"/>
                <w:szCs w:val="22"/>
              </w:rPr>
            </w:pPr>
            <w:r>
              <w:rPr>
                <w:rFonts w:cs="Arial"/>
                <w:color w:val="000000" w:themeColor="text1"/>
                <w:sz w:val="22"/>
                <w:szCs w:val="22"/>
              </w:rPr>
              <w:t>Anexo XI</w:t>
            </w:r>
          </w:p>
          <w:p w14:paraId="5DD4C1A5" w14:textId="77777777" w:rsidR="00BA709C" w:rsidRPr="00664DB0" w:rsidRDefault="00BA709C" w:rsidP="00BA709C">
            <w:r>
              <w:rPr>
                <w:rFonts w:ascii="Arial" w:hAnsi="Arial" w:cs="Arial"/>
                <w:color w:val="000000" w:themeColor="text1"/>
                <w:sz w:val="22"/>
                <w:szCs w:val="22"/>
              </w:rPr>
              <w:t>(</w:t>
            </w:r>
            <w:r w:rsidRPr="00664DB0">
              <w:rPr>
                <w:rFonts w:ascii="Arial" w:hAnsi="Arial" w:cs="Arial"/>
                <w:color w:val="000000" w:themeColor="text1"/>
                <w:sz w:val="22"/>
                <w:szCs w:val="22"/>
              </w:rPr>
              <w:t>Item 4.2(e)</w:t>
            </w:r>
            <w:r>
              <w:rPr>
                <w:rFonts w:ascii="Arial" w:hAnsi="Arial" w:cs="Arial"/>
                <w:color w:val="000000" w:themeColor="text1"/>
                <w:sz w:val="22"/>
                <w:szCs w:val="22"/>
              </w:rPr>
              <w:t>)</w:t>
            </w:r>
          </w:p>
        </w:tc>
        <w:tc>
          <w:tcPr>
            <w:tcW w:w="1832" w:type="pct"/>
            <w:vAlign w:val="center"/>
          </w:tcPr>
          <w:p w14:paraId="4615CE01" w14:textId="77777777" w:rsidR="00BA709C" w:rsidRPr="00054F04" w:rsidRDefault="00BA709C" w:rsidP="00BA709C">
            <w:pPr>
              <w:pStyle w:val="Contrato-Clausula-Nvel2-1dezena"/>
              <w:spacing w:before="120" w:after="120"/>
              <w:ind w:left="0" w:firstLine="0"/>
              <w:jc w:val="left"/>
              <w:rPr>
                <w:rFonts w:cs="Arial"/>
                <w:szCs w:val="22"/>
              </w:rPr>
            </w:pPr>
            <w:r>
              <w:rPr>
                <w:rFonts w:cs="Arial"/>
                <w:szCs w:val="22"/>
              </w:rPr>
              <w:t>Declaração de Comercialidade de Descoberta; e</w:t>
            </w:r>
          </w:p>
        </w:tc>
        <w:tc>
          <w:tcPr>
            <w:tcW w:w="1444" w:type="pct"/>
            <w:vAlign w:val="center"/>
          </w:tcPr>
          <w:p w14:paraId="4D8CC7E4" w14:textId="77777777" w:rsidR="00BA709C" w:rsidRPr="00054F04" w:rsidRDefault="00BA709C" w:rsidP="00BA709C">
            <w:pPr>
              <w:spacing w:before="120" w:after="120"/>
              <w:rPr>
                <w:rFonts w:ascii="Arial" w:hAnsi="Arial" w:cs="Arial"/>
                <w:color w:val="000000" w:themeColor="text1"/>
                <w:sz w:val="22"/>
                <w:szCs w:val="22"/>
              </w:rPr>
            </w:pPr>
            <w:r>
              <w:rPr>
                <w:rFonts w:ascii="Arial" w:hAnsi="Arial" w:cs="Arial"/>
                <w:color w:val="000000" w:themeColor="text1"/>
                <w:sz w:val="22"/>
                <w:szCs w:val="22"/>
              </w:rPr>
              <w:t>A inclusão deste tipo de atividade como operação com risco exclusivo é prática comum da indústria e garante que o desenvolvimento da descoberta possa prosseguir mesmo que o quórum mínimo de aprovação no Comitê Operacional não seja atingido.</w:t>
            </w:r>
          </w:p>
        </w:tc>
      </w:tr>
      <w:tr w:rsidR="00BA709C" w:rsidRPr="00054F04" w14:paraId="1F1DE7BF" w14:textId="77777777" w:rsidTr="00864380">
        <w:trPr>
          <w:trHeight w:val="2268"/>
        </w:trPr>
        <w:tc>
          <w:tcPr>
            <w:tcW w:w="529" w:type="pct"/>
            <w:vAlign w:val="center"/>
          </w:tcPr>
          <w:p w14:paraId="41D01E96" w14:textId="77777777" w:rsidR="00BA709C" w:rsidRDefault="00BA709C" w:rsidP="00BA709C">
            <w:pPr>
              <w:pStyle w:val="Caption"/>
              <w:spacing w:before="120" w:after="120"/>
              <w:jc w:val="center"/>
              <w:rPr>
                <w:rFonts w:cs="Arial"/>
                <w:color w:val="000000" w:themeColor="text1"/>
                <w:sz w:val="22"/>
                <w:szCs w:val="22"/>
              </w:rPr>
            </w:pPr>
            <w:r>
              <w:rPr>
                <w:rFonts w:cs="Arial"/>
                <w:color w:val="000000" w:themeColor="text1"/>
                <w:sz w:val="22"/>
                <w:szCs w:val="22"/>
              </w:rPr>
              <w:lastRenderedPageBreak/>
              <w:t>Minuta do contrato</w:t>
            </w:r>
          </w:p>
        </w:tc>
        <w:tc>
          <w:tcPr>
            <w:tcW w:w="682" w:type="pct"/>
            <w:vAlign w:val="center"/>
          </w:tcPr>
          <w:p w14:paraId="683233E3" w14:textId="77777777" w:rsidR="00BA709C" w:rsidRDefault="00BA709C" w:rsidP="00BA709C">
            <w:pPr>
              <w:pStyle w:val="Caption"/>
              <w:spacing w:before="120" w:after="120"/>
              <w:jc w:val="center"/>
              <w:rPr>
                <w:rFonts w:cs="Arial"/>
                <w:color w:val="000000" w:themeColor="text1"/>
                <w:sz w:val="22"/>
                <w:szCs w:val="22"/>
              </w:rPr>
            </w:pPr>
            <w:r>
              <w:rPr>
                <w:rFonts w:cs="Arial"/>
                <w:color w:val="000000" w:themeColor="text1"/>
                <w:sz w:val="22"/>
                <w:szCs w:val="22"/>
              </w:rPr>
              <w:t>Inclusão</w:t>
            </w:r>
          </w:p>
        </w:tc>
        <w:tc>
          <w:tcPr>
            <w:tcW w:w="513" w:type="pct"/>
            <w:vAlign w:val="center"/>
          </w:tcPr>
          <w:p w14:paraId="68FD6BAC" w14:textId="77777777" w:rsidR="00BA709C" w:rsidRDefault="00BA709C" w:rsidP="00BA709C">
            <w:pPr>
              <w:pStyle w:val="Caption"/>
              <w:spacing w:before="120" w:after="120"/>
              <w:jc w:val="center"/>
              <w:rPr>
                <w:rFonts w:cs="Arial"/>
                <w:color w:val="000000" w:themeColor="text1"/>
                <w:sz w:val="22"/>
                <w:szCs w:val="22"/>
              </w:rPr>
            </w:pPr>
            <w:r>
              <w:rPr>
                <w:rFonts w:cs="Arial"/>
                <w:color w:val="000000" w:themeColor="text1"/>
                <w:sz w:val="22"/>
                <w:szCs w:val="22"/>
              </w:rPr>
              <w:t>Anexo XI</w:t>
            </w:r>
          </w:p>
          <w:p w14:paraId="5D188803" w14:textId="77777777" w:rsidR="00BA709C" w:rsidRDefault="00BA709C" w:rsidP="00BA709C">
            <w:pPr>
              <w:pStyle w:val="Caption"/>
              <w:spacing w:before="120" w:after="120"/>
              <w:jc w:val="center"/>
              <w:rPr>
                <w:rFonts w:cs="Arial"/>
                <w:color w:val="000000" w:themeColor="text1"/>
                <w:sz w:val="22"/>
                <w:szCs w:val="22"/>
              </w:rPr>
            </w:pPr>
            <w:r>
              <w:rPr>
                <w:rFonts w:cs="Arial"/>
                <w:color w:val="000000" w:themeColor="text1"/>
                <w:sz w:val="22"/>
                <w:szCs w:val="22"/>
              </w:rPr>
              <w:t>(Item 4.2(f</w:t>
            </w:r>
            <w:r w:rsidRPr="00664DB0">
              <w:rPr>
                <w:rFonts w:cs="Arial"/>
                <w:color w:val="000000" w:themeColor="text1"/>
                <w:sz w:val="22"/>
                <w:szCs w:val="22"/>
              </w:rPr>
              <w:t>)</w:t>
            </w:r>
            <w:r>
              <w:rPr>
                <w:rFonts w:cs="Arial"/>
                <w:color w:val="000000" w:themeColor="text1"/>
                <w:sz w:val="22"/>
                <w:szCs w:val="22"/>
              </w:rPr>
              <w:t>)</w:t>
            </w:r>
          </w:p>
        </w:tc>
        <w:tc>
          <w:tcPr>
            <w:tcW w:w="1832" w:type="pct"/>
            <w:vAlign w:val="center"/>
          </w:tcPr>
          <w:p w14:paraId="1126D5D3" w14:textId="77777777" w:rsidR="00BA709C" w:rsidRDefault="00BA709C" w:rsidP="00BA709C">
            <w:pPr>
              <w:pStyle w:val="Contrato-Clausula-Nvel2-1dezena"/>
              <w:spacing w:before="120" w:after="120"/>
              <w:ind w:left="0" w:firstLine="0"/>
              <w:jc w:val="left"/>
              <w:rPr>
                <w:rFonts w:cs="Arial"/>
                <w:szCs w:val="22"/>
              </w:rPr>
            </w:pPr>
            <w:r>
              <w:rPr>
                <w:rFonts w:cs="Arial"/>
                <w:szCs w:val="22"/>
              </w:rPr>
              <w:t xml:space="preserve">Desenvolvimento de e produção a partir de </w:t>
            </w:r>
            <w:r w:rsidRPr="00F80692">
              <w:rPr>
                <w:rFonts w:cs="Arial"/>
                <w:szCs w:val="22"/>
              </w:rPr>
              <w:t>Descoberta Comercial.</w:t>
            </w:r>
          </w:p>
        </w:tc>
        <w:tc>
          <w:tcPr>
            <w:tcW w:w="1444" w:type="pct"/>
            <w:vAlign w:val="center"/>
          </w:tcPr>
          <w:p w14:paraId="19E5C75D" w14:textId="77777777" w:rsidR="00BA709C" w:rsidRDefault="00BA709C" w:rsidP="00BA709C">
            <w:pPr>
              <w:spacing w:before="120" w:after="120"/>
              <w:rPr>
                <w:rFonts w:ascii="Arial" w:hAnsi="Arial" w:cs="Arial"/>
                <w:color w:val="000000" w:themeColor="text1"/>
                <w:sz w:val="22"/>
                <w:szCs w:val="22"/>
              </w:rPr>
            </w:pPr>
            <w:r>
              <w:rPr>
                <w:rFonts w:ascii="Arial" w:hAnsi="Arial" w:cs="Arial"/>
                <w:color w:val="000000" w:themeColor="text1"/>
                <w:sz w:val="22"/>
                <w:szCs w:val="22"/>
              </w:rPr>
              <w:t>A inclusão deste tipo de atividade como operação com risco exclusivo é prática comum da indústria e garante que o desenvolvimento da descoberta possa prosseguir mesmo que o quórum mínimo de aprovação no Comitê Operacional não seja atingido.</w:t>
            </w:r>
          </w:p>
        </w:tc>
      </w:tr>
    </w:tbl>
    <w:p w14:paraId="59503D43" w14:textId="77777777" w:rsidR="00764EB1" w:rsidRPr="00054F04" w:rsidRDefault="00764EB1" w:rsidP="004D421E">
      <w:pPr>
        <w:pStyle w:val="Caption"/>
        <w:spacing w:line="360" w:lineRule="auto"/>
        <w:jc w:val="both"/>
        <w:rPr>
          <w:rFonts w:cs="Arial"/>
          <w:sz w:val="22"/>
          <w:szCs w:val="22"/>
          <w:u w:val="single"/>
        </w:rPr>
      </w:pPr>
    </w:p>
    <w:sectPr w:rsidR="00764EB1" w:rsidRPr="00054F04" w:rsidSect="00FB378C">
      <w:headerReference w:type="default" r:id="rId12"/>
      <w:footerReference w:type="default" r:id="rId13"/>
      <w:headerReference w:type="first" r:id="rId14"/>
      <w:footerReference w:type="first" r:id="rId15"/>
      <w:pgSz w:w="16840" w:h="11907" w:orient="landscape" w:code="9"/>
      <w:pgMar w:top="1077" w:right="1440" w:bottom="992" w:left="1440" w:header="51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A7A008" w14:textId="77777777" w:rsidR="009A72DC" w:rsidRDefault="009A72DC" w:rsidP="00842086">
      <w:r>
        <w:separator/>
      </w:r>
    </w:p>
  </w:endnote>
  <w:endnote w:type="continuationSeparator" w:id="0">
    <w:p w14:paraId="569B48AD" w14:textId="77777777" w:rsidR="009A72DC" w:rsidRDefault="009A72DC" w:rsidP="008420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D53EA5" w14:textId="77777777" w:rsidR="009A72DC" w:rsidRDefault="009A72DC">
    <w:pPr>
      <w:pStyle w:val="Footer"/>
      <w:jc w:val="right"/>
    </w:pPr>
    <w:r>
      <w:fldChar w:fldCharType="begin"/>
    </w:r>
    <w:r>
      <w:instrText xml:space="preserve"> PAGE   \* MERGEFORMAT </w:instrText>
    </w:r>
    <w:r>
      <w:fldChar w:fldCharType="separate"/>
    </w:r>
    <w:r w:rsidR="0094236C">
      <w:rPr>
        <w:noProof/>
      </w:rPr>
      <w:t>2</w:t>
    </w:r>
    <w:r>
      <w:fldChar w:fldCharType="end"/>
    </w:r>
  </w:p>
  <w:p w14:paraId="519536DE" w14:textId="77777777" w:rsidR="0094236C" w:rsidRDefault="009A72DC" w:rsidP="00104FBA">
    <w:pPr>
      <w:pStyle w:val="Footer"/>
      <w:rPr>
        <w:rFonts w:ascii="Tahoma" w:hAnsi="Tahoma" w:cs="Tahoma"/>
        <w:sz w:val="12"/>
      </w:rPr>
    </w:pPr>
    <w:r>
      <w:rPr>
        <w:rFonts w:ascii="Tahoma" w:hAnsi="Tahoma" w:cs="Tahoma"/>
        <w:sz w:val="12"/>
      </w:rPr>
      <w:fldChar w:fldCharType="begin"/>
    </w:r>
    <w:r>
      <w:rPr>
        <w:rFonts w:ascii="Tahoma" w:hAnsi="Tahoma" w:cs="Tahoma"/>
        <w:sz w:val="12"/>
      </w:rPr>
      <w:instrText xml:space="preserve"> DOCPROPERTY "iManageFooter"  \* MERGEFORMAT </w:instrText>
    </w:r>
    <w:r>
      <w:rPr>
        <w:rFonts w:ascii="Tahoma" w:hAnsi="Tahoma" w:cs="Tahoma"/>
        <w:sz w:val="12"/>
      </w:rPr>
      <w:fldChar w:fldCharType="separate"/>
    </w:r>
  </w:p>
  <w:p w14:paraId="710228E5" w14:textId="4600317A" w:rsidR="009A72DC" w:rsidRPr="00FC51FA" w:rsidRDefault="0094236C" w:rsidP="00FC51FA">
    <w:pPr>
      <w:pStyle w:val="Footer"/>
      <w:rPr>
        <w:rFonts w:ascii="Tahoma" w:hAnsi="Tahoma" w:cs="Tahoma"/>
        <w:sz w:val="12"/>
      </w:rPr>
    </w:pPr>
    <w:r>
      <w:rPr>
        <w:rFonts w:ascii="Tahoma" w:hAnsi="Tahoma" w:cs="Tahoma"/>
        <w:sz w:val="12"/>
      </w:rPr>
      <w:t xml:space="preserve">RJ - 2826773v1 </w:t>
    </w:r>
    <w:r w:rsidR="009A72DC">
      <w:rPr>
        <w:rFonts w:ascii="Tahoma" w:hAnsi="Tahoma" w:cs="Tahoma"/>
        <w:sz w:val="1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109337" w14:textId="77777777" w:rsidR="009A72DC" w:rsidRDefault="009A72DC">
    <w:pPr>
      <w:pStyle w:val="Footer"/>
      <w:jc w:val="right"/>
    </w:pPr>
    <w:r>
      <w:fldChar w:fldCharType="begin"/>
    </w:r>
    <w:r>
      <w:instrText xml:space="preserve"> PAGE   \* MERGEFORMAT </w:instrText>
    </w:r>
    <w:r>
      <w:fldChar w:fldCharType="separate"/>
    </w:r>
    <w:r w:rsidR="0094236C">
      <w:rPr>
        <w:noProof/>
      </w:rPr>
      <w:t>1</w:t>
    </w:r>
    <w:r>
      <w:fldChar w:fldCharType="end"/>
    </w:r>
  </w:p>
  <w:p w14:paraId="62EC687D" w14:textId="77777777" w:rsidR="009A72DC" w:rsidRDefault="009A72D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21AC81" w14:textId="77777777" w:rsidR="009A72DC" w:rsidRDefault="009A72DC" w:rsidP="00842086">
      <w:r>
        <w:separator/>
      </w:r>
    </w:p>
  </w:footnote>
  <w:footnote w:type="continuationSeparator" w:id="0">
    <w:p w14:paraId="487DD693" w14:textId="77777777" w:rsidR="009A72DC" w:rsidRDefault="009A72DC" w:rsidP="008420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C429F6" w14:textId="77777777" w:rsidR="009A72DC" w:rsidRDefault="009A72DC" w:rsidP="00842086">
    <w:pPr>
      <w:pStyle w:val="Header"/>
      <w:tabs>
        <w:tab w:val="clear" w:pos="8504"/>
        <w:tab w:val="right" w:pos="9923"/>
      </w:tabs>
      <w:ind w:left="-142"/>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39" w:type="pct"/>
      <w:tblBorders>
        <w:top w:val="single" w:sz="4" w:space="0" w:color="808080" w:themeColor="background1" w:themeShade="80"/>
        <w:bottom w:val="single" w:sz="4" w:space="0" w:color="808080" w:themeColor="background1" w:themeShade="80"/>
      </w:tblBorders>
      <w:tblLayout w:type="fixed"/>
      <w:tblLook w:val="04A0" w:firstRow="1" w:lastRow="0" w:firstColumn="1" w:lastColumn="0" w:noHBand="0" w:noVBand="1"/>
    </w:tblPr>
    <w:tblGrid>
      <w:gridCol w:w="8064"/>
      <w:gridCol w:w="6005"/>
    </w:tblGrid>
    <w:tr w:rsidR="009A72DC" w:rsidRPr="00B27481" w14:paraId="34AC3B71" w14:textId="77777777" w:rsidTr="003967EB">
      <w:tc>
        <w:tcPr>
          <w:tcW w:w="2866" w:type="pct"/>
          <w:tcBorders>
            <w:top w:val="single" w:sz="4" w:space="0" w:color="808080" w:themeColor="background1" w:themeShade="80"/>
            <w:bottom w:val="single" w:sz="4" w:space="0" w:color="808080" w:themeColor="background1" w:themeShade="80"/>
          </w:tcBorders>
          <w:vAlign w:val="center"/>
        </w:tcPr>
        <w:p w14:paraId="2B2FCD94" w14:textId="77777777" w:rsidR="009A72DC" w:rsidRPr="0036380F" w:rsidRDefault="009A72DC" w:rsidP="003967EB">
          <w:pPr>
            <w:pStyle w:val="Header"/>
            <w:spacing w:before="240" w:after="240"/>
            <w:rPr>
              <w:rFonts w:ascii="Arial" w:hAnsi="Arial" w:cs="Arial"/>
              <w:sz w:val="24"/>
              <w:szCs w:val="24"/>
            </w:rPr>
          </w:pPr>
          <w:r w:rsidRPr="00A51516">
            <w:rPr>
              <w:rFonts w:ascii="Arial" w:hAnsi="Arial" w:cs="Arial"/>
              <w:noProof/>
              <w:sz w:val="24"/>
              <w:szCs w:val="24"/>
              <w:lang w:val="en-US" w:eastAsia="en-US"/>
            </w:rPr>
            <w:drawing>
              <wp:inline distT="0" distB="0" distL="0" distR="0" wp14:anchorId="10206948" wp14:editId="649A4C1A">
                <wp:extent cx="2242185" cy="914400"/>
                <wp:effectExtent l="0" t="0" r="0" b="0"/>
                <wp:docPr id="3" name="Imagem 0" descr="testei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0" descr="testeir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2185" cy="914400"/>
                        </a:xfrm>
                        <a:prstGeom prst="rect">
                          <a:avLst/>
                        </a:prstGeom>
                        <a:noFill/>
                        <a:ln>
                          <a:noFill/>
                        </a:ln>
                      </pic:spPr>
                    </pic:pic>
                  </a:graphicData>
                </a:graphic>
              </wp:inline>
            </w:drawing>
          </w:r>
        </w:p>
      </w:tc>
      <w:tc>
        <w:tcPr>
          <w:tcW w:w="2134" w:type="pct"/>
          <w:tcBorders>
            <w:top w:val="single" w:sz="4" w:space="0" w:color="808080" w:themeColor="background1" w:themeShade="80"/>
            <w:bottom w:val="single" w:sz="4" w:space="0" w:color="808080" w:themeColor="background1" w:themeShade="80"/>
          </w:tcBorders>
          <w:vAlign w:val="center"/>
        </w:tcPr>
        <w:p w14:paraId="63EE719E" w14:textId="4C503415" w:rsidR="009A72DC" w:rsidRPr="00B27481" w:rsidRDefault="009A72DC" w:rsidP="00B27481">
          <w:pPr>
            <w:pStyle w:val="Header"/>
            <w:spacing w:before="240" w:after="240"/>
            <w:jc w:val="right"/>
            <w:rPr>
              <w:rFonts w:ascii="Arial" w:hAnsi="Arial" w:cs="Arial"/>
              <w:b/>
              <w:sz w:val="28"/>
              <w:szCs w:val="28"/>
            </w:rPr>
          </w:pPr>
          <w:r w:rsidRPr="00B27481">
            <w:rPr>
              <w:rFonts w:ascii="Arial" w:hAnsi="Arial" w:cs="Arial"/>
              <w:b/>
              <w:sz w:val="28"/>
              <w:szCs w:val="28"/>
            </w:rPr>
            <w:t xml:space="preserve">CONSULTA PÚBLICA Nº </w:t>
          </w:r>
          <w:r>
            <w:rPr>
              <w:rFonts w:ascii="Arial" w:hAnsi="Arial" w:cs="Arial"/>
              <w:b/>
              <w:sz w:val="28"/>
              <w:szCs w:val="28"/>
            </w:rPr>
            <w:t>1</w:t>
          </w:r>
          <w:r w:rsidR="00D827A1">
            <w:rPr>
              <w:rFonts w:ascii="Arial" w:hAnsi="Arial" w:cs="Arial"/>
              <w:b/>
              <w:sz w:val="28"/>
              <w:szCs w:val="28"/>
            </w:rPr>
            <w:t>5</w:t>
          </w:r>
          <w:r w:rsidRPr="00B27481">
            <w:rPr>
              <w:rFonts w:ascii="Arial" w:hAnsi="Arial" w:cs="Arial"/>
              <w:b/>
              <w:sz w:val="28"/>
              <w:szCs w:val="28"/>
            </w:rPr>
            <w:t>/201</w:t>
          </w:r>
          <w:r>
            <w:rPr>
              <w:rFonts w:ascii="Arial" w:hAnsi="Arial" w:cs="Arial"/>
              <w:b/>
              <w:sz w:val="28"/>
              <w:szCs w:val="28"/>
            </w:rPr>
            <w:t>8</w:t>
          </w:r>
        </w:p>
        <w:p w14:paraId="4D89A5D8" w14:textId="77777777" w:rsidR="009A72DC" w:rsidRPr="00B27481" w:rsidRDefault="009A72DC" w:rsidP="00B27481">
          <w:pPr>
            <w:pStyle w:val="Header"/>
            <w:spacing w:before="240" w:after="240"/>
            <w:jc w:val="right"/>
            <w:rPr>
              <w:rFonts w:ascii="Arial" w:hAnsi="Arial" w:cs="Arial"/>
              <w:sz w:val="28"/>
              <w:szCs w:val="28"/>
            </w:rPr>
          </w:pPr>
          <w:r w:rsidRPr="00B27481">
            <w:rPr>
              <w:rFonts w:ascii="Arial" w:hAnsi="Arial" w:cs="Arial"/>
              <w:sz w:val="28"/>
              <w:szCs w:val="28"/>
            </w:rPr>
            <w:t>Formulário de comentários e sugestões</w:t>
          </w:r>
        </w:p>
      </w:tc>
    </w:tr>
  </w:tbl>
  <w:p w14:paraId="4E712E13" w14:textId="77777777" w:rsidR="009A72DC" w:rsidRDefault="009A72D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D26928"/>
    <w:multiLevelType w:val="multilevel"/>
    <w:tmpl w:val="6D189E18"/>
    <w:lvl w:ilvl="0">
      <w:start w:val="1"/>
      <w:numFmt w:val="decimal"/>
      <w:pStyle w:val="Contrato-Clausula"/>
      <w:lvlText w:val="%1"/>
      <w:lvlJc w:val="left"/>
      <w:pPr>
        <w:ind w:left="360" w:hanging="360"/>
      </w:pPr>
      <w:rPr>
        <w:rFonts w:hint="default"/>
        <w:color w:val="FFFFFF" w:themeColor="background1"/>
      </w:rPr>
    </w:lvl>
    <w:lvl w:ilvl="1">
      <w:start w:val="1"/>
      <w:numFmt w:val="decimal"/>
      <w:pStyle w:val="Contrato-Pargrafo-Nvel2"/>
      <w:lvlText w:val="%1.%2."/>
      <w:lvlJc w:val="left"/>
      <w:pPr>
        <w:ind w:left="432" w:hanging="432"/>
      </w:pPr>
      <w:rPr>
        <w:rFonts w:hint="default"/>
      </w:rPr>
    </w:lvl>
    <w:lvl w:ilvl="2">
      <w:start w:val="1"/>
      <w:numFmt w:val="decimal"/>
      <w:pStyle w:val="Contrato-Pargrafo-Nvel3"/>
      <w:lvlText w:val="%1.%2.%3."/>
      <w:lvlJc w:val="left"/>
      <w:pPr>
        <w:ind w:left="1638" w:hanging="504"/>
      </w:pPr>
      <w:rPr>
        <w:rFonts w:hint="default"/>
        <w:sz w:val="22"/>
        <w:szCs w:val="22"/>
      </w:rPr>
    </w:lvl>
    <w:lvl w:ilvl="3">
      <w:start w:val="1"/>
      <w:numFmt w:val="decimal"/>
      <w:pStyle w:val="Contrato-Pargrafo-Nvel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F023753"/>
    <w:multiLevelType w:val="hybridMultilevel"/>
    <w:tmpl w:val="53A432EA"/>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26A2454B"/>
    <w:multiLevelType w:val="hybridMultilevel"/>
    <w:tmpl w:val="131C915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362C7D40"/>
    <w:multiLevelType w:val="hybridMultilevel"/>
    <w:tmpl w:val="96D4D1E2"/>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4" w15:restartNumberingAfterBreak="0">
    <w:nsid w:val="4B7E63B9"/>
    <w:multiLevelType w:val="hybridMultilevel"/>
    <w:tmpl w:val="0486D77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4D6D0D45"/>
    <w:multiLevelType w:val="multilevel"/>
    <w:tmpl w:val="73282A80"/>
    <w:lvl w:ilvl="0">
      <w:start w:val="1"/>
      <w:numFmt w:val="decimal"/>
      <w:lvlText w:val="%1."/>
      <w:lvlJc w:val="left"/>
      <w:pPr>
        <w:tabs>
          <w:tab w:val="num" w:pos="720"/>
        </w:tabs>
        <w:ind w:left="720" w:hanging="720"/>
      </w:pPr>
    </w:lvl>
    <w:lvl w:ilvl="1">
      <w:start w:val="1"/>
      <w:numFmt w:val="decimal"/>
      <w:pStyle w:val="Contrato-Pargrafo-Nvel2-2Dezenas"/>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4DFE528F"/>
    <w:multiLevelType w:val="hybridMultilevel"/>
    <w:tmpl w:val="12602FF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5EE23EF2"/>
    <w:multiLevelType w:val="multilevel"/>
    <w:tmpl w:val="1E309594"/>
    <w:lvl w:ilvl="0">
      <w:start w:val="1"/>
      <w:numFmt w:val="upperRoman"/>
      <w:pStyle w:val="CTO-TtCap"/>
      <w:suff w:val="nothing"/>
      <w:lvlText w:val="CAPÍTULO %1 - "/>
      <w:lvlJc w:val="center"/>
      <w:pPr>
        <w:ind w:left="0" w:firstLine="0"/>
      </w:pPr>
      <w:rPr>
        <w:rFonts w:ascii="Arial" w:hAnsi="Arial" w:hint="default"/>
        <w:caps/>
        <w:sz w:val="22"/>
      </w:rPr>
    </w:lvl>
    <w:lvl w:ilvl="1">
      <w:start w:val="1"/>
      <w:numFmt w:val="decimal"/>
      <w:lvlRestart w:val="0"/>
      <w:pStyle w:val="CTO-NumClau"/>
      <w:suff w:val="nothing"/>
      <w:lvlText w:val="%2 "/>
      <w:lvlJc w:val="center"/>
      <w:pPr>
        <w:ind w:left="0" w:firstLine="0"/>
      </w:pPr>
      <w:rPr>
        <w:rFonts w:ascii="Arial" w:hAnsi="Arial" w:hint="default"/>
        <w:caps w:val="0"/>
        <w:color w:val="FFFFFF"/>
        <w:sz w:val="24"/>
      </w:rPr>
    </w:lvl>
    <w:lvl w:ilvl="2">
      <w:start w:val="1"/>
      <w:numFmt w:val="decimal"/>
      <w:pStyle w:val="CTO-TxtClau"/>
      <w:isLgl/>
      <w:lvlText w:val="%2.%3"/>
      <w:lvlJc w:val="left"/>
      <w:pPr>
        <w:ind w:left="680" w:hanging="680"/>
      </w:pPr>
      <w:rPr>
        <w:rFonts w:hint="default"/>
        <w:b w:val="0"/>
        <w:sz w:val="20"/>
        <w:lang w:val="pt-BR"/>
      </w:rPr>
    </w:lvl>
    <w:lvl w:ilvl="3">
      <w:start w:val="1"/>
      <w:numFmt w:val="decimal"/>
      <w:pStyle w:val="CTOAsubpargrafo"/>
      <w:isLgl/>
      <w:lvlText w:val="%2.%3.%4"/>
      <w:lvlJc w:val="left"/>
      <w:pPr>
        <w:ind w:left="1844" w:hanging="851"/>
      </w:pPr>
      <w:rPr>
        <w:rFonts w:hint="default"/>
        <w:b w:val="0"/>
        <w:sz w:val="20"/>
        <w:lang w:val="pt-BR"/>
      </w:rPr>
    </w:lvl>
    <w:lvl w:ilvl="4">
      <w:start w:val="1"/>
      <w:numFmt w:val="lowerLetter"/>
      <w:lvlText w:val="(%5)"/>
      <w:lvlJc w:val="left"/>
      <w:pPr>
        <w:ind w:left="990" w:hanging="360"/>
      </w:pPr>
      <w:rPr>
        <w:rFonts w:hint="default"/>
        <w:b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715E05AB"/>
    <w:multiLevelType w:val="hybridMultilevel"/>
    <w:tmpl w:val="5ADAB46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7A44429A"/>
    <w:multiLevelType w:val="hybridMultilevel"/>
    <w:tmpl w:val="867A956A"/>
    <w:lvl w:ilvl="0" w:tplc="0416000F">
      <w:start w:val="1"/>
      <w:numFmt w:val="decimal"/>
      <w:lvlText w:val="%1."/>
      <w:lvlJc w:val="left"/>
      <w:pPr>
        <w:ind w:left="720" w:hanging="360"/>
      </w:pPr>
      <w:rPr>
        <w:rFonts w:cs="Times New Roman"/>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num w:numId="1">
    <w:abstractNumId w:val="9"/>
  </w:num>
  <w:num w:numId="2">
    <w:abstractNumId w:val="7"/>
  </w:num>
  <w:num w:numId="3">
    <w:abstractNumId w:val="7"/>
  </w:num>
  <w:num w:numId="4">
    <w:abstractNumId w:val="0"/>
  </w:num>
  <w:num w:numId="5">
    <w:abstractNumId w:val="2"/>
  </w:num>
  <w:num w:numId="6">
    <w:abstractNumId w:val="7"/>
  </w:num>
  <w:num w:numId="7">
    <w:abstractNumId w:val="0"/>
  </w:num>
  <w:num w:numId="8">
    <w:abstractNumId w:val="5"/>
  </w:num>
  <w:num w:numId="9">
    <w:abstractNumId w:val="1"/>
  </w:num>
  <w:num w:numId="10">
    <w:abstractNumId w:val="6"/>
  </w:num>
  <w:num w:numId="11">
    <w:abstractNumId w:val="8"/>
  </w:num>
  <w:num w:numId="12">
    <w:abstractNumId w:val="5"/>
  </w:num>
  <w:num w:numId="13">
    <w:abstractNumId w:val="4"/>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n-US" w:vendorID="64" w:dllVersion="131078" w:nlCheck="1" w:checkStyle="1"/>
  <w:proofState w:spelling="clean" w:grammar="clean"/>
  <w:defaultTabStop w:val="708"/>
  <w:hyphenationZone w:val="425"/>
  <w:drawingGridHorizontalSpacing w:val="10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2086"/>
    <w:rsid w:val="00006A74"/>
    <w:rsid w:val="00034B34"/>
    <w:rsid w:val="00054F04"/>
    <w:rsid w:val="000A7F7F"/>
    <w:rsid w:val="000C0815"/>
    <w:rsid w:val="000C0894"/>
    <w:rsid w:val="000C7143"/>
    <w:rsid w:val="000C7F3F"/>
    <w:rsid w:val="000D777B"/>
    <w:rsid w:val="000E6393"/>
    <w:rsid w:val="000F7304"/>
    <w:rsid w:val="00103946"/>
    <w:rsid w:val="00104FBA"/>
    <w:rsid w:val="00131645"/>
    <w:rsid w:val="001718B8"/>
    <w:rsid w:val="00171921"/>
    <w:rsid w:val="00193747"/>
    <w:rsid w:val="00193A26"/>
    <w:rsid w:val="00194BA8"/>
    <w:rsid w:val="001965B6"/>
    <w:rsid w:val="001B0976"/>
    <w:rsid w:val="001F4C38"/>
    <w:rsid w:val="00207CAB"/>
    <w:rsid w:val="002158EA"/>
    <w:rsid w:val="0022423B"/>
    <w:rsid w:val="00247237"/>
    <w:rsid w:val="0025354E"/>
    <w:rsid w:val="00256685"/>
    <w:rsid w:val="00264138"/>
    <w:rsid w:val="00272339"/>
    <w:rsid w:val="00296456"/>
    <w:rsid w:val="002A1E27"/>
    <w:rsid w:val="002B46D2"/>
    <w:rsid w:val="002E33A3"/>
    <w:rsid w:val="002F6EBB"/>
    <w:rsid w:val="00300B92"/>
    <w:rsid w:val="00314BDB"/>
    <w:rsid w:val="00325805"/>
    <w:rsid w:val="00327851"/>
    <w:rsid w:val="00327F69"/>
    <w:rsid w:val="003508AC"/>
    <w:rsid w:val="0035660D"/>
    <w:rsid w:val="0036380F"/>
    <w:rsid w:val="00371DFD"/>
    <w:rsid w:val="003804D1"/>
    <w:rsid w:val="003872E7"/>
    <w:rsid w:val="003917B4"/>
    <w:rsid w:val="003967EB"/>
    <w:rsid w:val="003B20ED"/>
    <w:rsid w:val="003B7B4E"/>
    <w:rsid w:val="003D5BFF"/>
    <w:rsid w:val="003D64CF"/>
    <w:rsid w:val="003D6CBE"/>
    <w:rsid w:val="0040140A"/>
    <w:rsid w:val="00412AA7"/>
    <w:rsid w:val="004516FE"/>
    <w:rsid w:val="00454686"/>
    <w:rsid w:val="00471ADB"/>
    <w:rsid w:val="00482FDC"/>
    <w:rsid w:val="004A005A"/>
    <w:rsid w:val="004A5A37"/>
    <w:rsid w:val="004B7788"/>
    <w:rsid w:val="004C0021"/>
    <w:rsid w:val="004C3266"/>
    <w:rsid w:val="004D421E"/>
    <w:rsid w:val="004F050F"/>
    <w:rsid w:val="00513E03"/>
    <w:rsid w:val="0051798F"/>
    <w:rsid w:val="00523AF4"/>
    <w:rsid w:val="00524057"/>
    <w:rsid w:val="00530492"/>
    <w:rsid w:val="0053167D"/>
    <w:rsid w:val="005600AD"/>
    <w:rsid w:val="005605C3"/>
    <w:rsid w:val="00562929"/>
    <w:rsid w:val="0056683F"/>
    <w:rsid w:val="00596641"/>
    <w:rsid w:val="005A11F5"/>
    <w:rsid w:val="005A66BD"/>
    <w:rsid w:val="005B0A21"/>
    <w:rsid w:val="005B3CEF"/>
    <w:rsid w:val="005B7D75"/>
    <w:rsid w:val="005C4925"/>
    <w:rsid w:val="005C5B4E"/>
    <w:rsid w:val="005D7856"/>
    <w:rsid w:val="00605710"/>
    <w:rsid w:val="00615003"/>
    <w:rsid w:val="00615A71"/>
    <w:rsid w:val="0062557C"/>
    <w:rsid w:val="00645338"/>
    <w:rsid w:val="00664DB0"/>
    <w:rsid w:val="00664F10"/>
    <w:rsid w:val="00667ED1"/>
    <w:rsid w:val="00670C1C"/>
    <w:rsid w:val="00675939"/>
    <w:rsid w:val="006D5D1D"/>
    <w:rsid w:val="006D754B"/>
    <w:rsid w:val="006E3142"/>
    <w:rsid w:val="006E7756"/>
    <w:rsid w:val="006E7FC3"/>
    <w:rsid w:val="006F0B7C"/>
    <w:rsid w:val="006F3664"/>
    <w:rsid w:val="007178AA"/>
    <w:rsid w:val="0072007B"/>
    <w:rsid w:val="0072285E"/>
    <w:rsid w:val="00732900"/>
    <w:rsid w:val="00734D4E"/>
    <w:rsid w:val="00750FF0"/>
    <w:rsid w:val="0075132F"/>
    <w:rsid w:val="00764EB1"/>
    <w:rsid w:val="007662D7"/>
    <w:rsid w:val="0076661F"/>
    <w:rsid w:val="007C0A74"/>
    <w:rsid w:val="007E2560"/>
    <w:rsid w:val="007F599F"/>
    <w:rsid w:val="007F7936"/>
    <w:rsid w:val="00820EE1"/>
    <w:rsid w:val="0083277E"/>
    <w:rsid w:val="00840D1D"/>
    <w:rsid w:val="00842086"/>
    <w:rsid w:val="008500E0"/>
    <w:rsid w:val="00854EE5"/>
    <w:rsid w:val="00864380"/>
    <w:rsid w:val="008675C5"/>
    <w:rsid w:val="00883495"/>
    <w:rsid w:val="00892A12"/>
    <w:rsid w:val="008A590E"/>
    <w:rsid w:val="008B3876"/>
    <w:rsid w:val="008E3F4D"/>
    <w:rsid w:val="008E45A0"/>
    <w:rsid w:val="008E7D7F"/>
    <w:rsid w:val="00901EAD"/>
    <w:rsid w:val="00913328"/>
    <w:rsid w:val="0092578B"/>
    <w:rsid w:val="009271A8"/>
    <w:rsid w:val="00932C2C"/>
    <w:rsid w:val="009403DB"/>
    <w:rsid w:val="0094236C"/>
    <w:rsid w:val="00944F5F"/>
    <w:rsid w:val="009464C2"/>
    <w:rsid w:val="0095237D"/>
    <w:rsid w:val="00961A77"/>
    <w:rsid w:val="009633A5"/>
    <w:rsid w:val="009703EF"/>
    <w:rsid w:val="009843C2"/>
    <w:rsid w:val="0099566E"/>
    <w:rsid w:val="009A539D"/>
    <w:rsid w:val="009A72DC"/>
    <w:rsid w:val="009B43B9"/>
    <w:rsid w:val="009C65E4"/>
    <w:rsid w:val="009C7E0A"/>
    <w:rsid w:val="009D750B"/>
    <w:rsid w:val="009E0C5E"/>
    <w:rsid w:val="009E5CD3"/>
    <w:rsid w:val="00A44B18"/>
    <w:rsid w:val="00A51516"/>
    <w:rsid w:val="00A54D9D"/>
    <w:rsid w:val="00A621DA"/>
    <w:rsid w:val="00A87A73"/>
    <w:rsid w:val="00A91CC2"/>
    <w:rsid w:val="00AA2038"/>
    <w:rsid w:val="00AC3176"/>
    <w:rsid w:val="00AC75F7"/>
    <w:rsid w:val="00AC7BE3"/>
    <w:rsid w:val="00AE02B1"/>
    <w:rsid w:val="00B13EFD"/>
    <w:rsid w:val="00B25C8F"/>
    <w:rsid w:val="00B27481"/>
    <w:rsid w:val="00B3758C"/>
    <w:rsid w:val="00B40F4C"/>
    <w:rsid w:val="00B43186"/>
    <w:rsid w:val="00B531C7"/>
    <w:rsid w:val="00B65208"/>
    <w:rsid w:val="00B929DD"/>
    <w:rsid w:val="00BA1E5F"/>
    <w:rsid w:val="00BA4C9C"/>
    <w:rsid w:val="00BA709C"/>
    <w:rsid w:val="00BC1BBC"/>
    <w:rsid w:val="00BE0221"/>
    <w:rsid w:val="00BE5B3A"/>
    <w:rsid w:val="00BF487B"/>
    <w:rsid w:val="00BF6D79"/>
    <w:rsid w:val="00C102D5"/>
    <w:rsid w:val="00C26A8B"/>
    <w:rsid w:val="00C44A37"/>
    <w:rsid w:val="00C57F32"/>
    <w:rsid w:val="00C85228"/>
    <w:rsid w:val="00C855A3"/>
    <w:rsid w:val="00CA289A"/>
    <w:rsid w:val="00CC2EB8"/>
    <w:rsid w:val="00CD1333"/>
    <w:rsid w:val="00CF02E6"/>
    <w:rsid w:val="00CF2944"/>
    <w:rsid w:val="00CF63C2"/>
    <w:rsid w:val="00D015B0"/>
    <w:rsid w:val="00D07D36"/>
    <w:rsid w:val="00D126EC"/>
    <w:rsid w:val="00D225FB"/>
    <w:rsid w:val="00D43D28"/>
    <w:rsid w:val="00D5590D"/>
    <w:rsid w:val="00D570D5"/>
    <w:rsid w:val="00D827A1"/>
    <w:rsid w:val="00E00883"/>
    <w:rsid w:val="00E05AB8"/>
    <w:rsid w:val="00E25052"/>
    <w:rsid w:val="00E32FCC"/>
    <w:rsid w:val="00E548B4"/>
    <w:rsid w:val="00E91A45"/>
    <w:rsid w:val="00EA1DC4"/>
    <w:rsid w:val="00ED28BC"/>
    <w:rsid w:val="00EF4AFC"/>
    <w:rsid w:val="00EF55D7"/>
    <w:rsid w:val="00F11FC7"/>
    <w:rsid w:val="00F219B4"/>
    <w:rsid w:val="00F34DFC"/>
    <w:rsid w:val="00F503A5"/>
    <w:rsid w:val="00F55574"/>
    <w:rsid w:val="00F63177"/>
    <w:rsid w:val="00F637D7"/>
    <w:rsid w:val="00F80692"/>
    <w:rsid w:val="00F86409"/>
    <w:rsid w:val="00FA6C32"/>
    <w:rsid w:val="00FA7129"/>
    <w:rsid w:val="00FB378C"/>
    <w:rsid w:val="00FC0344"/>
    <w:rsid w:val="00FC51FA"/>
    <w:rsid w:val="00FC6730"/>
    <w:rsid w:val="00FF5B9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2B188973"/>
  <w14:defaultImageDpi w14:val="96"/>
  <w15:docId w15:val="{8A87D310-A137-4670-8204-3FA64320A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pt-BR"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2086"/>
    <w:pPr>
      <w:jc w:val="left"/>
    </w:pPr>
    <w:rPr>
      <w:sz w:val="20"/>
      <w:szCs w:val="20"/>
      <w:lang w:eastAsia="pt-B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qFormat/>
    <w:rsid w:val="00842086"/>
    <w:rPr>
      <w:rFonts w:ascii="Arial" w:hAnsi="Arial"/>
      <w:sz w:val="24"/>
    </w:rPr>
  </w:style>
  <w:style w:type="table" w:styleId="TableGrid">
    <w:name w:val="Table Grid"/>
    <w:basedOn w:val="TableNormal"/>
    <w:uiPriority w:val="59"/>
    <w:rsid w:val="00842086"/>
    <w:pPr>
      <w:jc w:val="left"/>
    </w:pPr>
    <w:rPr>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42086"/>
    <w:pPr>
      <w:tabs>
        <w:tab w:val="center" w:pos="4252"/>
        <w:tab w:val="right" w:pos="8504"/>
      </w:tabs>
    </w:pPr>
  </w:style>
  <w:style w:type="character" w:customStyle="1" w:styleId="HeaderChar">
    <w:name w:val="Header Char"/>
    <w:basedOn w:val="DefaultParagraphFont"/>
    <w:link w:val="Header"/>
    <w:uiPriority w:val="99"/>
    <w:locked/>
    <w:rsid w:val="00842086"/>
    <w:rPr>
      <w:rFonts w:eastAsia="Times New Roman" w:cs="Times New Roman"/>
      <w:sz w:val="20"/>
      <w:szCs w:val="20"/>
      <w:lang w:val="x-none" w:eastAsia="pt-BR"/>
    </w:rPr>
  </w:style>
  <w:style w:type="paragraph" w:styleId="Footer">
    <w:name w:val="footer"/>
    <w:basedOn w:val="Normal"/>
    <w:link w:val="FooterChar"/>
    <w:uiPriority w:val="99"/>
    <w:unhideWhenUsed/>
    <w:rsid w:val="00842086"/>
    <w:pPr>
      <w:tabs>
        <w:tab w:val="center" w:pos="4252"/>
        <w:tab w:val="right" w:pos="8504"/>
      </w:tabs>
    </w:pPr>
  </w:style>
  <w:style w:type="character" w:customStyle="1" w:styleId="FooterChar">
    <w:name w:val="Footer Char"/>
    <w:basedOn w:val="DefaultParagraphFont"/>
    <w:link w:val="Footer"/>
    <w:uiPriority w:val="99"/>
    <w:locked/>
    <w:rsid w:val="00842086"/>
    <w:rPr>
      <w:rFonts w:eastAsia="Times New Roman" w:cs="Times New Roman"/>
      <w:sz w:val="20"/>
      <w:szCs w:val="20"/>
      <w:lang w:val="x-none" w:eastAsia="pt-BR"/>
    </w:rPr>
  </w:style>
  <w:style w:type="paragraph" w:styleId="BalloonText">
    <w:name w:val="Balloon Text"/>
    <w:basedOn w:val="Normal"/>
    <w:link w:val="BalloonTextChar"/>
    <w:uiPriority w:val="99"/>
    <w:semiHidden/>
    <w:unhideWhenUsed/>
    <w:rsid w:val="0084208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42086"/>
    <w:rPr>
      <w:rFonts w:ascii="Tahoma" w:hAnsi="Tahoma" w:cs="Tahoma"/>
      <w:sz w:val="16"/>
      <w:szCs w:val="16"/>
      <w:lang w:val="x-none" w:eastAsia="pt-BR"/>
    </w:rPr>
  </w:style>
  <w:style w:type="character" w:styleId="PlaceholderText">
    <w:name w:val="Placeholder Text"/>
    <w:basedOn w:val="DefaultParagraphFont"/>
    <w:uiPriority w:val="99"/>
    <w:semiHidden/>
    <w:rsid w:val="00A91CC2"/>
    <w:rPr>
      <w:rFonts w:cs="Times New Roman"/>
      <w:color w:val="808080"/>
    </w:rPr>
  </w:style>
  <w:style w:type="paragraph" w:styleId="FootnoteText">
    <w:name w:val="footnote text"/>
    <w:basedOn w:val="Normal"/>
    <w:link w:val="FootnoteTextChar"/>
    <w:uiPriority w:val="99"/>
    <w:semiHidden/>
    <w:unhideWhenUsed/>
    <w:rsid w:val="0040140A"/>
  </w:style>
  <w:style w:type="character" w:customStyle="1" w:styleId="FootnoteTextChar">
    <w:name w:val="Footnote Text Char"/>
    <w:basedOn w:val="DefaultParagraphFont"/>
    <w:link w:val="FootnoteText"/>
    <w:uiPriority w:val="99"/>
    <w:semiHidden/>
    <w:locked/>
    <w:rsid w:val="0040140A"/>
    <w:rPr>
      <w:rFonts w:eastAsia="Times New Roman" w:cs="Times New Roman"/>
      <w:sz w:val="20"/>
      <w:szCs w:val="20"/>
      <w:lang w:val="x-none" w:eastAsia="pt-BR"/>
    </w:rPr>
  </w:style>
  <w:style w:type="character" w:styleId="FootnoteReference">
    <w:name w:val="footnote reference"/>
    <w:basedOn w:val="DefaultParagraphFont"/>
    <w:uiPriority w:val="99"/>
    <w:semiHidden/>
    <w:unhideWhenUsed/>
    <w:rsid w:val="0040140A"/>
    <w:rPr>
      <w:rFonts w:cs="Times New Roman"/>
      <w:vertAlign w:val="superscript"/>
    </w:rPr>
  </w:style>
  <w:style w:type="paragraph" w:styleId="ListParagraph">
    <w:name w:val="List Paragraph"/>
    <w:basedOn w:val="Normal"/>
    <w:uiPriority w:val="34"/>
    <w:qFormat/>
    <w:rsid w:val="0036380F"/>
    <w:pPr>
      <w:ind w:left="720"/>
      <w:contextualSpacing/>
    </w:pPr>
  </w:style>
  <w:style w:type="character" w:styleId="Hyperlink">
    <w:name w:val="Hyperlink"/>
    <w:basedOn w:val="DefaultParagraphFont"/>
    <w:uiPriority w:val="99"/>
    <w:unhideWhenUsed/>
    <w:rsid w:val="00932C2C"/>
    <w:rPr>
      <w:rFonts w:cs="Times New Roman"/>
      <w:color w:val="0000FF" w:themeColor="hyperlink"/>
      <w:u w:val="single"/>
    </w:rPr>
  </w:style>
  <w:style w:type="paragraph" w:customStyle="1" w:styleId="CTO-TtCap">
    <w:name w:val="CTO - Tít. Cap."/>
    <w:basedOn w:val="Normal"/>
    <w:next w:val="CTO-NumClau"/>
    <w:qFormat/>
    <w:rsid w:val="00B531C7"/>
    <w:pPr>
      <w:pageBreakBefore/>
      <w:numPr>
        <w:numId w:val="2"/>
      </w:numPr>
      <w:spacing w:before="360" w:after="80"/>
      <w:jc w:val="center"/>
      <w:outlineLvl w:val="0"/>
    </w:pPr>
    <w:rPr>
      <w:rFonts w:ascii="Arial" w:hAnsi="Arial"/>
      <w:b/>
      <w:caps/>
      <w:sz w:val="22"/>
      <w:lang w:val="en-US"/>
    </w:rPr>
  </w:style>
  <w:style w:type="paragraph" w:customStyle="1" w:styleId="CTO-NumClau">
    <w:name w:val="CTO - Num. Clau."/>
    <w:basedOn w:val="Normal"/>
    <w:next w:val="Normal"/>
    <w:qFormat/>
    <w:rsid w:val="00B531C7"/>
    <w:pPr>
      <w:keepNext/>
      <w:numPr>
        <w:ilvl w:val="1"/>
        <w:numId w:val="2"/>
      </w:numPr>
      <w:jc w:val="center"/>
      <w:outlineLvl w:val="1"/>
    </w:pPr>
    <w:rPr>
      <w:rFonts w:ascii="Arial" w:hAnsi="Arial"/>
      <w:b/>
      <w:caps/>
      <w:sz w:val="22"/>
      <w:lang w:val="en-US"/>
    </w:rPr>
  </w:style>
  <w:style w:type="paragraph" w:customStyle="1" w:styleId="CTO-TxtClau">
    <w:name w:val="CTO - Txt Clau"/>
    <w:basedOn w:val="Normal"/>
    <w:link w:val="CTO-TxtClauChar"/>
    <w:qFormat/>
    <w:rsid w:val="00B531C7"/>
    <w:pPr>
      <w:numPr>
        <w:ilvl w:val="2"/>
        <w:numId w:val="2"/>
      </w:numPr>
      <w:spacing w:line="264" w:lineRule="auto"/>
      <w:jc w:val="both"/>
    </w:pPr>
    <w:rPr>
      <w:rFonts w:ascii="Arial" w:hAnsi="Arial"/>
      <w:sz w:val="22"/>
      <w:lang w:val="en-US"/>
    </w:rPr>
  </w:style>
  <w:style w:type="paragraph" w:customStyle="1" w:styleId="CTOAsubpargrafo">
    <w:name w:val="CTO_A subparágrafo"/>
    <w:basedOn w:val="CTO-TxtClau"/>
    <w:link w:val="CTOAsubpargrafoChar"/>
    <w:qFormat/>
    <w:rsid w:val="00B531C7"/>
    <w:pPr>
      <w:numPr>
        <w:ilvl w:val="3"/>
      </w:numPr>
    </w:pPr>
  </w:style>
  <w:style w:type="character" w:customStyle="1" w:styleId="CTOAsubpargrafoChar">
    <w:name w:val="CTO_A subparágrafo Char"/>
    <w:link w:val="CTOAsubpargrafo"/>
    <w:rsid w:val="00B531C7"/>
    <w:rPr>
      <w:rFonts w:ascii="Arial" w:hAnsi="Arial"/>
      <w:sz w:val="22"/>
      <w:szCs w:val="20"/>
      <w:lang w:val="en-US" w:eastAsia="pt-BR"/>
    </w:rPr>
  </w:style>
  <w:style w:type="character" w:customStyle="1" w:styleId="CTO-TxtClauChar">
    <w:name w:val="CTO - Txt Clau Char"/>
    <w:link w:val="CTO-TxtClau"/>
    <w:rsid w:val="008E45A0"/>
    <w:rPr>
      <w:rFonts w:ascii="Arial" w:hAnsi="Arial"/>
      <w:sz w:val="22"/>
      <w:szCs w:val="20"/>
      <w:lang w:val="en-US" w:eastAsia="pt-BR"/>
    </w:rPr>
  </w:style>
  <w:style w:type="paragraph" w:customStyle="1" w:styleId="Contrato-Clausula">
    <w:name w:val="Contrato - Clausula"/>
    <w:basedOn w:val="Contrato-Pargrafo-Nvel2"/>
    <w:next w:val="Normal"/>
    <w:qFormat/>
    <w:rsid w:val="008E45A0"/>
    <w:pPr>
      <w:keepNext/>
      <w:numPr>
        <w:ilvl w:val="0"/>
      </w:numPr>
      <w:spacing w:after="600"/>
      <w:ind w:left="357" w:hanging="357"/>
      <w:jc w:val="center"/>
    </w:pPr>
    <w:rPr>
      <w:b/>
      <w:caps/>
    </w:rPr>
  </w:style>
  <w:style w:type="paragraph" w:customStyle="1" w:styleId="Contrato-Pargrafo-Nvel2">
    <w:name w:val="Contrato - Parágrafo - Nível 2"/>
    <w:basedOn w:val="Normal"/>
    <w:qFormat/>
    <w:rsid w:val="008E45A0"/>
    <w:pPr>
      <w:numPr>
        <w:ilvl w:val="1"/>
        <w:numId w:val="4"/>
      </w:numPr>
      <w:spacing w:before="200" w:after="200"/>
      <w:jc w:val="both"/>
    </w:pPr>
    <w:rPr>
      <w:rFonts w:ascii="Arial" w:hAnsi="Arial" w:cs="Arial"/>
      <w:sz w:val="22"/>
      <w:szCs w:val="22"/>
    </w:rPr>
  </w:style>
  <w:style w:type="paragraph" w:customStyle="1" w:styleId="Contrato-Pargrafo-Nvel3">
    <w:name w:val="Contrato - Parágrafo - Nível 3"/>
    <w:basedOn w:val="Contrato-Pargrafo-Nvel2"/>
    <w:qFormat/>
    <w:rsid w:val="008E45A0"/>
    <w:pPr>
      <w:numPr>
        <w:ilvl w:val="2"/>
      </w:numPr>
      <w:ind w:left="1276" w:hanging="709"/>
    </w:pPr>
  </w:style>
  <w:style w:type="paragraph" w:customStyle="1" w:styleId="Contrato-Pargrafo-Nvel4">
    <w:name w:val="Contrato - Parágrafo - Nível 4"/>
    <w:basedOn w:val="Contrato-Pargrafo-Nvel3"/>
    <w:qFormat/>
    <w:rsid w:val="008E45A0"/>
    <w:pPr>
      <w:numPr>
        <w:ilvl w:val="3"/>
      </w:numPr>
      <w:ind w:left="2268" w:hanging="992"/>
    </w:pPr>
  </w:style>
  <w:style w:type="paragraph" w:customStyle="1" w:styleId="Contrato-Alnea">
    <w:name w:val="Contrato - Alínea"/>
    <w:basedOn w:val="Normal"/>
    <w:qFormat/>
    <w:rsid w:val="008E45A0"/>
    <w:pPr>
      <w:spacing w:before="200" w:after="200"/>
      <w:jc w:val="both"/>
    </w:pPr>
    <w:rPr>
      <w:rFonts w:ascii="Arial" w:hAnsi="Arial" w:cs="Arial"/>
      <w:sz w:val="22"/>
      <w:szCs w:val="22"/>
    </w:rPr>
  </w:style>
  <w:style w:type="paragraph" w:customStyle="1" w:styleId="Contrato-Pargrafo-Nvel2-2Dezenas">
    <w:name w:val="Contrato - Parágrafo - Nível 2 - 2 Dezenas"/>
    <w:basedOn w:val="Contrato-Pargrafo-Nvel2"/>
    <w:qFormat/>
    <w:rsid w:val="00D5590D"/>
    <w:pPr>
      <w:numPr>
        <w:numId w:val="8"/>
      </w:numPr>
    </w:pPr>
  </w:style>
  <w:style w:type="paragraph" w:customStyle="1" w:styleId="Contrato-Clausula-Nvel2-1dezena">
    <w:name w:val="Contrato - Clausula - Nível 2 - 1 dezena"/>
    <w:basedOn w:val="Normal"/>
    <w:qFormat/>
    <w:rsid w:val="00530492"/>
    <w:pPr>
      <w:spacing w:before="200" w:after="200"/>
      <w:ind w:left="567" w:hanging="567"/>
      <w:jc w:val="both"/>
    </w:pPr>
    <w:rPr>
      <w:rFonts w:ascii="Arial" w:hAnsi="Arial"/>
      <w:sz w:val="22"/>
    </w:rPr>
  </w:style>
  <w:style w:type="character" w:styleId="CommentReference">
    <w:name w:val="annotation reference"/>
    <w:basedOn w:val="DefaultParagraphFont"/>
    <w:uiPriority w:val="99"/>
    <w:rsid w:val="009E5CD3"/>
    <w:rPr>
      <w:sz w:val="16"/>
      <w:szCs w:val="16"/>
    </w:rPr>
  </w:style>
  <w:style w:type="paragraph" w:styleId="CommentText">
    <w:name w:val="annotation text"/>
    <w:basedOn w:val="Normal"/>
    <w:link w:val="CommentTextChar"/>
    <w:uiPriority w:val="99"/>
    <w:rsid w:val="009E5CD3"/>
  </w:style>
  <w:style w:type="character" w:customStyle="1" w:styleId="CommentTextChar">
    <w:name w:val="Comment Text Char"/>
    <w:basedOn w:val="DefaultParagraphFont"/>
    <w:link w:val="CommentText"/>
    <w:uiPriority w:val="99"/>
    <w:rsid w:val="009E5CD3"/>
    <w:rPr>
      <w:sz w:val="20"/>
      <w:szCs w:val="20"/>
      <w:lang w:eastAsia="pt-BR"/>
    </w:rPr>
  </w:style>
  <w:style w:type="paragraph" w:styleId="CommentSubject">
    <w:name w:val="annotation subject"/>
    <w:basedOn w:val="CommentText"/>
    <w:next w:val="CommentText"/>
    <w:link w:val="CommentSubjectChar"/>
    <w:uiPriority w:val="99"/>
    <w:rsid w:val="009E5CD3"/>
    <w:rPr>
      <w:b/>
      <w:bCs/>
    </w:rPr>
  </w:style>
  <w:style w:type="character" w:customStyle="1" w:styleId="CommentSubjectChar">
    <w:name w:val="Comment Subject Char"/>
    <w:basedOn w:val="CommentTextChar"/>
    <w:link w:val="CommentSubject"/>
    <w:uiPriority w:val="99"/>
    <w:rsid w:val="009E5CD3"/>
    <w:rPr>
      <w:b/>
      <w:bCs/>
      <w:sz w:val="20"/>
      <w:szCs w:val="20"/>
      <w:lang w:eastAsia="pt-BR"/>
    </w:rPr>
  </w:style>
  <w:style w:type="paragraph" w:customStyle="1" w:styleId="Contrato-Tabela">
    <w:name w:val="Contrato - Tabela"/>
    <w:basedOn w:val="Normal"/>
    <w:qFormat/>
    <w:rsid w:val="00FC51FA"/>
    <w:pPr>
      <w:jc w:val="center"/>
    </w:pPr>
    <w:rPr>
      <w:rFonts w:ascii="Arial" w:hAnsi="Arial" w:cs="Arial"/>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4232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ink/ink1.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footer" Target="footer2.xml"/><Relationship Id="rId4"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ink/ink1.xml><?xml version="1.0" encoding="utf-8"?>
<inkml:ink xmlns:inkml="http://www.w3.org/2003/InkML">
  <inkml:definitions>
    <inkml:context xml:id="ctx0">
      <inkml:inkSource xml:id="inkSrc0">
        <inkml:traceFormat>
          <inkml:channel name="X" type="integer" max="9600" units="cm"/>
          <inkml:channel name="Y" type="integer" max="7200" units="cm"/>
        </inkml:traceFormat>
        <inkml:channelProperties>
          <inkml:channelProperty channel="X" name="resolution" value="374.56107" units="1/cm"/>
          <inkml:channelProperty channel="Y" name="resolution" value="499.65302" units="1/cm"/>
        </inkml:channelProperties>
      </inkml:inkSource>
      <inkml:timestamp xml:id="ts0" timeString="2013-06-14T02:56:31.026"/>
    </inkml:context>
    <inkml:brush xml:id="br0">
      <inkml:brushProperty name="width" value="0.00882" units="cm"/>
      <inkml:brushProperty name="height" value="0.00882" units="cm"/>
      <inkml:brushProperty name="fitToCurve" value="1"/>
    </inkml:brush>
  </inkml:definitions>
  <inkml:trace contextRef="#ctx0" brushRef="#br0">0 0</inkml:trace>
</inkml:ink>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9BA487B-BE38-43DE-A034-71F2A9B21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32</Pages>
  <Words>6349</Words>
  <Characters>35009</Characters>
  <Application>Microsoft Office Word</Application>
  <DocSecurity>0</DocSecurity>
  <Lines>291</Lines>
  <Paragraphs>82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ANP</Company>
  <LinksUpToDate>false</LinksUpToDate>
  <CharactersWithSpaces>41276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Mattos Filho</dc:creator>
  <cp:keywords/>
  <dc:description/>
  <cp:lastModifiedBy>Mendes, Marcio G</cp:lastModifiedBy>
  <cp:revision>4</cp:revision>
  <cp:lastPrinted>2018-07-11T19:57:00Z</cp:lastPrinted>
  <dcterms:created xsi:type="dcterms:W3CDTF">2018-07-11T19:50:00Z</dcterms:created>
  <dcterms:modified xsi:type="dcterms:W3CDTF">2018-07-11T19:58:00Z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_x000d_RJ - 2826773v1 </vt:lpwstr>
  </property>
  <property fmtid="{D5CDD505-2E9C-101B-9397-08002B2CF9AE}" pid="3" name="_AdHocReviewCycleID">
    <vt:i4>-1690839011</vt:i4>
  </property>
  <property fmtid="{D5CDD505-2E9C-101B-9397-08002B2CF9AE}" pid="4" name="_NewReviewCycle">
    <vt:lpwstr/>
  </property>
  <property fmtid="{D5CDD505-2E9C-101B-9397-08002B2CF9AE}" pid="5" name="_EmailSubject">
    <vt:lpwstr>&lt; 20180635 &gt; CONSULTA PÚBLICA Nº 15/2018 - Revisão das minutas do Pré-Edital e Contrato para a 5ª Rodada de Licitações de Partilha de Produção</vt:lpwstr>
  </property>
  <property fmtid="{D5CDD505-2E9C-101B-9397-08002B2CF9AE}" pid="6" name="_AuthorEmail">
    <vt:lpwstr>marcio.g.mendes@exxonmobil.com</vt:lpwstr>
  </property>
  <property fmtid="{D5CDD505-2E9C-101B-9397-08002B2CF9AE}" pid="7" name="_AuthorEmailDisplayName">
    <vt:lpwstr>Mendes, Marcio G</vt:lpwstr>
  </property>
</Properties>
</file>