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842086">
      <w:pPr>
        <w:jc w:val="center"/>
        <w:rPr>
          <w:rFonts w:ascii="Arial" w:hAnsi="Arial" w:cs="Arial"/>
          <w:b/>
          <w:sz w:val="28"/>
        </w:rPr>
      </w:pPr>
    </w:p>
    <w:p w:rsidR="00842086" w:rsidRPr="00C855A3" w:rsidRDefault="00842086" w:rsidP="00174E73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842086">
      <w:pPr>
        <w:rPr>
          <w:rFonts w:ascii="Arial" w:hAnsi="Arial" w:cs="Arial"/>
          <w:sz w:val="24"/>
        </w:rPr>
      </w:pPr>
    </w:p>
    <w:p w:rsidR="00174E73" w:rsidRDefault="00AC75F7" w:rsidP="00842086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174E73">
        <w:rPr>
          <w:rFonts w:cs="Arial"/>
        </w:rPr>
        <w:t xml:space="preserve"> E AUDIÊNCIA PÚBLUCIA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842086">
      <w:pPr>
        <w:pStyle w:val="Legenda"/>
        <w:jc w:val="center"/>
        <w:rPr>
          <w:rFonts w:cs="Arial"/>
        </w:rPr>
      </w:pPr>
    </w:p>
    <w:p w:rsidR="00842086" w:rsidRPr="00EE38AD" w:rsidRDefault="00983F26" w:rsidP="00842086">
      <w:pPr>
        <w:pStyle w:val="Legenda"/>
        <w:jc w:val="center"/>
        <w:rPr>
          <w:rFonts w:cs="Arial"/>
          <w:color w:val="FF0000"/>
        </w:rPr>
      </w:pPr>
      <w:r w:rsidRPr="00EE38AD">
        <w:rPr>
          <w:rFonts w:cs="Arial"/>
          <w:color w:val="FF0000"/>
        </w:rPr>
        <w:t xml:space="preserve">Prazo para envio de contribuições: </w:t>
      </w:r>
      <w:r w:rsidR="004003CC">
        <w:rPr>
          <w:rFonts w:cs="Arial"/>
          <w:color w:val="FF0000"/>
        </w:rPr>
        <w:t>29</w:t>
      </w:r>
      <w:r w:rsidR="0092578B" w:rsidRPr="00EE38AD">
        <w:rPr>
          <w:rFonts w:cs="Arial"/>
          <w:color w:val="FF0000"/>
        </w:rPr>
        <w:t>/</w:t>
      </w:r>
      <w:r w:rsidR="00174E73" w:rsidRPr="00EE38AD">
        <w:rPr>
          <w:rFonts w:cs="Arial"/>
          <w:color w:val="FF0000"/>
        </w:rPr>
        <w:t>0</w:t>
      </w:r>
      <w:r w:rsidR="00A30EA2">
        <w:rPr>
          <w:rFonts w:cs="Arial"/>
          <w:color w:val="FF0000"/>
        </w:rPr>
        <w:t>7</w:t>
      </w:r>
      <w:r w:rsidR="0092578B" w:rsidRPr="00EE38AD">
        <w:rPr>
          <w:rFonts w:cs="Arial"/>
          <w:color w:val="FF0000"/>
        </w:rPr>
        <w:t>/2013</w:t>
      </w:r>
      <w:r w:rsidRPr="00EE38AD">
        <w:rPr>
          <w:rFonts w:cs="Arial"/>
          <w:color w:val="FF0000"/>
        </w:rPr>
        <w:t xml:space="preserve"> (18 horas)</w:t>
      </w:r>
    </w:p>
    <w:p w:rsidR="00842086" w:rsidRDefault="00842086" w:rsidP="00842086">
      <w:pPr>
        <w:pStyle w:val="Legenda"/>
        <w:jc w:val="both"/>
        <w:rPr>
          <w:rFonts w:cs="Arial"/>
          <w:b/>
        </w:rPr>
      </w:pPr>
    </w:p>
    <w:p w:rsidR="00842086" w:rsidRPr="00764EB1" w:rsidRDefault="00764EB1" w:rsidP="00842086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842086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Nome</w:t>
            </w:r>
          </w:p>
        </w:tc>
        <w:tc>
          <w:tcPr>
            <w:tcW w:w="4212" w:type="pct"/>
            <w:vAlign w:val="center"/>
          </w:tcPr>
          <w:p w:rsidR="00842086" w:rsidRPr="00EE38AD" w:rsidRDefault="00884F89" w:rsidP="004A00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L.O. Baptista, Schmidt, Valois, Miranda, Ferreira, Agel.</w:t>
            </w:r>
          </w:p>
        </w:tc>
      </w:tr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EE38AD" w:rsidRDefault="00884F89" w:rsidP="004A00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L.O. Baptista, Schmidt, Valois, Miranda, Ferreira, Agel.</w:t>
            </w:r>
          </w:p>
        </w:tc>
      </w:tr>
    </w:tbl>
    <w:p w:rsidR="00842086" w:rsidRPr="0083277E" w:rsidRDefault="00842086" w:rsidP="00842086">
      <w:pPr>
        <w:rPr>
          <w:rFonts w:ascii="Arial" w:hAnsi="Arial" w:cs="Arial"/>
          <w:sz w:val="24"/>
          <w:szCs w:val="24"/>
        </w:rPr>
      </w:pPr>
    </w:p>
    <w:p w:rsidR="00C102D5" w:rsidRDefault="00C102D5" w:rsidP="00842086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842086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764EB1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A30EA2" w:rsidRPr="004A005A" w:rsidTr="009501E5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9501E5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9501E5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9501E5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9501E5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9501E5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30EA2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9501E5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9501E5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proposta de alteração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9501E5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justificativa</w:t>
            </w:r>
          </w:p>
        </w:tc>
      </w:tr>
      <w:tr w:rsidR="00A30EA2" w:rsidRPr="004A005A" w:rsidTr="009501E5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884F89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A30EA2" w:rsidRPr="005B3CEF" w:rsidRDefault="00884F89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3.3.2</w:t>
            </w:r>
          </w:p>
        </w:tc>
        <w:tc>
          <w:tcPr>
            <w:tcW w:w="1950" w:type="pct"/>
            <w:vAlign w:val="center"/>
          </w:tcPr>
          <w:p w:rsidR="00A30EA2" w:rsidRPr="005B3CEF" w:rsidRDefault="00884F89" w:rsidP="00884F89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“no que se refere à apresentação de documentos equivalentes, e apresentar a referida procuração: a) em duas colunas impressas na mesma folha, devendo constar em uma destas colunas o texto constante do ANEXO V, em sua íntegra, na língua portuguesa e, na outra coluna, o texto em idioma estrangeiro. </w:t>
            </w:r>
            <w:r w:rsidRPr="00884F89">
              <w:rPr>
                <w:rFonts w:cs="Arial"/>
                <w:b/>
                <w:color w:val="000000" w:themeColor="text1"/>
                <w:sz w:val="20"/>
                <w:u w:val="single"/>
              </w:rPr>
              <w:t>Caso o documento seja assinado no exterior</w:t>
            </w:r>
            <w:r>
              <w:rPr>
                <w:rFonts w:cs="Arial"/>
                <w:b/>
                <w:color w:val="000000" w:themeColor="text1"/>
                <w:sz w:val="20"/>
                <w:u w:val="single"/>
              </w:rPr>
              <w:t>, este deverá ser notarizado, consularizado e acompanhado de tradução juramentada da notarização e consularização.</w:t>
            </w:r>
          </w:p>
        </w:tc>
        <w:tc>
          <w:tcPr>
            <w:tcW w:w="1761" w:type="pct"/>
            <w:vAlign w:val="center"/>
          </w:tcPr>
          <w:p w:rsidR="00A30EA2" w:rsidRPr="005B3CEF" w:rsidRDefault="00884F89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Os documentos assinados no exterior para terem validade no Brasil devem estar notarizados, consularizados e traduzidos por tradutor juramentado.</w:t>
            </w:r>
          </w:p>
        </w:tc>
      </w:tr>
      <w:tr w:rsidR="00A30EA2" w:rsidRPr="004A005A" w:rsidTr="009501E5">
        <w:trPr>
          <w:trHeight w:val="2551"/>
        </w:trPr>
        <w:tc>
          <w:tcPr>
            <w:tcW w:w="638" w:type="pct"/>
            <w:vAlign w:val="center"/>
          </w:tcPr>
          <w:p w:rsidR="00A30EA2" w:rsidRPr="00A14E79" w:rsidRDefault="009501E5" w:rsidP="00371814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A14E79"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A30EA2" w:rsidRPr="00A14E79" w:rsidRDefault="009501E5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A14E79">
              <w:rPr>
                <w:rFonts w:cs="Arial"/>
                <w:color w:val="000000" w:themeColor="text1"/>
                <w:sz w:val="20"/>
              </w:rPr>
              <w:t>4.4.</w:t>
            </w:r>
          </w:p>
        </w:tc>
        <w:tc>
          <w:tcPr>
            <w:tcW w:w="1950" w:type="pct"/>
            <w:vAlign w:val="center"/>
          </w:tcPr>
          <w:p w:rsidR="00A30EA2" w:rsidRPr="00A14E79" w:rsidRDefault="00A14E79" w:rsidP="00A14E79">
            <w:pPr>
              <w:pStyle w:val="TextosemFormata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4E79">
              <w:rPr>
                <w:rFonts w:ascii="Arial" w:hAnsi="Arial" w:cs="Arial"/>
                <w:color w:val="000000" w:themeColor="text1"/>
                <w:sz w:val="20"/>
                <w:szCs w:val="20"/>
              </w:rPr>
              <w:t>Incluir ao final da cláusula: A parcela mínima do bônus de assinatura da Petrobras será equivalente a R$ [•].</w:t>
            </w:r>
          </w:p>
        </w:tc>
        <w:tc>
          <w:tcPr>
            <w:tcW w:w="1761" w:type="pct"/>
            <w:vAlign w:val="center"/>
          </w:tcPr>
          <w:p w:rsidR="00A14E79" w:rsidRPr="00A14E79" w:rsidRDefault="00A14E79" w:rsidP="00A14E79">
            <w:pPr>
              <w:pStyle w:val="TextosemFormatao"/>
              <w:rPr>
                <w:rFonts w:ascii="Arial" w:hAnsi="Arial" w:cs="Arial"/>
                <w:sz w:val="20"/>
                <w:szCs w:val="20"/>
              </w:rPr>
            </w:pPr>
            <w:r w:rsidRPr="00A14E79">
              <w:rPr>
                <w:rFonts w:ascii="Arial" w:hAnsi="Arial" w:cs="Arial"/>
                <w:sz w:val="20"/>
                <w:szCs w:val="20"/>
              </w:rPr>
              <w:t>Favor esclarecer se na hipótese de a Petrobras não participar do leilão, estará obrigada a pagar a sua parte (30%) no bônus de assinatura como consorciada e operadora mandatória.</w:t>
            </w:r>
          </w:p>
          <w:p w:rsidR="00A30EA2" w:rsidRPr="00A14E79" w:rsidRDefault="00A30EA2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</w:tr>
      <w:tr w:rsidR="00A30EA2" w:rsidRPr="004A005A" w:rsidTr="009501E5">
        <w:trPr>
          <w:trHeight w:val="2551"/>
        </w:trPr>
        <w:tc>
          <w:tcPr>
            <w:tcW w:w="638" w:type="pct"/>
            <w:vAlign w:val="center"/>
          </w:tcPr>
          <w:p w:rsidR="00A30EA2" w:rsidRPr="00A14E79" w:rsidRDefault="00A14E79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A14E79"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A30EA2" w:rsidRPr="00A14E79" w:rsidRDefault="00A14E79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A14E79">
              <w:rPr>
                <w:rFonts w:cs="Arial"/>
                <w:color w:val="000000" w:themeColor="text1"/>
                <w:sz w:val="20"/>
              </w:rPr>
              <w:t xml:space="preserve">Anexo </w:t>
            </w:r>
            <w:r>
              <w:rPr>
                <w:rFonts w:cs="Arial"/>
                <w:color w:val="000000" w:themeColor="text1"/>
                <w:sz w:val="20"/>
              </w:rPr>
              <w:t>XV</w:t>
            </w:r>
          </w:p>
        </w:tc>
        <w:tc>
          <w:tcPr>
            <w:tcW w:w="1950" w:type="pct"/>
            <w:vAlign w:val="center"/>
          </w:tcPr>
          <w:p w:rsidR="00A14E79" w:rsidRPr="00A14E79" w:rsidRDefault="00A14E79" w:rsidP="00A14E7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A14E79">
              <w:rPr>
                <w:rFonts w:ascii="Arial" w:hAnsi="Arial" w:cs="Arial"/>
              </w:rPr>
              <w:t xml:space="preserve">Em atenção a Carta-Circular Susep CGPRO 002/2013 de 01 de abril de 2013, adaptar os produtos de seguro garantia às circulares 256/2004, 255/2004, 251/2004 e 239/2013. </w:t>
            </w:r>
          </w:p>
          <w:p w:rsidR="00A30EA2" w:rsidRPr="00A14E79" w:rsidRDefault="00A30EA2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761" w:type="pct"/>
            <w:vAlign w:val="center"/>
          </w:tcPr>
          <w:p w:rsidR="00A30EA2" w:rsidRPr="00A14E79" w:rsidRDefault="00A14E79" w:rsidP="00A14E79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As seguradoras </w:t>
            </w:r>
            <w:r w:rsidR="00371814">
              <w:rPr>
                <w:rFonts w:ascii="Arial" w:hAnsi="Arial" w:cs="Arial"/>
                <w:color w:val="000000" w:themeColor="text1"/>
              </w:rPr>
              <w:t xml:space="preserve">alegam </w:t>
            </w:r>
            <w:r>
              <w:rPr>
                <w:rFonts w:ascii="Arial" w:hAnsi="Arial" w:cs="Arial"/>
                <w:color w:val="000000" w:themeColor="text1"/>
              </w:rPr>
              <w:t>que o modelo deverá ser atualizado de acordo com a nova regulamentação.</w:t>
            </w:r>
          </w:p>
        </w:tc>
      </w:tr>
      <w:tr w:rsidR="00371814" w:rsidRPr="004A005A" w:rsidTr="009501E5">
        <w:trPr>
          <w:trHeight w:val="2551"/>
        </w:trPr>
        <w:tc>
          <w:tcPr>
            <w:tcW w:w="638" w:type="pct"/>
            <w:vAlign w:val="center"/>
          </w:tcPr>
          <w:p w:rsidR="00371814" w:rsidRPr="00A14E79" w:rsidRDefault="00371814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371814" w:rsidRPr="00A14E79" w:rsidRDefault="00371814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4.8</w:t>
            </w:r>
          </w:p>
        </w:tc>
        <w:tc>
          <w:tcPr>
            <w:tcW w:w="1950" w:type="pct"/>
            <w:vAlign w:val="center"/>
          </w:tcPr>
          <w:p w:rsidR="00371814" w:rsidRPr="00A14E79" w:rsidRDefault="00371814" w:rsidP="00A14E7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Esclarecer o motiva para a limitação do número de consorciadas.</w:t>
            </w:r>
          </w:p>
        </w:tc>
        <w:tc>
          <w:tcPr>
            <w:tcW w:w="1761" w:type="pct"/>
            <w:vAlign w:val="center"/>
          </w:tcPr>
          <w:p w:rsidR="00371814" w:rsidRDefault="00371814" w:rsidP="00A14E79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</w:rPr>
            </w:pPr>
          </w:p>
        </w:tc>
      </w:tr>
      <w:tr w:rsidR="00371814" w:rsidRPr="004A005A" w:rsidTr="009501E5">
        <w:trPr>
          <w:trHeight w:val="2551"/>
        </w:trPr>
        <w:tc>
          <w:tcPr>
            <w:tcW w:w="638" w:type="pct"/>
            <w:vAlign w:val="center"/>
          </w:tcPr>
          <w:p w:rsidR="00371814" w:rsidRPr="00371814" w:rsidRDefault="00371814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371814"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371814" w:rsidRPr="00371814" w:rsidRDefault="00371814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371814">
              <w:rPr>
                <w:rFonts w:cs="Arial"/>
                <w:color w:val="000000" w:themeColor="text1"/>
                <w:sz w:val="20"/>
              </w:rPr>
              <w:t>3.5.1</w:t>
            </w:r>
          </w:p>
        </w:tc>
        <w:tc>
          <w:tcPr>
            <w:tcW w:w="1950" w:type="pct"/>
            <w:vAlign w:val="center"/>
          </w:tcPr>
          <w:p w:rsidR="00371814" w:rsidRPr="00371814" w:rsidRDefault="00371814" w:rsidP="00371814">
            <w:p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line="288" w:lineRule="auto"/>
              <w:ind w:left="697"/>
              <w:jc w:val="both"/>
              <w:rPr>
                <w:rFonts w:ascii="Arial" w:hAnsi="Arial" w:cs="Arial"/>
              </w:rPr>
            </w:pPr>
            <w:r w:rsidRPr="00371814">
              <w:rPr>
                <w:rFonts w:ascii="Arial" w:hAnsi="Arial" w:cs="Arial"/>
              </w:rPr>
              <w:t>Para sociedades empresárias estrangeiras (Anexo XVII), incluir: Caso as demonstrações financeiras estejam referenciadas em dólar americano (US$), utilizar para conversão do Anexo XVII a taxa média de câmbio (Ptax-venda) do ano em que foram concluídas. Todos os valores devem ser trazidos a valor presente pelo IGPM acumulado até o mês de junho de 2013.</w:t>
            </w:r>
          </w:p>
          <w:p w:rsidR="00371814" w:rsidRPr="00371814" w:rsidRDefault="00371814" w:rsidP="00A14E79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</w:tc>
        <w:tc>
          <w:tcPr>
            <w:tcW w:w="1761" w:type="pct"/>
            <w:vAlign w:val="center"/>
          </w:tcPr>
          <w:p w:rsidR="00371814" w:rsidRPr="00371814" w:rsidRDefault="00371814" w:rsidP="00371814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O edital prevê que o Anexo XVII deverá ser preenchido obrigatoriamente em moeda corrente nacional, no entanto não indica a taxa de conversão.</w:t>
            </w:r>
          </w:p>
        </w:tc>
      </w:tr>
      <w:tr w:rsidR="007A2287" w:rsidRPr="004A005A" w:rsidTr="009501E5">
        <w:trPr>
          <w:trHeight w:val="2551"/>
        </w:trPr>
        <w:tc>
          <w:tcPr>
            <w:tcW w:w="638" w:type="pct"/>
            <w:vAlign w:val="center"/>
          </w:tcPr>
          <w:p w:rsidR="007A2287" w:rsidRPr="00371814" w:rsidRDefault="007A2287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7A2287" w:rsidRPr="00371814" w:rsidRDefault="007A2287" w:rsidP="009501E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Tabela 7</w:t>
            </w:r>
          </w:p>
        </w:tc>
        <w:tc>
          <w:tcPr>
            <w:tcW w:w="1950" w:type="pct"/>
            <w:vAlign w:val="center"/>
          </w:tcPr>
          <w:p w:rsidR="007A2287" w:rsidRPr="00371814" w:rsidRDefault="007A2287" w:rsidP="00371814">
            <w:p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line="288" w:lineRule="auto"/>
              <w:ind w:left="69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Incluir os documentos informados nos itens 3.3.4.c) e 3.3.4.d).</w:t>
            </w:r>
          </w:p>
        </w:tc>
        <w:tc>
          <w:tcPr>
            <w:tcW w:w="1761" w:type="pct"/>
            <w:vAlign w:val="center"/>
          </w:tcPr>
          <w:p w:rsidR="007A2287" w:rsidRDefault="007A2287" w:rsidP="00371814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 listagem de documentos necessários para habilitação não está completa.</w:t>
            </w: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842086" w:rsidRDefault="00842086" w:rsidP="004D421E">
      <w:pPr>
        <w:pStyle w:val="Legenda"/>
        <w:spacing w:line="360" w:lineRule="auto"/>
        <w:jc w:val="both"/>
        <w:rPr>
          <w:rFonts w:cs="Arial"/>
          <w:szCs w:val="24"/>
        </w:rPr>
      </w:pPr>
      <w:r w:rsidRPr="00C855A3">
        <w:rPr>
          <w:rFonts w:cs="Arial"/>
          <w:szCs w:val="24"/>
          <w:u w:val="single"/>
        </w:rPr>
        <w:t>Instruções de envio:</w:t>
      </w:r>
    </w:p>
    <w:p w:rsidR="00854EE5" w:rsidRDefault="00842086" w:rsidP="00C102D5">
      <w:pPr>
        <w:pStyle w:val="Legenda"/>
        <w:spacing w:line="360" w:lineRule="auto"/>
        <w:jc w:val="both"/>
      </w:pPr>
      <w:r w:rsidRPr="0083277E">
        <w:rPr>
          <w:rFonts w:cs="Arial"/>
          <w:szCs w:val="24"/>
        </w:rPr>
        <w:t>Após o preenc</w:t>
      </w:r>
      <w:r>
        <w:rPr>
          <w:rFonts w:cs="Arial"/>
          <w:szCs w:val="24"/>
        </w:rPr>
        <w:t>himento deste formulário, remeta</w:t>
      </w:r>
      <w:r w:rsidRPr="0083277E">
        <w:rPr>
          <w:rFonts w:cs="Arial"/>
          <w:szCs w:val="24"/>
        </w:rPr>
        <w:t>-o à A</w:t>
      </w:r>
      <w:r w:rsidR="00174E73">
        <w:rPr>
          <w:rFonts w:cs="Arial"/>
          <w:szCs w:val="24"/>
        </w:rPr>
        <w:t>NP</w:t>
      </w:r>
      <w:r w:rsidRPr="0083277E">
        <w:rPr>
          <w:rFonts w:cs="Arial"/>
          <w:szCs w:val="24"/>
        </w:rPr>
        <w:t xml:space="preserve"> até </w:t>
      </w:r>
      <w:r w:rsidR="00174E73">
        <w:rPr>
          <w:rFonts w:eastAsia="PMingLiU" w:cs="Arial"/>
          <w:color w:val="000000"/>
          <w:szCs w:val="24"/>
        </w:rPr>
        <w:t>às 18 horas do</w:t>
      </w:r>
      <w:r w:rsidRPr="0083277E">
        <w:rPr>
          <w:rFonts w:eastAsia="PMingLiU" w:cs="Arial"/>
          <w:color w:val="000000"/>
          <w:szCs w:val="24"/>
        </w:rPr>
        <w:t xml:space="preserve"> dia </w:t>
      </w:r>
      <w:r w:rsidR="00C03167">
        <w:rPr>
          <w:rFonts w:eastAsia="PMingLiU" w:cs="Arial"/>
          <w:color w:val="000000"/>
          <w:szCs w:val="24"/>
        </w:rPr>
        <w:t>29</w:t>
      </w:r>
      <w:r>
        <w:rPr>
          <w:rFonts w:eastAsia="PMingLiU" w:cs="Arial"/>
          <w:color w:val="000000"/>
          <w:szCs w:val="24"/>
        </w:rPr>
        <w:t xml:space="preserve"> </w:t>
      </w:r>
      <w:r w:rsidRPr="0083277E">
        <w:rPr>
          <w:rFonts w:eastAsia="PMingLiU" w:cs="Arial"/>
          <w:color w:val="000000"/>
          <w:szCs w:val="24"/>
        </w:rPr>
        <w:t xml:space="preserve">de </w:t>
      </w:r>
      <w:r w:rsidR="00174E73">
        <w:rPr>
          <w:rFonts w:eastAsia="PMingLiU" w:cs="Arial"/>
          <w:color w:val="000000"/>
          <w:szCs w:val="24"/>
        </w:rPr>
        <w:t>ju</w:t>
      </w:r>
      <w:r w:rsidR="00A30EA2">
        <w:rPr>
          <w:rFonts w:eastAsia="PMingLiU" w:cs="Arial"/>
          <w:color w:val="000000"/>
          <w:szCs w:val="24"/>
        </w:rPr>
        <w:t>l</w:t>
      </w:r>
      <w:r w:rsidR="00174E73">
        <w:rPr>
          <w:rFonts w:eastAsia="PMingLiU" w:cs="Arial"/>
          <w:color w:val="000000"/>
          <w:szCs w:val="24"/>
        </w:rPr>
        <w:t>ho</w:t>
      </w:r>
      <w:r w:rsidRPr="0083277E">
        <w:rPr>
          <w:rFonts w:eastAsia="PMingLiU" w:cs="Arial"/>
          <w:color w:val="000000"/>
          <w:szCs w:val="24"/>
        </w:rPr>
        <w:t xml:space="preserve"> de</w:t>
      </w:r>
      <w:r>
        <w:rPr>
          <w:rFonts w:eastAsia="PMingLiU" w:cs="Arial"/>
          <w:color w:val="000000"/>
          <w:szCs w:val="24"/>
        </w:rPr>
        <w:t xml:space="preserve"> 2013</w:t>
      </w:r>
      <w:r w:rsidR="00174E73">
        <w:rPr>
          <w:rFonts w:eastAsia="PMingLiU" w:cs="Arial"/>
          <w:color w:val="000000"/>
          <w:szCs w:val="24"/>
        </w:rPr>
        <w:t xml:space="preserve"> </w:t>
      </w:r>
      <w:r w:rsidRPr="00AC7BE3">
        <w:rPr>
          <w:rFonts w:cs="Arial"/>
          <w:szCs w:val="24"/>
        </w:rPr>
        <w:t>pelo</w:t>
      </w:r>
      <w:r w:rsidRPr="00AC7BE3">
        <w:rPr>
          <w:rFonts w:cs="Arial"/>
          <w:b/>
          <w:szCs w:val="24"/>
        </w:rPr>
        <w:t xml:space="preserve"> </w:t>
      </w:r>
      <w:r w:rsidRPr="00C855A3">
        <w:rPr>
          <w:rFonts w:cs="Arial"/>
          <w:szCs w:val="24"/>
        </w:rPr>
        <w:t>e-mail</w:t>
      </w:r>
      <w:r>
        <w:rPr>
          <w:szCs w:val="24"/>
        </w:rPr>
        <w:t xml:space="preserve"> </w:t>
      </w:r>
      <w:r w:rsidRPr="00C85228">
        <w:rPr>
          <w:szCs w:val="24"/>
        </w:rPr>
        <w:t>rodadas@anp.gov.br</w:t>
      </w:r>
      <w:r w:rsidR="00174E73">
        <w:rPr>
          <w:szCs w:val="24"/>
        </w:rPr>
        <w:t>.</w:t>
      </w:r>
      <w:r w:rsidR="005B3CEF">
        <w:rPr>
          <w:rFonts w:cs="Arial"/>
          <w:snapToGrid w:val="0"/>
          <w:color w:val="000000"/>
          <w:szCs w:val="24"/>
        </w:rPr>
        <w:t xml:space="preserve"> A utilização deste formulário é obrigatória</w:t>
      </w:r>
      <w:r w:rsidR="00EE38AD">
        <w:rPr>
          <w:rFonts w:cs="Arial"/>
          <w:snapToGrid w:val="0"/>
          <w:color w:val="000000"/>
          <w:szCs w:val="24"/>
        </w:rPr>
        <w:t>, inclusive a manutenção do arquivo no formato Word.</w:t>
      </w:r>
      <w:r w:rsidR="005B3CEF">
        <w:rPr>
          <w:rFonts w:cs="Arial"/>
          <w:snapToGrid w:val="0"/>
          <w:color w:val="000000"/>
          <w:szCs w:val="24"/>
        </w:rPr>
        <w:t xml:space="preserve"> Não serão </w:t>
      </w:r>
      <w:r w:rsidR="00EE38AD">
        <w:rPr>
          <w:rFonts w:cs="Arial"/>
          <w:snapToGrid w:val="0"/>
          <w:color w:val="000000"/>
          <w:szCs w:val="24"/>
        </w:rPr>
        <w:t>aceitos</w:t>
      </w:r>
      <w:r w:rsidR="005B3CEF">
        <w:rPr>
          <w:rFonts w:cs="Arial"/>
          <w:snapToGrid w:val="0"/>
          <w:color w:val="000000"/>
          <w:szCs w:val="24"/>
        </w:rPr>
        <w:t xml:space="preserve"> </w:t>
      </w:r>
      <w:r w:rsidR="00EE38AD">
        <w:rPr>
          <w:rFonts w:cs="Arial"/>
          <w:snapToGrid w:val="0"/>
          <w:color w:val="000000"/>
          <w:szCs w:val="24"/>
        </w:rPr>
        <w:t>comentários/</w:t>
      </w:r>
      <w:r w:rsidR="005B3CEF">
        <w:rPr>
          <w:rFonts w:cs="Arial"/>
          <w:snapToGrid w:val="0"/>
          <w:color w:val="000000"/>
          <w:szCs w:val="24"/>
        </w:rPr>
        <w:t>sugestões fora do padrão deste formulário.</w:t>
      </w:r>
    </w:p>
    <w:sectPr w:rsidR="00854EE5" w:rsidSect="00983F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814" w:rsidRDefault="00371814" w:rsidP="00842086">
      <w:r>
        <w:separator/>
      </w:r>
    </w:p>
  </w:endnote>
  <w:endnote w:type="continuationSeparator" w:id="0">
    <w:p w:rsidR="00371814" w:rsidRDefault="00371814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14" w:rsidRDefault="00371814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14" w:rsidRDefault="00371814">
    <w:pPr>
      <w:pStyle w:val="Rodap"/>
      <w:jc w:val="right"/>
    </w:pPr>
    <w:fldSimple w:instr=" PAGE   \* MERGEFORMAT ">
      <w:r w:rsidR="007A2287">
        <w:rPr>
          <w:noProof/>
        </w:rPr>
        <w:t>3</w:t>
      </w:r>
    </w:fldSimple>
  </w:p>
  <w:p w:rsidR="00371814" w:rsidRDefault="00371814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14" w:rsidRDefault="00371814">
    <w:pPr>
      <w:pStyle w:val="Rodap"/>
      <w:jc w:val="right"/>
    </w:pPr>
    <w:fldSimple w:instr=" PAGE   \* MERGEFORMAT ">
      <w:r>
        <w:rPr>
          <w:noProof/>
        </w:rPr>
        <w:t>1</w:t>
      </w:r>
    </w:fldSimple>
  </w:p>
  <w:p w:rsidR="00371814" w:rsidRDefault="0037181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814" w:rsidRDefault="00371814" w:rsidP="00842086">
      <w:r>
        <w:separator/>
      </w:r>
    </w:p>
  </w:footnote>
  <w:footnote w:type="continuationSeparator" w:id="0">
    <w:p w:rsidR="00371814" w:rsidRDefault="00371814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14" w:rsidRDefault="00371814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814" w:rsidRDefault="00371814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371814" w:rsidRPr="00174E73" w:rsidTr="00395E2D">
      <w:tc>
        <w:tcPr>
          <w:tcW w:w="6629" w:type="dxa"/>
        </w:tcPr>
        <w:p w:rsidR="00371814" w:rsidRPr="00174E73" w:rsidRDefault="00371814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371814" w:rsidRPr="00174E73" w:rsidRDefault="00371814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>Agência Nacional do Petróleo, Gás Natural e Biocombustíveis</w:t>
          </w:r>
        </w:p>
        <w:p w:rsidR="00371814" w:rsidRPr="00174E73" w:rsidRDefault="00371814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371814" w:rsidRDefault="00371814" w:rsidP="00395E2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E6393"/>
    <w:rsid w:val="00103946"/>
    <w:rsid w:val="00140CA6"/>
    <w:rsid w:val="00162E18"/>
    <w:rsid w:val="00174E73"/>
    <w:rsid w:val="001965B6"/>
    <w:rsid w:val="00314BDB"/>
    <w:rsid w:val="00327F69"/>
    <w:rsid w:val="00371814"/>
    <w:rsid w:val="00395E2D"/>
    <w:rsid w:val="004003CC"/>
    <w:rsid w:val="0040140A"/>
    <w:rsid w:val="00412AA7"/>
    <w:rsid w:val="00471ADB"/>
    <w:rsid w:val="004A005A"/>
    <w:rsid w:val="004C0021"/>
    <w:rsid w:val="004D421E"/>
    <w:rsid w:val="005600AD"/>
    <w:rsid w:val="0056683F"/>
    <w:rsid w:val="005B3CEF"/>
    <w:rsid w:val="005B7D75"/>
    <w:rsid w:val="005C5B4E"/>
    <w:rsid w:val="005D7856"/>
    <w:rsid w:val="0062557C"/>
    <w:rsid w:val="007178AA"/>
    <w:rsid w:val="00764EB1"/>
    <w:rsid w:val="007662D7"/>
    <w:rsid w:val="007A2287"/>
    <w:rsid w:val="007E2560"/>
    <w:rsid w:val="007F7936"/>
    <w:rsid w:val="0083277E"/>
    <w:rsid w:val="00842086"/>
    <w:rsid w:val="008500E0"/>
    <w:rsid w:val="00854EE5"/>
    <w:rsid w:val="008675C5"/>
    <w:rsid w:val="008772EA"/>
    <w:rsid w:val="00884F89"/>
    <w:rsid w:val="008E7D7F"/>
    <w:rsid w:val="0092578B"/>
    <w:rsid w:val="009271A8"/>
    <w:rsid w:val="009501E5"/>
    <w:rsid w:val="00983F26"/>
    <w:rsid w:val="0099566E"/>
    <w:rsid w:val="00A14E79"/>
    <w:rsid w:val="00A30EA2"/>
    <w:rsid w:val="00A37D0A"/>
    <w:rsid w:val="00A621DA"/>
    <w:rsid w:val="00A73456"/>
    <w:rsid w:val="00A76862"/>
    <w:rsid w:val="00A91CC2"/>
    <w:rsid w:val="00AC3176"/>
    <w:rsid w:val="00AC75F7"/>
    <w:rsid w:val="00AC7BE3"/>
    <w:rsid w:val="00AE02B1"/>
    <w:rsid w:val="00B13EFD"/>
    <w:rsid w:val="00B43186"/>
    <w:rsid w:val="00BC1BBC"/>
    <w:rsid w:val="00BE0221"/>
    <w:rsid w:val="00C03167"/>
    <w:rsid w:val="00C102D5"/>
    <w:rsid w:val="00C57F32"/>
    <w:rsid w:val="00C85228"/>
    <w:rsid w:val="00C855A3"/>
    <w:rsid w:val="00CF02E6"/>
    <w:rsid w:val="00CF2944"/>
    <w:rsid w:val="00DF2B75"/>
    <w:rsid w:val="00E548B4"/>
    <w:rsid w:val="00E91A45"/>
    <w:rsid w:val="00ED28BC"/>
    <w:rsid w:val="00EE38AD"/>
    <w:rsid w:val="00EF4AFC"/>
    <w:rsid w:val="00F503A5"/>
    <w:rsid w:val="00F63177"/>
    <w:rsid w:val="00F637D7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9501E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9501E5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71477-41FD-4503-94D0-3C26FD28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423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LOB-SVMFA</cp:lastModifiedBy>
  <cp:revision>2</cp:revision>
  <cp:lastPrinted>2013-01-24T15:49:00Z</cp:lastPrinted>
  <dcterms:created xsi:type="dcterms:W3CDTF">2013-07-29T21:31:00Z</dcterms:created>
  <dcterms:modified xsi:type="dcterms:W3CDTF">2013-07-29T21:31:00Z</dcterms:modified>
</cp:coreProperties>
</file>