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E75BB3">
        <w:rPr>
          <w:rFonts w:cs="Arial"/>
        </w:rPr>
        <w:t xml:space="preserve"> E AUDIÊNCIA PÚBL</w:t>
      </w:r>
      <w:r w:rsidR="00174E73">
        <w:rPr>
          <w:rFonts w:cs="Arial"/>
        </w:rPr>
        <w:t>I</w:t>
      </w:r>
      <w:r w:rsidR="00E75BB3">
        <w:rPr>
          <w:rFonts w:cs="Arial"/>
        </w:rPr>
        <w:t>C</w:t>
      </w:r>
      <w:r w:rsidR="00174E73">
        <w:rPr>
          <w:rFonts w:cs="Arial"/>
        </w:rPr>
        <w:t>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842086" w:rsidRPr="00EE38AD" w:rsidRDefault="00983F26" w:rsidP="00842086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4003CC">
        <w:rPr>
          <w:rFonts w:cs="Arial"/>
          <w:color w:val="FF0000"/>
        </w:rPr>
        <w:t>29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E75BB3" w:rsidP="004A00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J. Malucelli Seguradora S.A.</w:t>
            </w:r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proposta de alteração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77000F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A30EA2" w:rsidRPr="005B3CEF" w:rsidRDefault="00FD0E1F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Anexo XV</w:t>
            </w:r>
          </w:p>
        </w:tc>
        <w:tc>
          <w:tcPr>
            <w:tcW w:w="1950" w:type="pct"/>
            <w:vAlign w:val="center"/>
          </w:tcPr>
          <w:p w:rsidR="00A30EA2" w:rsidRPr="005B3CEF" w:rsidRDefault="00FD0E1F" w:rsidP="00F84E26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Incluir a União, por intermédio do Ministério de Minas e Energia – MME como benefici</w:t>
            </w:r>
            <w:r w:rsidR="00F84E26">
              <w:rPr>
                <w:rFonts w:cs="Arial"/>
                <w:color w:val="000000" w:themeColor="text1"/>
                <w:sz w:val="20"/>
              </w:rPr>
              <w:t>ária</w:t>
            </w:r>
            <w:r>
              <w:rPr>
                <w:rFonts w:cs="Arial"/>
                <w:color w:val="000000" w:themeColor="text1"/>
                <w:sz w:val="20"/>
              </w:rPr>
              <w:t xml:space="preserve"> da garantia financeira.</w:t>
            </w:r>
          </w:p>
        </w:tc>
        <w:tc>
          <w:tcPr>
            <w:tcW w:w="1761" w:type="pct"/>
            <w:vAlign w:val="center"/>
          </w:tcPr>
          <w:p w:rsidR="00A30EA2" w:rsidRPr="005B3CEF" w:rsidRDefault="00F84E26" w:rsidP="00F84E26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Conforme minuta do contrato, a União, por intermédio do Ministério de Minas e Energia – MME, figura como </w:t>
            </w:r>
            <w:r w:rsidRPr="00F84E26">
              <w:rPr>
                <w:rFonts w:cs="Arial"/>
                <w:b/>
                <w:color w:val="000000" w:themeColor="text1"/>
                <w:sz w:val="20"/>
              </w:rPr>
              <w:t>Contratante</w:t>
            </w:r>
            <w:r>
              <w:rPr>
                <w:rFonts w:cs="Arial"/>
                <w:color w:val="000000" w:themeColor="text1"/>
                <w:sz w:val="20"/>
              </w:rPr>
              <w:t>.</w:t>
            </w: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77000F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77000F" w:rsidRDefault="0077000F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Anexo XV:</w:t>
            </w:r>
          </w:p>
          <w:p w:rsidR="00A30EA2" w:rsidRPr="005B3CEF" w:rsidRDefault="0077000F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Anexo IX – Complemento das Condições Gerais, Item </w:t>
            </w:r>
            <w:proofErr w:type="gramStart"/>
            <w:r>
              <w:rPr>
                <w:rFonts w:cs="Arial"/>
                <w:color w:val="000000" w:themeColor="text1"/>
                <w:sz w:val="20"/>
              </w:rPr>
              <w:t>7</w:t>
            </w:r>
            <w:r w:rsidR="00C74E5E">
              <w:rPr>
                <w:rFonts w:cs="Arial"/>
                <w:color w:val="000000" w:themeColor="text1"/>
                <w:sz w:val="20"/>
              </w:rPr>
              <w:t>.1</w:t>
            </w:r>
            <w:proofErr w:type="gramEnd"/>
          </w:p>
        </w:tc>
        <w:tc>
          <w:tcPr>
            <w:tcW w:w="1950" w:type="pct"/>
            <w:vAlign w:val="center"/>
          </w:tcPr>
          <w:p w:rsidR="00DE6FF5" w:rsidRPr="00DE6FF5" w:rsidRDefault="00DE6FF5" w:rsidP="0077000F">
            <w:pPr>
              <w:pStyle w:val="Corpodetexto"/>
              <w:rPr>
                <w:rFonts w:cs="Arial"/>
                <w:color w:val="000000"/>
              </w:rPr>
            </w:pPr>
            <w:r w:rsidRPr="00DE6FF5">
              <w:rPr>
                <w:rFonts w:cs="Arial"/>
                <w:color w:val="000000"/>
              </w:rPr>
              <w:t>Retirar o item abaixo:</w:t>
            </w:r>
          </w:p>
          <w:p w:rsidR="0077000F" w:rsidRPr="006F5C80" w:rsidRDefault="0077000F" w:rsidP="0077000F">
            <w:pPr>
              <w:pStyle w:val="Corpodetexto"/>
              <w:rPr>
                <w:rFonts w:cs="Arial"/>
                <w:strike/>
                <w:color w:val="000000"/>
              </w:rPr>
            </w:pPr>
            <w:r w:rsidRPr="006F5C80">
              <w:rPr>
                <w:rFonts w:cs="Arial"/>
                <w:strike/>
                <w:color w:val="000000"/>
              </w:rPr>
              <w:t xml:space="preserve">7.1. Caracterizado o sinistro, a seguradora indenizará o segurado, pagando o valor </w:t>
            </w:r>
            <w:proofErr w:type="gramStart"/>
            <w:r w:rsidRPr="006F5C80">
              <w:rPr>
                <w:rFonts w:cs="Arial"/>
                <w:strike/>
                <w:color w:val="000000"/>
              </w:rPr>
              <w:t>descrito nesta apólice, consideradas</w:t>
            </w:r>
            <w:proofErr w:type="gramEnd"/>
            <w:r w:rsidRPr="006F5C80">
              <w:rPr>
                <w:rFonts w:cs="Arial"/>
                <w:strike/>
                <w:color w:val="000000"/>
              </w:rPr>
              <w:t xml:space="preserve"> as reduções previstas no item 3.4, uma vez que o prejuízo decorrente da inadimplência do tomador, para efeito deste seguro, é o valor garantido por esta apólice. </w:t>
            </w:r>
          </w:p>
          <w:p w:rsidR="00A30EA2" w:rsidRPr="005B3CEF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087A97" w:rsidRPr="00087A97" w:rsidRDefault="00087A97" w:rsidP="00586B8F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 w:rsidRPr="00087A97">
              <w:rPr>
                <w:rFonts w:cs="Arial"/>
                <w:color w:val="000000" w:themeColor="text1"/>
                <w:sz w:val="20"/>
              </w:rPr>
              <w:t>Devido à alteração no Contratante, de ANP para União, e desta ter a capacidade de apurar seus prejuízos, propõe-se a retirada desta cláusula.</w:t>
            </w:r>
          </w:p>
          <w:p w:rsidR="00087A97" w:rsidRPr="00087A97" w:rsidRDefault="00087A97" w:rsidP="00087A97"/>
          <w:p w:rsidR="00A30EA2" w:rsidRDefault="006F5C80" w:rsidP="00586B8F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Conforme as Condições da SUSEP, o Seguro-garantia indeniza prejuízos comprovados, até o valor descrito na apólice.</w:t>
            </w:r>
          </w:p>
          <w:p w:rsidR="00586B8F" w:rsidRDefault="00586B8F" w:rsidP="00586B8F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86B8F" w:rsidRPr="00586B8F" w:rsidRDefault="00586B8F" w:rsidP="00586B8F">
            <w:pPr>
              <w:jc w:val="both"/>
            </w:pP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4D421E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C102D5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C03167">
        <w:rPr>
          <w:rFonts w:eastAsia="PMingLiU" w:cs="Arial"/>
          <w:color w:val="000000"/>
          <w:szCs w:val="24"/>
        </w:rPr>
        <w:t>29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B12" w:rsidRDefault="002F5B12" w:rsidP="00842086">
      <w:r>
        <w:separator/>
      </w:r>
    </w:p>
  </w:endnote>
  <w:endnote w:type="continuationSeparator" w:id="0">
    <w:p w:rsidR="002F5B12" w:rsidRDefault="002F5B12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7D6086">
    <w:pPr>
      <w:pStyle w:val="Rodap"/>
      <w:jc w:val="right"/>
    </w:pPr>
    <w:r>
      <w:fldChar w:fldCharType="begin"/>
    </w:r>
    <w:r w:rsidR="006F5C80">
      <w:instrText xml:space="preserve"> PAGE   \* MERGEFORMAT </w:instrText>
    </w:r>
    <w:r>
      <w:fldChar w:fldCharType="separate"/>
    </w:r>
    <w:r w:rsidR="00666034">
      <w:rPr>
        <w:noProof/>
      </w:rPr>
      <w:t>2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7D6086">
    <w:pPr>
      <w:pStyle w:val="Rodap"/>
      <w:jc w:val="right"/>
    </w:pPr>
    <w:r>
      <w:fldChar w:fldCharType="begin"/>
    </w:r>
    <w:r w:rsidR="006F5C80">
      <w:instrText xml:space="preserve"> PAGE   \* MERGEFORMAT </w:instrText>
    </w:r>
    <w:r>
      <w:fldChar w:fldCharType="separate"/>
    </w:r>
    <w:r w:rsidR="00666034">
      <w:rPr>
        <w:noProof/>
      </w:rPr>
      <w:t>1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B12" w:rsidRDefault="002F5B12" w:rsidP="00842086">
      <w:r>
        <w:separator/>
      </w:r>
    </w:p>
  </w:footnote>
  <w:footnote w:type="continuationSeparator" w:id="0">
    <w:p w:rsidR="002F5B12" w:rsidRDefault="002F5B12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162E18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162E18" w:rsidRPr="00174E73" w:rsidTr="00395E2D">
      <w:tc>
        <w:tcPr>
          <w:tcW w:w="6629" w:type="dxa"/>
        </w:tcPr>
        <w:p w:rsidR="00162E18" w:rsidRPr="00174E73" w:rsidRDefault="00395E2D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 w:rsidRPr="00174E73">
            <w:rPr>
              <w:rFonts w:ascii="Arial" w:hAnsi="Arial" w:cs="Arial"/>
              <w:b/>
              <w:sz w:val="24"/>
              <w:szCs w:val="24"/>
            </w:rPr>
            <w:t>Natural e Biocombustíveis</w:t>
          </w:r>
          <w:proofErr w:type="gramEnd"/>
        </w:p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 w:rsidR="00A30EA2"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162E18" w:rsidRDefault="00162E18" w:rsidP="00395E2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87A97"/>
    <w:rsid w:val="000D0DA2"/>
    <w:rsid w:val="000E6393"/>
    <w:rsid w:val="00103946"/>
    <w:rsid w:val="00140CA6"/>
    <w:rsid w:val="00162E18"/>
    <w:rsid w:val="00174E73"/>
    <w:rsid w:val="001965B6"/>
    <w:rsid w:val="002F5B12"/>
    <w:rsid w:val="00314BDB"/>
    <w:rsid w:val="00327F69"/>
    <w:rsid w:val="00395E2D"/>
    <w:rsid w:val="004003CC"/>
    <w:rsid w:val="0040140A"/>
    <w:rsid w:val="00412AA7"/>
    <w:rsid w:val="00471ADB"/>
    <w:rsid w:val="004A005A"/>
    <w:rsid w:val="004C0021"/>
    <w:rsid w:val="004D421E"/>
    <w:rsid w:val="005600AD"/>
    <w:rsid w:val="0056683F"/>
    <w:rsid w:val="00586B8F"/>
    <w:rsid w:val="005B3CEF"/>
    <w:rsid w:val="005B7D75"/>
    <w:rsid w:val="005C5B4E"/>
    <w:rsid w:val="005D7856"/>
    <w:rsid w:val="0062557C"/>
    <w:rsid w:val="00666034"/>
    <w:rsid w:val="006F5C80"/>
    <w:rsid w:val="007178AA"/>
    <w:rsid w:val="007262F6"/>
    <w:rsid w:val="00764EB1"/>
    <w:rsid w:val="007662D7"/>
    <w:rsid w:val="0077000F"/>
    <w:rsid w:val="007D6086"/>
    <w:rsid w:val="007E2560"/>
    <w:rsid w:val="007F7936"/>
    <w:rsid w:val="0083277E"/>
    <w:rsid w:val="00842086"/>
    <w:rsid w:val="008500E0"/>
    <w:rsid w:val="00854EE5"/>
    <w:rsid w:val="008675C5"/>
    <w:rsid w:val="008E7D7F"/>
    <w:rsid w:val="0092578B"/>
    <w:rsid w:val="009271A8"/>
    <w:rsid w:val="00983F26"/>
    <w:rsid w:val="0099566E"/>
    <w:rsid w:val="00A30EA2"/>
    <w:rsid w:val="00A37D0A"/>
    <w:rsid w:val="00A621DA"/>
    <w:rsid w:val="00A73456"/>
    <w:rsid w:val="00A76862"/>
    <w:rsid w:val="00A91CC2"/>
    <w:rsid w:val="00AC3176"/>
    <w:rsid w:val="00AC75F7"/>
    <w:rsid w:val="00AC7BE3"/>
    <w:rsid w:val="00AE02B1"/>
    <w:rsid w:val="00B13EFD"/>
    <w:rsid w:val="00B43186"/>
    <w:rsid w:val="00BC1BBC"/>
    <w:rsid w:val="00BE0221"/>
    <w:rsid w:val="00C03167"/>
    <w:rsid w:val="00C102D5"/>
    <w:rsid w:val="00C57F32"/>
    <w:rsid w:val="00C74E5E"/>
    <w:rsid w:val="00C85228"/>
    <w:rsid w:val="00C855A3"/>
    <w:rsid w:val="00CF02E6"/>
    <w:rsid w:val="00CF2944"/>
    <w:rsid w:val="00DE6FF5"/>
    <w:rsid w:val="00DF2B75"/>
    <w:rsid w:val="00E548B4"/>
    <w:rsid w:val="00E75BB3"/>
    <w:rsid w:val="00E91A45"/>
    <w:rsid w:val="00ED28BC"/>
    <w:rsid w:val="00EE38AD"/>
    <w:rsid w:val="00EF4AFC"/>
    <w:rsid w:val="00F503A5"/>
    <w:rsid w:val="00F63177"/>
    <w:rsid w:val="00F637D7"/>
    <w:rsid w:val="00F84E26"/>
    <w:rsid w:val="00F9354F"/>
    <w:rsid w:val="00FD0E1F"/>
    <w:rsid w:val="00FD6EDD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Corpodetexto">
    <w:name w:val="Body Text"/>
    <w:basedOn w:val="Normal"/>
    <w:link w:val="CorpodetextoChar"/>
    <w:semiHidden/>
    <w:rsid w:val="0077000F"/>
    <w:pPr>
      <w:spacing w:line="288" w:lineRule="auto"/>
      <w:jc w:val="both"/>
    </w:pPr>
    <w:rPr>
      <w:rFonts w:ascii="Arial" w:hAnsi="Arial"/>
      <w:sz w:val="22"/>
    </w:rPr>
  </w:style>
  <w:style w:type="character" w:customStyle="1" w:styleId="CorpodetextoChar">
    <w:name w:val="Corpo de texto Char"/>
    <w:basedOn w:val="Fontepargpadro"/>
    <w:link w:val="Corpodetexto"/>
    <w:semiHidden/>
    <w:rsid w:val="0077000F"/>
    <w:rPr>
      <w:rFonts w:ascii="Arial" w:hAnsi="Arial"/>
      <w:sz w:val="22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1AFF2-96EB-4A93-8179-9A9CD832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Eduardo Peçanha</cp:lastModifiedBy>
  <cp:revision>7</cp:revision>
  <cp:lastPrinted>2013-07-29T17:45:00Z</cp:lastPrinted>
  <dcterms:created xsi:type="dcterms:W3CDTF">2013-07-29T14:11:00Z</dcterms:created>
  <dcterms:modified xsi:type="dcterms:W3CDTF">2013-07-29T21:32:00Z</dcterms:modified>
</cp:coreProperties>
</file>