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5A" w:rsidRDefault="007F175A">
      <w:pPr>
        <w:jc w:val="center"/>
        <w:rPr>
          <w:rFonts w:ascii="Arial" w:hAnsi="Arial" w:cs="Arial"/>
          <w:b/>
          <w:sz w:val="28"/>
        </w:rPr>
      </w:pPr>
    </w:p>
    <w:p w:rsidR="007F175A" w:rsidRDefault="00433F9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>FORMULÁRIO DE COMENTÁRIOS/SUGESTÕES</w:t>
      </w:r>
    </w:p>
    <w:p w:rsidR="007F175A" w:rsidRDefault="007F175A">
      <w:pPr>
        <w:rPr>
          <w:rFonts w:ascii="Arial" w:hAnsi="Arial" w:cs="Arial"/>
          <w:sz w:val="24"/>
        </w:rPr>
      </w:pPr>
    </w:p>
    <w:p w:rsidR="007F175A" w:rsidRDefault="00433F93">
      <w:pPr>
        <w:pStyle w:val="Legenda"/>
        <w:jc w:val="center"/>
        <w:rPr>
          <w:rFonts w:cs="Arial"/>
        </w:rPr>
      </w:pPr>
      <w:r>
        <w:rPr>
          <w:rFonts w:cs="Arial"/>
        </w:rPr>
        <w:t>CONSULTA PÚBLICA E AUDIÊNCIA PÚBLUCIA Nº 20/2013</w:t>
      </w:r>
    </w:p>
    <w:p w:rsidR="007F175A" w:rsidRDefault="007F175A">
      <w:pPr>
        <w:pStyle w:val="Legenda"/>
        <w:jc w:val="center"/>
        <w:rPr>
          <w:rFonts w:cs="Arial"/>
        </w:rPr>
      </w:pPr>
    </w:p>
    <w:p w:rsidR="007F175A" w:rsidRDefault="00433F93">
      <w:pPr>
        <w:pStyle w:val="Legenda"/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>Prazo para envio de contribuições: 29/ 07/2013 (18 horas)</w:t>
      </w:r>
    </w:p>
    <w:p w:rsidR="007F175A" w:rsidRDefault="007F175A"/>
    <w:p w:rsidR="007F175A" w:rsidRDefault="007F175A"/>
    <w:p w:rsidR="007F175A" w:rsidRDefault="007F175A">
      <w:pPr>
        <w:pStyle w:val="Legenda"/>
        <w:jc w:val="both"/>
        <w:rPr>
          <w:rFonts w:cs="Arial"/>
          <w:b/>
        </w:rPr>
      </w:pPr>
    </w:p>
    <w:p w:rsidR="007F175A" w:rsidRDefault="00433F9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Identificação:</w:t>
      </w:r>
    </w:p>
    <w:p w:rsidR="007F175A" w:rsidRDefault="007F175A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7F175A">
        <w:trPr>
          <w:trHeight w:val="510"/>
        </w:trPr>
        <w:tc>
          <w:tcPr>
            <w:tcW w:w="788" w:type="pct"/>
            <w:vAlign w:val="center"/>
          </w:tcPr>
          <w:p w:rsidR="007F175A" w:rsidRDefault="00433F9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7F175A" w:rsidRDefault="00433F9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ECOPETROL S.A.</w:t>
            </w:r>
          </w:p>
        </w:tc>
      </w:tr>
    </w:tbl>
    <w:p w:rsidR="007F175A" w:rsidRDefault="007F175A">
      <w:pPr>
        <w:rPr>
          <w:rFonts w:ascii="Arial" w:hAnsi="Arial" w:cs="Arial"/>
          <w:sz w:val="24"/>
          <w:szCs w:val="24"/>
        </w:rPr>
      </w:pPr>
    </w:p>
    <w:p w:rsidR="007F175A" w:rsidRDefault="007F175A">
      <w:pPr>
        <w:pStyle w:val="Legenda"/>
        <w:jc w:val="both"/>
        <w:rPr>
          <w:rFonts w:cs="Arial"/>
          <w:b/>
          <w:szCs w:val="24"/>
        </w:rPr>
      </w:pPr>
    </w:p>
    <w:p w:rsidR="007F175A" w:rsidRDefault="00433F93">
      <w:pPr>
        <w:pStyle w:val="Legenda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Comentários/sugestões:</w:t>
      </w:r>
    </w:p>
    <w:p w:rsidR="007F175A" w:rsidRDefault="007F175A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7F175A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7F175A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Edital ou Contrato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808080" w:themeColor="background1" w:themeShade="80"/>
                <w:szCs w:val="24"/>
              </w:rPr>
            </w:pPr>
            <w:r>
              <w:rPr>
                <w:rFonts w:cs="Arial"/>
                <w:color w:val="808080" w:themeColor="background1" w:themeShade="80"/>
                <w:szCs w:val="24"/>
              </w:rPr>
              <w:t>Inserir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808080" w:themeColor="background1" w:themeShade="80"/>
                <w:szCs w:val="24"/>
              </w:rPr>
            </w:pPr>
            <w:r>
              <w:rPr>
                <w:rFonts w:cs="Arial"/>
                <w:color w:val="808080" w:themeColor="background1" w:themeShade="80"/>
                <w:szCs w:val="24"/>
              </w:rPr>
              <w:t>Inserir justificativa</w:t>
            </w:r>
          </w:p>
        </w:tc>
      </w:tr>
      <w:tr w:rsidR="007F175A">
        <w:trPr>
          <w:trHeight w:val="1368"/>
        </w:trPr>
        <w:tc>
          <w:tcPr>
            <w:tcW w:w="638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65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lang w:val="es-CO"/>
              </w:rPr>
            </w:pPr>
            <w:r>
              <w:rPr>
                <w:rFonts w:cs="Arial"/>
                <w:color w:val="000000" w:themeColor="text1"/>
                <w:szCs w:val="24"/>
                <w:lang w:val="es-CO"/>
              </w:rPr>
              <w:t>4.2.7</w:t>
            </w:r>
          </w:p>
        </w:tc>
        <w:tc>
          <w:tcPr>
            <w:tcW w:w="1950" w:type="pct"/>
            <w:vAlign w:val="center"/>
          </w:tcPr>
          <w:p w:rsidR="007F175A" w:rsidRDefault="00433F93">
            <w:pPr>
              <w:pStyle w:val="Legenda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Neste item se estabelece que:</w:t>
            </w:r>
          </w:p>
          <w:p w:rsidR="007F175A" w:rsidRDefault="007F175A">
            <w:pPr>
              <w:pStyle w:val="Edital-CT"/>
              <w:spacing w:before="0" w:after="0"/>
              <w:rPr>
                <w:sz w:val="24"/>
                <w:szCs w:val="24"/>
              </w:rPr>
            </w:pPr>
          </w:p>
          <w:p w:rsidR="007F175A" w:rsidRDefault="00433F93">
            <w:pPr>
              <w:pStyle w:val="Edital-C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 Garantia de Oferta será devolvida em um prazo máximo de 15 (quinze) dias a partir de agendamento junto à Superintendência de Promoção de Licitações da ANP.”</w:t>
            </w:r>
          </w:p>
          <w:p w:rsidR="007F175A" w:rsidRDefault="007F175A">
            <w:pPr>
              <w:pStyle w:val="Edital-CT"/>
              <w:spacing w:before="0" w:after="0"/>
              <w:rPr>
                <w:sz w:val="24"/>
                <w:szCs w:val="24"/>
              </w:rPr>
            </w:pPr>
          </w:p>
          <w:p w:rsidR="007F175A" w:rsidRDefault="00433F93">
            <w:pPr>
              <w:pStyle w:val="Edital-CT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Não está claro neste item em que momento se inicia o período para o agendamento junto à SPL. Sugerimos que este item indique expressamente </w:t>
            </w:r>
            <w:r>
              <w:rPr>
                <w:sz w:val="24"/>
                <w:szCs w:val="24"/>
              </w:rPr>
              <w:lastRenderedPageBreak/>
              <w:t xml:space="preserve">o período exato no qual os licitantes poderão </w:t>
            </w:r>
            <w:proofErr w:type="gramStart"/>
            <w:r>
              <w:rPr>
                <w:sz w:val="24"/>
                <w:szCs w:val="24"/>
              </w:rPr>
              <w:t>proceder o</w:t>
            </w:r>
            <w:proofErr w:type="gramEnd"/>
            <w:r>
              <w:rPr>
                <w:sz w:val="24"/>
                <w:szCs w:val="24"/>
              </w:rPr>
              <w:t xml:space="preserve"> referido agendamento.</w:t>
            </w:r>
          </w:p>
        </w:tc>
        <w:tc>
          <w:tcPr>
            <w:tcW w:w="176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Necessidade de maior clareza na redação.</w:t>
            </w:r>
          </w:p>
        </w:tc>
      </w:tr>
      <w:tr w:rsidR="007F175A">
        <w:trPr>
          <w:trHeight w:val="1025"/>
        </w:trPr>
        <w:tc>
          <w:tcPr>
            <w:tcW w:w="638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lang w:val="es-CO"/>
              </w:rPr>
            </w:pPr>
            <w:proofErr w:type="spellStart"/>
            <w:r>
              <w:rPr>
                <w:rFonts w:cs="Arial"/>
                <w:color w:val="000000" w:themeColor="text1"/>
                <w:szCs w:val="24"/>
                <w:lang w:val="es-CO"/>
              </w:rPr>
              <w:lastRenderedPageBreak/>
              <w:t>Edital</w:t>
            </w:r>
            <w:proofErr w:type="spellEnd"/>
            <w:r>
              <w:rPr>
                <w:rFonts w:cs="Arial"/>
                <w:color w:val="000000" w:themeColor="text1"/>
                <w:szCs w:val="24"/>
                <w:lang w:val="es-CO"/>
              </w:rPr>
              <w:t xml:space="preserve"> </w:t>
            </w:r>
          </w:p>
        </w:tc>
        <w:tc>
          <w:tcPr>
            <w:tcW w:w="65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lang w:val="es-CO"/>
              </w:rPr>
            </w:pPr>
            <w:r>
              <w:rPr>
                <w:rFonts w:cs="Arial"/>
                <w:color w:val="000000" w:themeColor="text1"/>
                <w:szCs w:val="24"/>
                <w:lang w:val="es-CO"/>
              </w:rPr>
              <w:t>6.3.1</w:t>
            </w:r>
          </w:p>
        </w:tc>
        <w:tc>
          <w:tcPr>
            <w:tcW w:w="1950" w:type="pct"/>
            <w:vAlign w:val="center"/>
          </w:tcPr>
          <w:p w:rsidR="007F175A" w:rsidRDefault="00433F93">
            <w:pPr>
              <w:pStyle w:val="Legenda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Neste item se estabelece o seguinte:</w:t>
            </w:r>
          </w:p>
          <w:p w:rsidR="007F175A" w:rsidRDefault="007F175A">
            <w:pPr>
              <w:pStyle w:val="Edital-CT"/>
              <w:spacing w:before="0" w:after="0"/>
              <w:jc w:val="both"/>
              <w:rPr>
                <w:rStyle w:val="Edital-CTChar"/>
                <w:sz w:val="24"/>
                <w:szCs w:val="24"/>
              </w:rPr>
            </w:pPr>
          </w:p>
          <w:p w:rsidR="007F175A" w:rsidRDefault="00433F93">
            <w:pPr>
              <w:pStyle w:val="Edital-CT"/>
              <w:spacing w:before="0" w:after="0"/>
              <w:jc w:val="both"/>
              <w:rPr>
                <w:rStyle w:val="Edital-CTChar"/>
                <w:sz w:val="24"/>
                <w:szCs w:val="24"/>
              </w:rPr>
            </w:pPr>
            <w:r>
              <w:rPr>
                <w:rStyle w:val="Edital-CTChar"/>
                <w:sz w:val="24"/>
                <w:szCs w:val="24"/>
              </w:rPr>
              <w:t xml:space="preserve">“Caso a oferta vencedora da licitação tenha sido apresentada por sociedades empresárias em consórcio e uma destas sociedades empresárias desista de assinar o Contrato de Partilha de Produção, as demais sociedades empresárias integrantes do consórcio poderão assumir as responsabilidades da desistente, sem prejuízo da eventual aplicação de sanções administrativas, conforme previsto na Seção </w:t>
            </w:r>
            <w:r w:rsidR="00E534BA">
              <w:fldChar w:fldCharType="begin"/>
            </w:r>
            <w:r>
              <w:instrText xml:space="preserve"> REF _Ref296007199 \r \h  \* MERGEFORMAT </w:instrText>
            </w:r>
            <w:r w:rsidR="00E534BA">
              <w:fldChar w:fldCharType="separate"/>
            </w:r>
            <w:proofErr w:type="gramStart"/>
            <w:r>
              <w:t>7</w:t>
            </w:r>
            <w:proofErr w:type="gramEnd"/>
            <w:r w:rsidR="00E534BA">
              <w:fldChar w:fldCharType="end"/>
            </w:r>
            <w:r>
              <w:rPr>
                <w:rStyle w:val="Edital-CTChar"/>
                <w:sz w:val="24"/>
                <w:szCs w:val="24"/>
              </w:rPr>
              <w:t xml:space="preserve"> deste Edital.”</w:t>
            </w:r>
          </w:p>
          <w:p w:rsidR="007F175A" w:rsidRDefault="007F175A">
            <w:pPr>
              <w:pStyle w:val="Edital-CT"/>
              <w:spacing w:before="0" w:after="0"/>
              <w:jc w:val="both"/>
              <w:rPr>
                <w:rStyle w:val="Edital-CTChar"/>
                <w:sz w:val="24"/>
                <w:szCs w:val="24"/>
              </w:rPr>
            </w:pPr>
          </w:p>
          <w:p w:rsidR="007F175A" w:rsidRDefault="00433F93">
            <w:pPr>
              <w:pStyle w:val="Edital-CT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Style w:val="Edital-CTChar"/>
                <w:sz w:val="24"/>
                <w:szCs w:val="24"/>
              </w:rPr>
              <w:t>A esse respeito, respeitosamente sugerimos que seja incluído um mecanismo neste item do Edital determinando que o percentual de participação da parte que retirante deverá ser distribuído proporcionalmente entre as partes remanescentes, segundo seus respectivos percentuais de participação, exceto se de outro modo solicitado pelas partes remanescentes, e desde que preservados os 100% exigidos.</w:t>
            </w:r>
          </w:p>
        </w:tc>
        <w:tc>
          <w:tcPr>
            <w:tcW w:w="1761" w:type="pct"/>
            <w:vAlign w:val="center"/>
          </w:tcPr>
          <w:p w:rsidR="007F175A" w:rsidRDefault="00433F93">
            <w:pPr>
              <w:pStyle w:val="Textodecomentri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000000" w:themeColor="text1"/>
                <w:sz w:val="24"/>
                <w:szCs w:val="24"/>
              </w:rPr>
              <w:t>É necessária a inclusão de esclarecimento, de modo a evitar quaisquer questionamentos ou conflitos entre as partes remanescentes no caso de desistência de alguma sociedade integrante do consórcio.</w:t>
            </w:r>
          </w:p>
          <w:p w:rsidR="007F175A" w:rsidRDefault="007F175A">
            <w:pPr>
              <w:pStyle w:val="Textodecomentrio"/>
              <w:rPr>
                <w:rFonts w:cs="Arial"/>
                <w:sz w:val="24"/>
                <w:szCs w:val="24"/>
              </w:rPr>
            </w:pPr>
          </w:p>
        </w:tc>
      </w:tr>
      <w:tr w:rsidR="007F175A">
        <w:trPr>
          <w:trHeight w:val="2551"/>
        </w:trPr>
        <w:tc>
          <w:tcPr>
            <w:tcW w:w="638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lang w:val="es-CO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  <w:lang w:val="es-CO"/>
              </w:rPr>
            </w:pPr>
            <w:r>
              <w:rPr>
                <w:rFonts w:cs="Arial"/>
                <w:color w:val="000000" w:themeColor="text1"/>
                <w:szCs w:val="24"/>
              </w:rPr>
              <w:t>10.2</w:t>
            </w:r>
          </w:p>
        </w:tc>
        <w:tc>
          <w:tcPr>
            <w:tcW w:w="1950" w:type="pct"/>
            <w:vAlign w:val="center"/>
          </w:tcPr>
          <w:p w:rsidR="007F175A" w:rsidRDefault="00433F93">
            <w:pPr>
              <w:pStyle w:val="Legenda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Neste item se estabelece que:</w:t>
            </w:r>
          </w:p>
          <w:p w:rsidR="007F175A" w:rsidRDefault="007F175A">
            <w:pPr>
              <w:rPr>
                <w:rFonts w:ascii="Arial" w:hAnsi="Arial" w:cs="Arial"/>
                <w:sz w:val="24"/>
                <w:szCs w:val="24"/>
              </w:rPr>
            </w:pPr>
          </w:p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“A ANP se reserva o direito de, unilateralmente, revisar os cronogramas, condições e procedimentos relativos à Primeira Licitação de Partilha de Produção, dando a devida publicidade, podendo inclusive, inabilitar qualquer sociedade empresária previamente habilitada nos casos de comprovada falsidade </w:t>
            </w:r>
            <w:proofErr w:type="gramStart"/>
            <w:r>
              <w:rPr>
                <w:rFonts w:cs="Arial"/>
                <w:sz w:val="24"/>
                <w:szCs w:val="24"/>
              </w:rPr>
              <w:t>ideológica,</w:t>
            </w:r>
            <w:proofErr w:type="gramEnd"/>
            <w:r>
              <w:rPr>
                <w:rFonts w:cs="Arial"/>
                <w:sz w:val="24"/>
                <w:szCs w:val="24"/>
              </w:rPr>
              <w:t>(...)”</w:t>
            </w:r>
          </w:p>
          <w:p w:rsidR="007F175A" w:rsidRDefault="007F175A">
            <w:pPr>
              <w:pStyle w:val="Legenda"/>
              <w:jc w:val="both"/>
              <w:rPr>
                <w:rFonts w:cs="Arial"/>
                <w:szCs w:val="24"/>
              </w:rPr>
            </w:pPr>
          </w:p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Não está claro de que modo uma suposta falsidade ideológica seria provada, se por mera decisão da ANP ou após decisão final de autoridade judicial. Sugerimos que o item esclareça a esse respeito.</w:t>
            </w:r>
          </w:p>
        </w:tc>
        <w:tc>
          <w:tcPr>
            <w:tcW w:w="1761" w:type="pct"/>
            <w:vAlign w:val="center"/>
          </w:tcPr>
          <w:p w:rsidR="007F175A" w:rsidRDefault="00433F93">
            <w:pPr>
              <w:pStyle w:val="Textodecomentri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000000" w:themeColor="text1"/>
                <w:sz w:val="24"/>
                <w:szCs w:val="24"/>
              </w:rPr>
              <w:t>Necessidade de maior segurança aos licitantes.</w:t>
            </w:r>
          </w:p>
        </w:tc>
      </w:tr>
      <w:tr w:rsidR="007F175A">
        <w:trPr>
          <w:trHeight w:val="77"/>
        </w:trPr>
        <w:tc>
          <w:tcPr>
            <w:tcW w:w="638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65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12.1 </w:t>
            </w:r>
          </w:p>
        </w:tc>
        <w:tc>
          <w:tcPr>
            <w:tcW w:w="1950" w:type="pct"/>
            <w:vAlign w:val="center"/>
          </w:tcPr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Neste item se estabelece</w:t>
            </w:r>
          </w:p>
          <w:p w:rsidR="007F175A" w:rsidRDefault="007F175A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sz w:val="24"/>
                <w:szCs w:val="24"/>
              </w:rPr>
            </w:pPr>
          </w:p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rFonts w:cs="Arial"/>
                <w:sz w:val="24"/>
                <w:szCs w:val="24"/>
              </w:rPr>
            </w:pPr>
            <w:bookmarkStart w:id="0" w:name="_Ref360120757"/>
            <w:r>
              <w:rPr>
                <w:rFonts w:cs="Arial"/>
                <w:sz w:val="24"/>
                <w:szCs w:val="24"/>
              </w:rPr>
              <w:t>“Qualquer Descoberta de Petróleo ou Gás Natural na Área do Contrato deverá ser notificada pelos Consorciados à ANP, em caráter exclusivo e por escrito, no prazo máximo de 72 (setenta e duas) horas</w:t>
            </w:r>
            <w:proofErr w:type="gramStart"/>
            <w:r>
              <w:rPr>
                <w:rFonts w:cs="Arial"/>
                <w:sz w:val="24"/>
                <w:szCs w:val="24"/>
              </w:rPr>
              <w:t>”</w:t>
            </w:r>
            <w:proofErr w:type="gramEnd"/>
          </w:p>
          <w:p w:rsidR="007F175A" w:rsidRDefault="007F175A">
            <w:pPr>
              <w:pStyle w:val="Legenda"/>
              <w:jc w:val="both"/>
              <w:rPr>
                <w:rFonts w:cs="Arial"/>
                <w:szCs w:val="24"/>
              </w:rPr>
            </w:pPr>
          </w:p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Não está claro </w:t>
            </w:r>
            <w:r>
              <w:rPr>
                <w:sz w:val="24"/>
                <w:szCs w:val="24"/>
              </w:rPr>
              <w:t xml:space="preserve">a partir de que momento técnico deve ser </w:t>
            </w:r>
            <w:proofErr w:type="gramStart"/>
            <w:r>
              <w:rPr>
                <w:sz w:val="24"/>
                <w:szCs w:val="24"/>
              </w:rPr>
              <w:t>iniciada</w:t>
            </w:r>
            <w:proofErr w:type="gramEnd"/>
            <w:r>
              <w:rPr>
                <w:sz w:val="24"/>
                <w:szCs w:val="24"/>
              </w:rPr>
              <w:t xml:space="preserve"> a contagem do prazo de 72 horas</w:t>
            </w:r>
            <w:r>
              <w:rPr>
                <w:rFonts w:cs="Arial"/>
                <w:sz w:val="24"/>
                <w:szCs w:val="24"/>
              </w:rPr>
              <w:t>.</w:t>
            </w:r>
            <w:bookmarkEnd w:id="0"/>
            <w:r>
              <w:rPr>
                <w:rFonts w:cs="Arial"/>
                <w:sz w:val="24"/>
                <w:szCs w:val="24"/>
              </w:rPr>
              <w:t xml:space="preserve"> Sugerimos que o item seja mais específico a esse respeito. </w:t>
            </w:r>
          </w:p>
        </w:tc>
        <w:tc>
          <w:tcPr>
            <w:tcW w:w="176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Necessidade de maior clareza na redação.</w:t>
            </w:r>
          </w:p>
        </w:tc>
      </w:tr>
      <w:tr w:rsidR="007F175A">
        <w:trPr>
          <w:trHeight w:val="2551"/>
        </w:trPr>
        <w:tc>
          <w:tcPr>
            <w:tcW w:w="638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lang w:val="es-CO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Minuta do Contrato</w:t>
            </w:r>
          </w:p>
        </w:tc>
        <w:tc>
          <w:tcPr>
            <w:tcW w:w="65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lang w:val="es-CO"/>
              </w:rPr>
            </w:pPr>
            <w:r>
              <w:rPr>
                <w:rFonts w:cs="Arial"/>
                <w:color w:val="000000" w:themeColor="text1"/>
                <w:sz w:val="20"/>
                <w:lang w:val="es-CO"/>
              </w:rPr>
              <w:t xml:space="preserve">7.1.2 </w:t>
            </w:r>
          </w:p>
        </w:tc>
        <w:tc>
          <w:tcPr>
            <w:tcW w:w="1950" w:type="pct"/>
            <w:vAlign w:val="center"/>
          </w:tcPr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Neste item se estabelece que:</w:t>
            </w:r>
          </w:p>
          <w:p w:rsidR="007F175A" w:rsidRDefault="007F175A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sz w:val="24"/>
                <w:szCs w:val="24"/>
              </w:rPr>
            </w:pPr>
          </w:p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“O Contratado tem até o dia 30 de junho do ano seguinte ao ano </w:t>
            </w:r>
            <w:r>
              <w:rPr>
                <w:rFonts w:cs="Arial"/>
                <w:sz w:val="24"/>
                <w:szCs w:val="24"/>
              </w:rPr>
              <w:t>calendário</w:t>
            </w:r>
            <w:r>
              <w:rPr>
                <w:sz w:val="24"/>
                <w:szCs w:val="24"/>
              </w:rPr>
              <w:t xml:space="preserve"> de apuração do Valor Bruto da Produção para contratar a aplicação destes recursos.”</w:t>
            </w:r>
          </w:p>
          <w:p w:rsidR="007F175A" w:rsidRDefault="007F175A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sz w:val="24"/>
                <w:szCs w:val="24"/>
              </w:rPr>
            </w:pPr>
          </w:p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Não está claro se, para contratação desses recursos, serão utilizadas as mesmas regras aplicáveis aos Contratos de Concessão. A Resolução ANP 33/2005, que </w:t>
            </w:r>
            <w:r>
              <w:rPr>
                <w:rFonts w:cs="Arial"/>
                <w:sz w:val="24"/>
                <w:szCs w:val="24"/>
              </w:rPr>
              <w:t>regula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a realização de investimentos em P&amp;D, refere-se apenas aos Contratos de Concessão</w:t>
            </w:r>
            <w:r>
              <w:rPr>
                <w:sz w:val="24"/>
                <w:szCs w:val="24"/>
              </w:rPr>
              <w:t>. Sugerimos que a cláusula inclua esclarecimento a esse respeito.</w:t>
            </w:r>
          </w:p>
        </w:tc>
        <w:tc>
          <w:tcPr>
            <w:tcW w:w="176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Necessidade de maior clareza na redação.</w:t>
            </w:r>
          </w:p>
        </w:tc>
      </w:tr>
      <w:tr w:rsidR="007F175A">
        <w:trPr>
          <w:trHeight w:val="2551"/>
        </w:trPr>
        <w:tc>
          <w:tcPr>
            <w:tcW w:w="638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lang w:val="es-CO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65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 w:val="20"/>
                <w:lang w:val="es-CO"/>
              </w:rPr>
            </w:pPr>
            <w:r>
              <w:rPr>
                <w:rFonts w:cs="Arial"/>
                <w:color w:val="000000" w:themeColor="text1"/>
                <w:sz w:val="20"/>
                <w:lang w:val="es-CO"/>
              </w:rPr>
              <w:t>9.2</w:t>
            </w:r>
          </w:p>
        </w:tc>
        <w:tc>
          <w:tcPr>
            <w:tcW w:w="1950" w:type="pct"/>
            <w:vAlign w:val="center"/>
          </w:tcPr>
          <w:p w:rsidR="007F175A" w:rsidRDefault="00433F93">
            <w:pPr>
              <w:pStyle w:val="CTOAsubpargrafo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Neste item se estabelece</w:t>
            </w:r>
          </w:p>
          <w:p w:rsidR="007F175A" w:rsidRDefault="00433F93">
            <w:pPr>
              <w:pStyle w:val="CTOAsubpargrafo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“A parcela do Excedente em Óleo cabível à Contratante será variável em função da média do preço do Petróleo tipo Brent e da média da Produção diária por poço produtor por Campo”</w:t>
            </w:r>
          </w:p>
          <w:p w:rsidR="007F175A" w:rsidRDefault="00433F93">
            <w:pPr>
              <w:pStyle w:val="CTOAsubpargrafo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Não está claro se o Excedente em Óleo será calculado para cada poço produtor ou se será feita uma média da produção de todos os poços produtores. Sugerimos a inclusão de esclarecimento a esse respeito.</w:t>
            </w:r>
          </w:p>
          <w:p w:rsidR="007F175A" w:rsidRDefault="007F175A">
            <w:pPr>
              <w:pStyle w:val="CTOAsubpargrafo"/>
              <w:numPr>
                <w:ilvl w:val="0"/>
                <w:numId w:val="0"/>
              </w:numPr>
              <w:spacing w:before="0" w:after="0"/>
              <w:ind w:left="33"/>
              <w:rPr>
                <w:sz w:val="24"/>
                <w:szCs w:val="24"/>
              </w:rPr>
            </w:pPr>
          </w:p>
          <w:p w:rsidR="007F175A" w:rsidRDefault="00433F93">
            <w:pPr>
              <w:pStyle w:val="CTOAsubpargrafo"/>
              <w:numPr>
                <w:ilvl w:val="0"/>
                <w:numId w:val="0"/>
              </w:numPr>
              <w:spacing w:before="0" w:after="0"/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Esta cláusula indica que o Excedente em Óleo </w:t>
            </w:r>
            <w:r>
              <w:rPr>
                <w:sz w:val="24"/>
                <w:szCs w:val="24"/>
              </w:rPr>
              <w:lastRenderedPageBreak/>
              <w:t>da União será variável de acordo com o preço do petróleo tipo Brent, o que sugere qu</w:t>
            </w:r>
            <w:bookmarkStart w:id="1" w:name="_GoBack"/>
            <w:bookmarkEnd w:id="1"/>
            <w:r>
              <w:rPr>
                <w:sz w:val="24"/>
                <w:szCs w:val="24"/>
              </w:rPr>
              <w:t>e os preços de referência de eventual produção de gás natural não seriam considerados nessa variação. Entretanto, não há informação expressa a esse respeito. Sugerimos incluir uma confirmação de que a variação do Excedente em Óleo da União não considerará a produção de gás natural (</w:t>
            </w:r>
            <w:proofErr w:type="spellStart"/>
            <w:r>
              <w:rPr>
                <w:sz w:val="24"/>
                <w:szCs w:val="24"/>
              </w:rPr>
              <w:t>boe</w:t>
            </w:r>
            <w:proofErr w:type="spellEnd"/>
            <w:r>
              <w:rPr>
                <w:sz w:val="24"/>
                <w:szCs w:val="24"/>
              </w:rPr>
              <w:t>), mas tão somente a variação do preço do petróleo cru tipo Brent.</w:t>
            </w:r>
          </w:p>
        </w:tc>
        <w:tc>
          <w:tcPr>
            <w:tcW w:w="1761" w:type="pct"/>
            <w:vAlign w:val="center"/>
          </w:tcPr>
          <w:p w:rsidR="007F175A" w:rsidRDefault="00433F9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Necessidade de maior clareza na redação.</w:t>
            </w:r>
          </w:p>
        </w:tc>
      </w:tr>
    </w:tbl>
    <w:p w:rsidR="007F175A" w:rsidRPr="00005B98" w:rsidRDefault="007F175A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7F175A" w:rsidRDefault="00433F93">
      <w:pPr>
        <w:pStyle w:val="Legenda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  <w:u w:val="single"/>
        </w:rPr>
        <w:t>Instruções de envio:</w:t>
      </w:r>
    </w:p>
    <w:p w:rsidR="007F175A" w:rsidRDefault="00433F93">
      <w:pPr>
        <w:pStyle w:val="Legenda"/>
        <w:spacing w:line="360" w:lineRule="auto"/>
        <w:jc w:val="both"/>
      </w:pPr>
      <w:r>
        <w:rPr>
          <w:rFonts w:cs="Arial"/>
          <w:szCs w:val="24"/>
        </w:rPr>
        <w:t xml:space="preserve">Após o preenchimento deste formulário, remeta-o à ANP até </w:t>
      </w:r>
      <w:r>
        <w:rPr>
          <w:rFonts w:eastAsia="PMingLiU" w:cs="Arial"/>
          <w:color w:val="000000"/>
          <w:szCs w:val="24"/>
        </w:rPr>
        <w:t xml:space="preserve">às 18 horas do dia 29 de julho de 2013 </w:t>
      </w:r>
      <w:r>
        <w:rPr>
          <w:rFonts w:cs="Arial"/>
          <w:szCs w:val="24"/>
        </w:rPr>
        <w:t>pelo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>e-mail</w:t>
      </w:r>
      <w:r>
        <w:rPr>
          <w:szCs w:val="24"/>
        </w:rPr>
        <w:t xml:space="preserve"> rodadas@anp.gov.br.</w:t>
      </w:r>
      <w:r>
        <w:rPr>
          <w:rFonts w:cs="Arial"/>
          <w:snapToGrid w:val="0"/>
          <w:color w:val="000000"/>
          <w:szCs w:val="24"/>
        </w:rPr>
        <w:t xml:space="preserve"> A utilização deste formulário é obrigatória, inclusive a manutenção do arquivo no formato Word. Não serão aceitos comentários/sugestões fora do padrão deste formulário.</w:t>
      </w:r>
    </w:p>
    <w:sectPr w:rsidR="007F175A" w:rsidSect="00E534BA">
      <w:footerReference w:type="default" r:id="rId8"/>
      <w:headerReference w:type="first" r:id="rId9"/>
      <w:footerReference w:type="first" r:id="rId10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5A" w:rsidRDefault="00433F93">
      <w:r>
        <w:separator/>
      </w:r>
    </w:p>
  </w:endnote>
  <w:endnote w:type="continuationSeparator" w:id="0">
    <w:p w:rsidR="007F175A" w:rsidRDefault="00433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5A" w:rsidRDefault="00E534BA">
    <w:pPr>
      <w:pStyle w:val="Rodap"/>
      <w:jc w:val="right"/>
    </w:pPr>
    <w:r>
      <w:fldChar w:fldCharType="begin"/>
    </w:r>
    <w:r w:rsidR="00433F93">
      <w:instrText xml:space="preserve"> PAGE   \* MERGEFORMAT </w:instrText>
    </w:r>
    <w:r>
      <w:fldChar w:fldCharType="separate"/>
    </w:r>
    <w:r w:rsidR="002D3CC0">
      <w:rPr>
        <w:noProof/>
      </w:rPr>
      <w:t>2</w:t>
    </w:r>
    <w:r>
      <w:rPr>
        <w:noProof/>
      </w:rPr>
      <w:fldChar w:fldCharType="end"/>
    </w:r>
  </w:p>
  <w:p w:rsidR="007F175A" w:rsidRDefault="007F175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5A" w:rsidRDefault="00E534BA">
    <w:pPr>
      <w:pStyle w:val="Rodap"/>
      <w:jc w:val="right"/>
    </w:pPr>
    <w:r>
      <w:fldChar w:fldCharType="begin"/>
    </w:r>
    <w:r w:rsidR="00433F93">
      <w:instrText xml:space="preserve"> PAGE   \* MERGEFORMAT </w:instrText>
    </w:r>
    <w:r>
      <w:fldChar w:fldCharType="separate"/>
    </w:r>
    <w:r w:rsidR="002D3CC0">
      <w:rPr>
        <w:noProof/>
      </w:rPr>
      <w:t>1</w:t>
    </w:r>
    <w:r>
      <w:rPr>
        <w:noProof/>
      </w:rPr>
      <w:fldChar w:fldCharType="end"/>
    </w:r>
  </w:p>
  <w:p w:rsidR="007F175A" w:rsidRDefault="007F175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5A" w:rsidRDefault="00433F93">
      <w:r>
        <w:separator/>
      </w:r>
    </w:p>
  </w:footnote>
  <w:footnote w:type="continuationSeparator" w:id="0">
    <w:p w:rsidR="007F175A" w:rsidRDefault="00433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7F175A">
      <w:tc>
        <w:tcPr>
          <w:tcW w:w="6629" w:type="dxa"/>
        </w:tcPr>
        <w:p w:rsidR="007F175A" w:rsidRDefault="00433F93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7F175A" w:rsidRDefault="00433F93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7F175A" w:rsidRDefault="00433F93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Consulta Pública e Audiência Pública nº 20/2013</w:t>
          </w:r>
        </w:p>
      </w:tc>
    </w:tr>
  </w:tbl>
  <w:p w:rsidR="007F175A" w:rsidRDefault="007F175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2FEC"/>
    <w:multiLevelType w:val="multilevel"/>
    <w:tmpl w:val="E2A2E528"/>
    <w:styleLink w:val="CTO-ANConsrcio"/>
    <w:lvl w:ilvl="0">
      <w:start w:val="1"/>
      <w:numFmt w:val="decimal"/>
      <w:suff w:val="nothing"/>
      <w:lvlText w:val="SEÇão %1 - "/>
      <w:lvlJc w:val="center"/>
      <w:pPr>
        <w:ind w:left="1418" w:hanging="1418"/>
      </w:pPr>
      <w:rPr>
        <w:rFonts w:ascii="Arial" w:hAnsi="Arial" w:hint="default"/>
        <w:b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681"/>
        </w:tabs>
        <w:ind w:left="568" w:hanging="56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5"/>
        </w:tabs>
        <w:ind w:left="1247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69"/>
        </w:tabs>
        <w:ind w:left="2556" w:hanging="284"/>
      </w:pPr>
      <w:rPr>
        <w:rFonts w:hint="default"/>
      </w:rPr>
    </w:lvl>
  </w:abstractNum>
  <w:abstractNum w:abstractNumId="1">
    <w:nsid w:val="39110A8B"/>
    <w:multiLevelType w:val="multilevel"/>
    <w:tmpl w:val="2774199A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1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CAA1E3D"/>
    <w:multiLevelType w:val="multilevel"/>
    <w:tmpl w:val="E2A2E528"/>
    <w:numStyleLink w:val="CTO-ANConsrcio"/>
  </w:abstractNum>
  <w:abstractNum w:abstractNumId="3">
    <w:nsid w:val="5EE23EF2"/>
    <w:multiLevelType w:val="multilevel"/>
    <w:tmpl w:val="73FE548E"/>
    <w:lvl w:ilvl="0">
      <w:start w:val="1"/>
      <w:numFmt w:val="upperRoman"/>
      <w:pStyle w:val="CTO-TtCap"/>
      <w:suff w:val="nothing"/>
      <w:lvlText w:val="CAPÍTULO %1 - "/>
      <w:lvlJc w:val="center"/>
      <w:pPr>
        <w:ind w:left="0" w:firstLine="0"/>
      </w:pPr>
      <w:rPr>
        <w:rFonts w:ascii="Arial" w:hAnsi="Arial" w:hint="default"/>
        <w:caps/>
        <w:sz w:val="22"/>
      </w:rPr>
    </w:lvl>
    <w:lvl w:ilvl="1">
      <w:start w:val="1"/>
      <w:numFmt w:val="decimal"/>
      <w:lvlRestart w:val="0"/>
      <w:pStyle w:val="CTO-NumClau"/>
      <w:suff w:val="nothing"/>
      <w:lvlText w:val="%2 "/>
      <w:lvlJc w:val="center"/>
      <w:pPr>
        <w:ind w:left="0" w:firstLine="0"/>
      </w:pPr>
      <w:rPr>
        <w:rFonts w:ascii="Arial" w:hAnsi="Arial" w:hint="default"/>
        <w:caps w:val="0"/>
        <w:color w:val="FFFFFF" w:themeColor="background1"/>
        <w:sz w:val="24"/>
      </w:rPr>
    </w:lvl>
    <w:lvl w:ilvl="2">
      <w:start w:val="1"/>
      <w:numFmt w:val="decimal"/>
      <w:pStyle w:val="CTO-TxtClau"/>
      <w:isLgl/>
      <w:lvlText w:val="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CTOAsubpargrafo"/>
      <w:isLgl/>
      <w:lvlText w:val="%2.%3.%4"/>
      <w:lvlJc w:val="left"/>
      <w:pPr>
        <w:ind w:left="1844" w:hanging="85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70401A6E"/>
    <w:multiLevelType w:val="multilevel"/>
    <w:tmpl w:val="7C5A118A"/>
    <w:lvl w:ilvl="0">
      <w:start w:val="1"/>
      <w:numFmt w:val="decimal"/>
      <w:suff w:val="nothing"/>
      <w:lvlText w:val="SEÇão %1 - "/>
      <w:lvlJc w:val="center"/>
      <w:pPr>
        <w:ind w:left="1418" w:hanging="1418"/>
      </w:pPr>
      <w:rPr>
        <w:rFonts w:ascii="Arial" w:hAnsi="Arial" w:hint="default"/>
        <w:b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681"/>
        </w:tabs>
        <w:ind w:left="568" w:hanging="284"/>
      </w:pPr>
      <w:rPr>
        <w:rFonts w:hint="default"/>
      </w:rPr>
    </w:lvl>
    <w:lvl w:ilvl="2">
      <w:start w:val="1"/>
      <w:numFmt w:val="decimal"/>
      <w:pStyle w:val="CTO-Pargrafos"/>
      <w:lvlText w:val="%1.%2.%3"/>
      <w:lvlJc w:val="left"/>
      <w:pPr>
        <w:tabs>
          <w:tab w:val="num" w:pos="965"/>
        </w:tabs>
        <w:ind w:left="1247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69"/>
        </w:tabs>
        <w:ind w:left="2556" w:hanging="284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didIDFlag" w:val="29/07/2013 14:14:55"/>
  </w:docVars>
  <w:rsids>
    <w:rsidRoot w:val="007F175A"/>
    <w:rsid w:val="00005B98"/>
    <w:rsid w:val="00237B13"/>
    <w:rsid w:val="002D3CC0"/>
    <w:rsid w:val="003643B4"/>
    <w:rsid w:val="00433F93"/>
    <w:rsid w:val="007F175A"/>
    <w:rsid w:val="00E5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4BA"/>
    <w:pPr>
      <w:jc w:val="left"/>
    </w:pPr>
    <w:rPr>
      <w:sz w:val="20"/>
      <w:szCs w:val="20"/>
      <w:lang w:eastAsia="pt-BR"/>
    </w:rPr>
  </w:style>
  <w:style w:type="paragraph" w:styleId="Ttulo1">
    <w:name w:val="heading 1"/>
    <w:aliases w:val="EDT - Tit1"/>
    <w:basedOn w:val="Normal"/>
    <w:next w:val="Normal"/>
    <w:link w:val="Ttulo1Char"/>
    <w:autoRedefine/>
    <w:qFormat/>
    <w:rsid w:val="00E534BA"/>
    <w:pPr>
      <w:pageBreakBefore/>
      <w:numPr>
        <w:numId w:val="1"/>
      </w:numPr>
      <w:shd w:val="pct20" w:color="FFFF00" w:fill="auto"/>
      <w:spacing w:before="120" w:after="120" w:line="360" w:lineRule="auto"/>
      <w:ind w:left="431" w:hanging="431"/>
      <w:jc w:val="center"/>
      <w:outlineLvl w:val="0"/>
    </w:pPr>
    <w:rPr>
      <w:rFonts w:ascii="Arial" w:hAnsi="Arial" w:cs="Arial"/>
      <w:b/>
      <w:kern w:val="28"/>
      <w:sz w:val="24"/>
      <w:szCs w:val="22"/>
    </w:rPr>
  </w:style>
  <w:style w:type="paragraph" w:styleId="Ttulo2">
    <w:name w:val="heading 2"/>
    <w:aliases w:val="EDT - Tit 2"/>
    <w:basedOn w:val="Normal"/>
    <w:next w:val="Normal"/>
    <w:link w:val="Ttulo2Char"/>
    <w:autoRedefine/>
    <w:uiPriority w:val="9"/>
    <w:qFormat/>
    <w:rsid w:val="00E534BA"/>
    <w:pPr>
      <w:keepNext/>
      <w:numPr>
        <w:ilvl w:val="1"/>
        <w:numId w:val="1"/>
      </w:numPr>
      <w:spacing w:before="600" w:after="60" w:line="288" w:lineRule="auto"/>
      <w:outlineLvl w:val="1"/>
    </w:pPr>
    <w:rPr>
      <w:rFonts w:ascii="Arial" w:hAnsi="Arial" w:cs="Arial"/>
      <w:b/>
      <w:sz w:val="24"/>
    </w:rPr>
  </w:style>
  <w:style w:type="paragraph" w:styleId="Ttulo3">
    <w:name w:val="heading 3"/>
    <w:aliases w:val="EDT - Tit 3"/>
    <w:next w:val="Normal"/>
    <w:link w:val="Ttulo3Char"/>
    <w:autoRedefine/>
    <w:uiPriority w:val="9"/>
    <w:qFormat/>
    <w:rsid w:val="00E534BA"/>
    <w:pPr>
      <w:keepNext/>
      <w:numPr>
        <w:ilvl w:val="2"/>
        <w:numId w:val="1"/>
      </w:numPr>
      <w:spacing w:before="600" w:after="60" w:line="288" w:lineRule="auto"/>
      <w:jc w:val="left"/>
      <w:outlineLvl w:val="2"/>
    </w:pPr>
    <w:rPr>
      <w:rFonts w:ascii="Arial" w:hAnsi="Arial"/>
      <w:b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E534BA"/>
    <w:pPr>
      <w:keepNext/>
      <w:numPr>
        <w:ilvl w:val="4"/>
        <w:numId w:val="1"/>
      </w:numPr>
      <w:spacing w:line="360" w:lineRule="auto"/>
      <w:outlineLvl w:val="4"/>
    </w:pPr>
    <w:rPr>
      <w:rFonts w:ascii="Arial" w:hAnsi="Arial"/>
      <w:sz w:val="18"/>
    </w:rPr>
  </w:style>
  <w:style w:type="paragraph" w:styleId="Ttulo6">
    <w:name w:val="heading 6"/>
    <w:basedOn w:val="Normal"/>
    <w:next w:val="Normal"/>
    <w:link w:val="Ttulo6Char"/>
    <w:qFormat/>
    <w:rsid w:val="00E534B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link w:val="Ttulo7Char"/>
    <w:qFormat/>
    <w:rsid w:val="00E534BA"/>
    <w:pPr>
      <w:keepNext/>
      <w:numPr>
        <w:ilvl w:val="6"/>
        <w:numId w:val="1"/>
      </w:numPr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E534BA"/>
    <w:pPr>
      <w:keepNext/>
      <w:numPr>
        <w:ilvl w:val="7"/>
        <w:numId w:val="1"/>
      </w:numPr>
      <w:spacing w:before="60"/>
      <w:jc w:val="center"/>
      <w:outlineLvl w:val="7"/>
    </w:pPr>
    <w:rPr>
      <w:rFonts w:ascii="Arial" w:hAnsi="Arial"/>
      <w:b/>
      <w:color w:val="000000"/>
      <w:sz w:val="12"/>
    </w:rPr>
  </w:style>
  <w:style w:type="paragraph" w:styleId="Ttulo9">
    <w:name w:val="heading 9"/>
    <w:basedOn w:val="Normal"/>
    <w:next w:val="Normal"/>
    <w:link w:val="Ttulo9Char"/>
    <w:qFormat/>
    <w:rsid w:val="00E534BA"/>
    <w:pPr>
      <w:keepNext/>
      <w:numPr>
        <w:ilvl w:val="8"/>
        <w:numId w:val="1"/>
      </w:numPr>
      <w:spacing w:line="360" w:lineRule="auto"/>
      <w:jc w:val="center"/>
      <w:outlineLvl w:val="8"/>
    </w:pPr>
    <w:rPr>
      <w:rFonts w:ascii="Arial" w:hAnsi="Arial"/>
      <w:b/>
      <w:i/>
      <w:color w:val="FFFF0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E534BA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E534BA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534B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E534BA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534B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E534BA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34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E534BA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534BA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534B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E534B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E534BA"/>
    <w:rPr>
      <w:rFonts w:cs="Times New Roman"/>
      <w:vertAlign w:val="superscript"/>
    </w:rPr>
  </w:style>
  <w:style w:type="character" w:styleId="Refdecomentrio">
    <w:name w:val="annotation reference"/>
    <w:basedOn w:val="Fontepargpadro"/>
    <w:uiPriority w:val="99"/>
    <w:semiHidden/>
    <w:rsid w:val="00E534BA"/>
    <w:rPr>
      <w:sz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E534BA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534BA"/>
    <w:rPr>
      <w:rFonts w:ascii="Arial" w:hAnsi="Arial"/>
      <w:sz w:val="20"/>
      <w:szCs w:val="20"/>
      <w:lang w:eastAsia="pt-BR"/>
    </w:rPr>
  </w:style>
  <w:style w:type="paragraph" w:customStyle="1" w:styleId="Edital-CT">
    <w:name w:val="Edital - CT"/>
    <w:link w:val="Edital-CTChar"/>
    <w:qFormat/>
    <w:rsid w:val="00E534BA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Fontepargpadro"/>
    <w:link w:val="Edital-CT"/>
    <w:rsid w:val="00E534BA"/>
    <w:rPr>
      <w:rFonts w:ascii="Arial" w:hAnsi="Arial" w:cs="Arial"/>
      <w:sz w:val="22"/>
      <w:szCs w:val="20"/>
      <w:lang w:eastAsia="pt-BR"/>
    </w:rPr>
  </w:style>
  <w:style w:type="character" w:customStyle="1" w:styleId="Ttulo1Char">
    <w:name w:val="Título 1 Char"/>
    <w:aliases w:val="EDT - Tit1 Char"/>
    <w:basedOn w:val="Fontepargpadro"/>
    <w:link w:val="Ttulo1"/>
    <w:rsid w:val="00E534BA"/>
    <w:rPr>
      <w:rFonts w:ascii="Arial" w:hAnsi="Arial" w:cs="Arial"/>
      <w:b/>
      <w:kern w:val="28"/>
      <w:szCs w:val="22"/>
      <w:shd w:val="pct20" w:color="FFFF00" w:fill="auto"/>
      <w:lang w:eastAsia="pt-BR"/>
    </w:rPr>
  </w:style>
  <w:style w:type="character" w:customStyle="1" w:styleId="Ttulo2Char">
    <w:name w:val="Título 2 Char"/>
    <w:aliases w:val="EDT - Tit 2 Char"/>
    <w:basedOn w:val="Fontepargpadro"/>
    <w:link w:val="Ttulo2"/>
    <w:uiPriority w:val="9"/>
    <w:rsid w:val="00E534BA"/>
    <w:rPr>
      <w:rFonts w:ascii="Arial" w:hAnsi="Arial" w:cs="Arial"/>
      <w:b/>
      <w:szCs w:val="20"/>
      <w:lang w:eastAsia="pt-BR"/>
    </w:rPr>
  </w:style>
  <w:style w:type="character" w:customStyle="1" w:styleId="Ttulo3Char">
    <w:name w:val="Título 3 Char"/>
    <w:aliases w:val="EDT - Tit 3 Char"/>
    <w:basedOn w:val="Fontepargpadro"/>
    <w:link w:val="Ttulo3"/>
    <w:uiPriority w:val="9"/>
    <w:rsid w:val="00E534BA"/>
    <w:rPr>
      <w:rFonts w:ascii="Arial" w:hAnsi="Arial"/>
      <w:b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E534BA"/>
    <w:rPr>
      <w:rFonts w:ascii="Arial" w:hAnsi="Arial"/>
      <w:sz w:val="1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E534BA"/>
    <w:rPr>
      <w:rFonts w:ascii="Arial" w:hAnsi="Arial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E534BA"/>
    <w:rPr>
      <w:rFonts w:ascii="Arial" w:hAnsi="Arial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E534BA"/>
    <w:rPr>
      <w:rFonts w:ascii="Arial" w:hAnsi="Arial"/>
      <w:b/>
      <w:color w:val="000000"/>
      <w:sz w:val="12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E534BA"/>
    <w:rPr>
      <w:rFonts w:ascii="Arial" w:hAnsi="Arial"/>
      <w:b/>
      <w:i/>
      <w:color w:val="FFFF00"/>
      <w:sz w:val="22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E534BA"/>
    <w:pPr>
      <w:ind w:left="708"/>
    </w:pPr>
    <w:rPr>
      <w:rFonts w:ascii="Arial" w:hAnsi="Arial"/>
      <w:sz w:val="18"/>
      <w:szCs w:val="24"/>
    </w:rPr>
  </w:style>
  <w:style w:type="paragraph" w:customStyle="1" w:styleId="CTO-TtCap">
    <w:name w:val="CTO - Tít. Cap."/>
    <w:basedOn w:val="Normal"/>
    <w:next w:val="CTO-NumClau"/>
    <w:qFormat/>
    <w:rsid w:val="00E534BA"/>
    <w:pPr>
      <w:pageBreakBefore/>
      <w:numPr>
        <w:numId w:val="2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qFormat/>
    <w:rsid w:val="00E534BA"/>
    <w:pPr>
      <w:keepNext/>
      <w:numPr>
        <w:ilvl w:val="1"/>
        <w:numId w:val="2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qFormat/>
    <w:rsid w:val="00E534BA"/>
    <w:pPr>
      <w:numPr>
        <w:ilvl w:val="2"/>
        <w:numId w:val="2"/>
      </w:numPr>
      <w:spacing w:before="200" w:after="200" w:line="264" w:lineRule="auto"/>
      <w:jc w:val="both"/>
    </w:pPr>
    <w:rPr>
      <w:rFonts w:ascii="Arial" w:hAnsi="Arial"/>
      <w:sz w:val="22"/>
    </w:rPr>
  </w:style>
  <w:style w:type="character" w:customStyle="1" w:styleId="CTO-TxtClauChar">
    <w:name w:val="CTO - Txt Clau Char"/>
    <w:basedOn w:val="Fontepargpadro"/>
    <w:link w:val="CTO-TxtClau"/>
    <w:rsid w:val="00E534BA"/>
    <w:rPr>
      <w:rFonts w:ascii="Arial" w:hAnsi="Arial"/>
      <w:sz w:val="22"/>
      <w:szCs w:val="20"/>
      <w:lang w:eastAsia="pt-BR"/>
    </w:rPr>
  </w:style>
  <w:style w:type="paragraph" w:customStyle="1" w:styleId="CTOAsubpargrafo">
    <w:name w:val="CTO_A subparágrafo"/>
    <w:basedOn w:val="CTO-TxtClau"/>
    <w:link w:val="CTOAsubpargrafoChar"/>
    <w:qFormat/>
    <w:rsid w:val="00E534BA"/>
    <w:pPr>
      <w:numPr>
        <w:ilvl w:val="3"/>
      </w:numPr>
    </w:pPr>
  </w:style>
  <w:style w:type="character" w:customStyle="1" w:styleId="CTOAsubpargrafoChar">
    <w:name w:val="CTO_A subparágrafo Char"/>
    <w:basedOn w:val="CTO-TxtClauChar"/>
    <w:link w:val="CTOAsubpargrafo"/>
    <w:rsid w:val="00E534BA"/>
    <w:rPr>
      <w:rFonts w:ascii="Arial" w:hAnsi="Arial"/>
      <w:sz w:val="22"/>
      <w:szCs w:val="20"/>
      <w:lang w:eastAsia="pt-BR"/>
    </w:rPr>
  </w:style>
  <w:style w:type="numbering" w:customStyle="1" w:styleId="CTO-ANConsrcio">
    <w:name w:val="CTO-AN_Consórcio"/>
    <w:uiPriority w:val="99"/>
    <w:rsid w:val="00E534BA"/>
    <w:pPr>
      <w:numPr>
        <w:numId w:val="3"/>
      </w:numPr>
    </w:pPr>
  </w:style>
  <w:style w:type="paragraph" w:customStyle="1" w:styleId="CTO-Pargrafos">
    <w:name w:val="CTO - Parágrafos"/>
    <w:basedOn w:val="Normal"/>
    <w:qFormat/>
    <w:rsid w:val="00E534BA"/>
    <w:pPr>
      <w:numPr>
        <w:ilvl w:val="2"/>
        <w:numId w:val="4"/>
      </w:numPr>
      <w:spacing w:after="200" w:line="276" w:lineRule="auto"/>
      <w:jc w:val="both"/>
    </w:pPr>
    <w:rPr>
      <w:rFonts w:ascii="Arial" w:hAnsi="Arial"/>
      <w:sz w:val="22"/>
    </w:rPr>
  </w:style>
  <w:style w:type="paragraph" w:customStyle="1" w:styleId="texto10">
    <w:name w:val="texto10"/>
    <w:basedOn w:val="Normal"/>
    <w:rsid w:val="00E534BA"/>
    <w:pPr>
      <w:spacing w:before="100" w:beforeAutospacing="1" w:after="100" w:afterAutospacing="1"/>
    </w:pPr>
    <w:rPr>
      <w:rFonts w:eastAsiaTheme="minorHAnsi"/>
      <w:sz w:val="24"/>
      <w:szCs w:val="24"/>
      <w:lang w:val="es-CO" w:eastAsia="es-E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534BA"/>
    <w:rPr>
      <w:rFonts w:ascii="Times New Roman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534BA"/>
    <w:rPr>
      <w:rFonts w:ascii="Arial" w:hAnsi="Arial"/>
      <w:b/>
      <w:bCs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left"/>
    </w:pPr>
    <w:rPr>
      <w:sz w:val="20"/>
      <w:szCs w:val="20"/>
      <w:lang w:eastAsia="pt-BR"/>
    </w:rPr>
  </w:style>
  <w:style w:type="paragraph" w:styleId="Ttulo1">
    <w:name w:val="heading 1"/>
    <w:aliases w:val="EDT - Tit1"/>
    <w:basedOn w:val="Normal"/>
    <w:next w:val="Normal"/>
    <w:link w:val="Ttulo1Car"/>
    <w:autoRedefine/>
    <w:qFormat/>
    <w:pPr>
      <w:pageBreakBefore/>
      <w:numPr>
        <w:numId w:val="1"/>
      </w:numPr>
      <w:shd w:val="pct20" w:color="FFFF00" w:fill="auto"/>
      <w:spacing w:before="120" w:after="120" w:line="360" w:lineRule="auto"/>
      <w:ind w:left="431" w:hanging="431"/>
      <w:jc w:val="center"/>
      <w:outlineLvl w:val="0"/>
    </w:pPr>
    <w:rPr>
      <w:rFonts w:ascii="Arial" w:hAnsi="Arial" w:cs="Arial"/>
      <w:b/>
      <w:kern w:val="28"/>
      <w:sz w:val="24"/>
      <w:szCs w:val="22"/>
    </w:rPr>
  </w:style>
  <w:style w:type="paragraph" w:styleId="Ttulo2">
    <w:name w:val="heading 2"/>
    <w:aliases w:val="EDT - Tit 2"/>
    <w:basedOn w:val="Normal"/>
    <w:next w:val="Normal"/>
    <w:link w:val="Ttulo2Car"/>
    <w:autoRedefine/>
    <w:uiPriority w:val="9"/>
    <w:qFormat/>
    <w:pPr>
      <w:keepNext/>
      <w:numPr>
        <w:ilvl w:val="1"/>
        <w:numId w:val="1"/>
      </w:numPr>
      <w:spacing w:before="600" w:after="60" w:line="288" w:lineRule="auto"/>
      <w:outlineLvl w:val="1"/>
    </w:pPr>
    <w:rPr>
      <w:rFonts w:ascii="Arial" w:hAnsi="Arial" w:cs="Arial"/>
      <w:b/>
      <w:sz w:val="24"/>
    </w:rPr>
  </w:style>
  <w:style w:type="paragraph" w:styleId="Ttulo3">
    <w:name w:val="heading 3"/>
    <w:aliases w:val="EDT - Tit 3"/>
    <w:next w:val="Normal"/>
    <w:link w:val="Ttulo3Car"/>
    <w:autoRedefine/>
    <w:uiPriority w:val="9"/>
    <w:qFormat/>
    <w:pPr>
      <w:keepNext/>
      <w:numPr>
        <w:ilvl w:val="2"/>
        <w:numId w:val="1"/>
      </w:numPr>
      <w:spacing w:before="600" w:after="60" w:line="288" w:lineRule="auto"/>
      <w:jc w:val="left"/>
      <w:outlineLvl w:val="2"/>
    </w:pPr>
    <w:rPr>
      <w:rFonts w:ascii="Arial" w:hAnsi="Arial"/>
      <w:b/>
      <w:szCs w:val="20"/>
      <w:lang w:eastAsia="pt-BR"/>
    </w:rPr>
  </w:style>
  <w:style w:type="paragraph" w:styleId="Ttulo5">
    <w:name w:val="heading 5"/>
    <w:basedOn w:val="Normal"/>
    <w:next w:val="Normal"/>
    <w:link w:val="Ttulo5Car"/>
    <w:qFormat/>
    <w:pPr>
      <w:keepNext/>
      <w:numPr>
        <w:ilvl w:val="4"/>
        <w:numId w:val="1"/>
      </w:numPr>
      <w:spacing w:line="360" w:lineRule="auto"/>
      <w:outlineLvl w:val="4"/>
    </w:pPr>
    <w:rPr>
      <w:rFonts w:ascii="Arial" w:hAnsi="Arial"/>
      <w:sz w:val="18"/>
    </w:rPr>
  </w:style>
  <w:style w:type="paragraph" w:styleId="Ttulo6">
    <w:name w:val="heading 6"/>
    <w:basedOn w:val="Normal"/>
    <w:next w:val="Normal"/>
    <w:link w:val="Ttulo6Car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link w:val="Ttulo7Car"/>
    <w:qFormat/>
    <w:pPr>
      <w:keepNext/>
      <w:numPr>
        <w:ilvl w:val="6"/>
        <w:numId w:val="1"/>
      </w:numPr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ar"/>
    <w:qFormat/>
    <w:pPr>
      <w:keepNext/>
      <w:numPr>
        <w:ilvl w:val="7"/>
        <w:numId w:val="1"/>
      </w:numPr>
      <w:spacing w:before="60"/>
      <w:jc w:val="center"/>
      <w:outlineLvl w:val="7"/>
    </w:pPr>
    <w:rPr>
      <w:rFonts w:ascii="Arial" w:hAnsi="Arial"/>
      <w:b/>
      <w:color w:val="000000"/>
      <w:sz w:val="12"/>
    </w:rPr>
  </w:style>
  <w:style w:type="paragraph" w:styleId="Ttulo9">
    <w:name w:val="heading 9"/>
    <w:basedOn w:val="Normal"/>
    <w:next w:val="Normal"/>
    <w:link w:val="Ttulo9Car"/>
    <w:qFormat/>
    <w:pPr>
      <w:keepNext/>
      <w:numPr>
        <w:ilvl w:val="8"/>
        <w:numId w:val="1"/>
      </w:numPr>
      <w:spacing w:line="360" w:lineRule="auto"/>
      <w:jc w:val="center"/>
      <w:outlineLvl w:val="8"/>
    </w:pPr>
    <w:rPr>
      <w:rFonts w:ascii="Arial" w:hAnsi="Arial"/>
      <w:b/>
      <w:i/>
      <w:color w:val="FFFF0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qFormat/>
    <w:rPr>
      <w:rFonts w:ascii="Arial" w:hAnsi="Arial"/>
      <w:sz w:val="24"/>
    </w:rPr>
  </w:style>
  <w:style w:type="table" w:styleId="Tablaconcuadrcula">
    <w:name w:val="Table Grid"/>
    <w:basedOn w:val="Tablanormal"/>
    <w:uiPriority w:val="59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eastAsia="Times New Roman" w:cs="Times New Roman"/>
      <w:sz w:val="20"/>
      <w:szCs w:val="20"/>
      <w:lang w:eastAsia="pt-BR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eastAsia="Times New Roman" w:cs="Times New Roman"/>
      <w:sz w:val="20"/>
      <w:szCs w:val="20"/>
      <w:lang w:eastAsia="pt-BR"/>
    </w:r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ahoma" w:hAnsi="Tahoma" w:cs="Tahoma"/>
      <w:sz w:val="16"/>
      <w:szCs w:val="16"/>
      <w:lang w:eastAsia="pt-BR"/>
    </w:rPr>
  </w:style>
  <w:style w:type="character" w:styleId="Textodelmarcadordeposicin">
    <w:name w:val="Placeholder Text"/>
    <w:basedOn w:val="Fuentedeprrafopredeter"/>
    <w:uiPriority w:val="99"/>
    <w:semiHidden/>
    <w:rPr>
      <w:rFonts w:cs="Times New Roman"/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Pr>
      <w:rFonts w:eastAsia="Times New Roman" w:cs="Times New Roman"/>
      <w:sz w:val="20"/>
      <w:szCs w:val="20"/>
      <w:lang w:eastAsia="pt-BR"/>
    </w:rPr>
  </w:style>
  <w:style w:type="character" w:styleId="Refdenotaalpie">
    <w:name w:val="footnote reference"/>
    <w:basedOn w:val="Fuentedeprrafopredeter"/>
    <w:uiPriority w:val="99"/>
    <w:semiHidden/>
    <w:unhideWhenUsed/>
    <w:rPr>
      <w:rFonts w:cs="Times New Roman"/>
      <w:vertAlign w:val="superscript"/>
    </w:rPr>
  </w:style>
  <w:style w:type="character" w:styleId="Refdecomentario">
    <w:name w:val="annotation reference"/>
    <w:basedOn w:val="Fuentedeprrafopredeter"/>
    <w:uiPriority w:val="99"/>
    <w:semiHidden/>
    <w:rPr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Pr>
      <w:rFonts w:ascii="Arial" w:hAnsi="Arial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Arial" w:hAnsi="Arial"/>
      <w:sz w:val="20"/>
      <w:szCs w:val="20"/>
      <w:lang w:eastAsia="pt-BR"/>
    </w:rPr>
  </w:style>
  <w:style w:type="paragraph" w:customStyle="1" w:styleId="Edital-CT">
    <w:name w:val="Edital - CT"/>
    <w:link w:val="Edital-CTChar"/>
    <w:qFormat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Fuentedeprrafopredeter"/>
    <w:link w:val="Edital-CT"/>
    <w:rPr>
      <w:rFonts w:ascii="Arial" w:hAnsi="Arial" w:cs="Arial"/>
      <w:sz w:val="22"/>
      <w:szCs w:val="20"/>
      <w:lang w:eastAsia="pt-BR"/>
    </w:rPr>
  </w:style>
  <w:style w:type="character" w:customStyle="1" w:styleId="Ttulo1Car">
    <w:name w:val="Título 1 Car"/>
    <w:aliases w:val="EDT - Tit1 Car"/>
    <w:basedOn w:val="Fuentedeprrafopredeter"/>
    <w:link w:val="Ttulo1"/>
    <w:rPr>
      <w:rFonts w:ascii="Arial" w:hAnsi="Arial" w:cs="Arial"/>
      <w:b/>
      <w:kern w:val="28"/>
      <w:szCs w:val="22"/>
      <w:shd w:val="pct20" w:color="FFFF00" w:fill="auto"/>
      <w:lang w:eastAsia="pt-BR"/>
    </w:rPr>
  </w:style>
  <w:style w:type="character" w:customStyle="1" w:styleId="Ttulo2Car">
    <w:name w:val="Título 2 Car"/>
    <w:aliases w:val="EDT - Tit 2 Car"/>
    <w:basedOn w:val="Fuentedeprrafopredeter"/>
    <w:link w:val="Ttulo2"/>
    <w:uiPriority w:val="9"/>
    <w:rPr>
      <w:rFonts w:ascii="Arial" w:hAnsi="Arial" w:cs="Arial"/>
      <w:b/>
      <w:szCs w:val="20"/>
      <w:lang w:eastAsia="pt-BR"/>
    </w:rPr>
  </w:style>
  <w:style w:type="character" w:customStyle="1" w:styleId="Ttulo3Car">
    <w:name w:val="Título 3 Car"/>
    <w:aliases w:val="EDT - Tit 3 Car"/>
    <w:basedOn w:val="Fuentedeprrafopredeter"/>
    <w:link w:val="Ttulo3"/>
    <w:uiPriority w:val="9"/>
    <w:rPr>
      <w:rFonts w:ascii="Arial" w:hAnsi="Arial"/>
      <w:b/>
      <w:szCs w:val="20"/>
      <w:lang w:eastAsia="pt-BR"/>
    </w:rPr>
  </w:style>
  <w:style w:type="character" w:customStyle="1" w:styleId="Ttulo5Car">
    <w:name w:val="Título 5 Car"/>
    <w:basedOn w:val="Fuentedeprrafopredeter"/>
    <w:link w:val="Ttulo5"/>
    <w:rPr>
      <w:rFonts w:ascii="Arial" w:hAnsi="Arial"/>
      <w:sz w:val="18"/>
      <w:szCs w:val="20"/>
      <w:lang w:eastAsia="pt-BR"/>
    </w:rPr>
  </w:style>
  <w:style w:type="character" w:customStyle="1" w:styleId="Ttulo6Car">
    <w:name w:val="Título 6 Car"/>
    <w:basedOn w:val="Fuentedeprrafopredeter"/>
    <w:link w:val="Ttulo6"/>
    <w:rPr>
      <w:rFonts w:ascii="Arial" w:hAnsi="Arial"/>
      <w:b/>
      <w:sz w:val="20"/>
      <w:szCs w:val="20"/>
      <w:lang w:eastAsia="pt-BR"/>
    </w:rPr>
  </w:style>
  <w:style w:type="character" w:customStyle="1" w:styleId="Ttulo7Car">
    <w:name w:val="Título 7 Car"/>
    <w:basedOn w:val="Fuentedeprrafopredeter"/>
    <w:link w:val="Ttulo7"/>
    <w:rPr>
      <w:rFonts w:ascii="Arial" w:hAnsi="Arial"/>
      <w:b/>
      <w:sz w:val="20"/>
      <w:szCs w:val="20"/>
      <w:lang w:eastAsia="pt-BR"/>
    </w:rPr>
  </w:style>
  <w:style w:type="character" w:customStyle="1" w:styleId="Ttulo8Car">
    <w:name w:val="Título 8 Car"/>
    <w:basedOn w:val="Fuentedeprrafopredeter"/>
    <w:link w:val="Ttulo8"/>
    <w:rPr>
      <w:rFonts w:ascii="Arial" w:hAnsi="Arial"/>
      <w:b/>
      <w:color w:val="000000"/>
      <w:sz w:val="12"/>
      <w:szCs w:val="20"/>
      <w:lang w:eastAsia="pt-BR"/>
    </w:rPr>
  </w:style>
  <w:style w:type="character" w:customStyle="1" w:styleId="Ttulo9Car">
    <w:name w:val="Título 9 Car"/>
    <w:basedOn w:val="Fuentedeprrafopredeter"/>
    <w:link w:val="Ttulo9"/>
    <w:rPr>
      <w:rFonts w:ascii="Arial" w:hAnsi="Arial"/>
      <w:b/>
      <w:i/>
      <w:color w:val="FFFF00"/>
      <w:sz w:val="22"/>
      <w:szCs w:val="20"/>
      <w:lang w:eastAsia="pt-BR"/>
    </w:rPr>
  </w:style>
  <w:style w:type="paragraph" w:styleId="Prrafodelista">
    <w:name w:val="List Paragraph"/>
    <w:basedOn w:val="Normal"/>
    <w:uiPriority w:val="34"/>
    <w:qFormat/>
    <w:pPr>
      <w:ind w:left="708"/>
    </w:pPr>
    <w:rPr>
      <w:rFonts w:ascii="Arial" w:hAnsi="Arial"/>
      <w:sz w:val="18"/>
      <w:szCs w:val="24"/>
    </w:rPr>
  </w:style>
  <w:style w:type="paragraph" w:customStyle="1" w:styleId="CTO-TtCap">
    <w:name w:val="CTO - Tít. Cap."/>
    <w:basedOn w:val="Normal"/>
    <w:next w:val="CTO-NumClau"/>
    <w:qFormat/>
    <w:pPr>
      <w:pageBreakBefore/>
      <w:numPr>
        <w:numId w:val="2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qFormat/>
    <w:pPr>
      <w:keepNext/>
      <w:numPr>
        <w:ilvl w:val="1"/>
        <w:numId w:val="2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qFormat/>
    <w:pPr>
      <w:numPr>
        <w:ilvl w:val="2"/>
        <w:numId w:val="2"/>
      </w:numPr>
      <w:spacing w:before="200" w:after="200" w:line="264" w:lineRule="auto"/>
      <w:jc w:val="both"/>
    </w:pPr>
    <w:rPr>
      <w:rFonts w:ascii="Arial" w:hAnsi="Arial"/>
      <w:sz w:val="22"/>
    </w:rPr>
  </w:style>
  <w:style w:type="character" w:customStyle="1" w:styleId="CTO-TxtClauChar">
    <w:name w:val="CTO - Txt Clau Char"/>
    <w:basedOn w:val="Fuentedeprrafopredeter"/>
    <w:link w:val="CTO-TxtClau"/>
    <w:rPr>
      <w:rFonts w:ascii="Arial" w:hAnsi="Arial"/>
      <w:sz w:val="22"/>
      <w:szCs w:val="20"/>
      <w:lang w:eastAsia="pt-BR"/>
    </w:rPr>
  </w:style>
  <w:style w:type="paragraph" w:customStyle="1" w:styleId="CTOAsubpargrafo">
    <w:name w:val="CTO_A subparágrafo"/>
    <w:basedOn w:val="CTO-TxtClau"/>
    <w:link w:val="CTOAsubpargrafoChar"/>
    <w:qFormat/>
    <w:pPr>
      <w:numPr>
        <w:ilvl w:val="3"/>
      </w:numPr>
    </w:pPr>
  </w:style>
  <w:style w:type="character" w:customStyle="1" w:styleId="CTOAsubpargrafoChar">
    <w:name w:val="CTO_A subparágrafo Char"/>
    <w:basedOn w:val="CTO-TxtClauChar"/>
    <w:link w:val="CTOAsubpargrafo"/>
    <w:rPr>
      <w:rFonts w:ascii="Arial" w:hAnsi="Arial"/>
      <w:sz w:val="22"/>
      <w:szCs w:val="20"/>
      <w:lang w:eastAsia="pt-BR"/>
    </w:rPr>
  </w:style>
  <w:style w:type="numbering" w:customStyle="1" w:styleId="CTO-ANConsrcio">
    <w:name w:val="CTO-AN_Consórcio"/>
    <w:uiPriority w:val="99"/>
    <w:pPr>
      <w:numPr>
        <w:numId w:val="3"/>
      </w:numPr>
    </w:pPr>
  </w:style>
  <w:style w:type="paragraph" w:customStyle="1" w:styleId="CTO-Pargrafos">
    <w:name w:val="CTO - Parágrafos"/>
    <w:basedOn w:val="Normal"/>
    <w:qFormat/>
    <w:pPr>
      <w:numPr>
        <w:ilvl w:val="2"/>
        <w:numId w:val="4"/>
      </w:numPr>
      <w:spacing w:after="200" w:line="276" w:lineRule="auto"/>
      <w:jc w:val="both"/>
    </w:pPr>
    <w:rPr>
      <w:rFonts w:ascii="Arial" w:hAnsi="Arial"/>
      <w:sz w:val="22"/>
    </w:rPr>
  </w:style>
  <w:style w:type="paragraph" w:customStyle="1" w:styleId="texto10">
    <w:name w:val="texto10"/>
    <w:basedOn w:val="Normal"/>
    <w:pPr>
      <w:spacing w:before="100" w:beforeAutospacing="1" w:after="100" w:afterAutospacing="1"/>
    </w:pPr>
    <w:rPr>
      <w:rFonts w:eastAsiaTheme="minorHAnsi"/>
      <w:sz w:val="24"/>
      <w:szCs w:val="24"/>
      <w:lang w:val="es-CO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rFonts w:ascii="Times New Roman" w:hAnsi="Times New Roman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Arial" w:hAnsi="Arial"/>
      <w:b/>
      <w:bCs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970BD-27AF-4D01-B751-B972ED15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727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Eduardo Peçanha</cp:lastModifiedBy>
  <cp:revision>4</cp:revision>
  <cp:lastPrinted>2013-01-24T15:49:00Z</cp:lastPrinted>
  <dcterms:created xsi:type="dcterms:W3CDTF">2013-07-29T18:39:00Z</dcterms:created>
  <dcterms:modified xsi:type="dcterms:W3CDTF">2013-07-29T21:31:00Z</dcterms:modified>
</cp:coreProperties>
</file>