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CC" w:rsidRDefault="008B3BCC">
      <w:pPr>
        <w:jc w:val="both"/>
        <w:rPr>
          <w:rFonts w:ascii="Arial" w:hAnsi="Arial" w:cs="Arial"/>
          <w:b/>
          <w:sz w:val="24"/>
          <w:szCs w:val="24"/>
        </w:rPr>
      </w:pPr>
    </w:p>
    <w:p w:rsidR="008B3BCC" w:rsidRDefault="00E608E6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FORMULÁRIO DE COMENTÁRIOS E SUGESTÕES</w:t>
      </w:r>
    </w:p>
    <w:p w:rsidR="008B3BCC" w:rsidRDefault="00E608E6">
      <w:pPr>
        <w:pStyle w:val="Legenda"/>
        <w:spacing w:before="120" w:after="120" w:line="360" w:lineRule="auto"/>
        <w:jc w:val="center"/>
        <w:rPr>
          <w:rFonts w:cs="Arial"/>
          <w:b/>
          <w:szCs w:val="24"/>
        </w:rPr>
      </w:pPr>
      <w:r>
        <w:rPr>
          <w:rFonts w:cs="Arial"/>
        </w:rPr>
        <w:t xml:space="preserve">CONSULTA </w:t>
      </w:r>
      <w:proofErr w:type="gramStart"/>
      <w:r>
        <w:rPr>
          <w:rFonts w:cs="Arial"/>
        </w:rPr>
        <w:t>PÚBLICA Nº</w:t>
      </w:r>
      <w:proofErr w:type="gramEnd"/>
      <w:r>
        <w:rPr>
          <w:rFonts w:cs="Arial"/>
        </w:rPr>
        <w:t xml:space="preserve"> 13/2015</w:t>
      </w:r>
    </w:p>
    <w:p w:rsidR="008B3BCC" w:rsidRDefault="008B3BCC">
      <w:pPr>
        <w:pStyle w:val="Legenda"/>
        <w:jc w:val="both"/>
        <w:rPr>
          <w:rFonts w:cs="Arial"/>
          <w:b/>
          <w:szCs w:val="24"/>
        </w:rPr>
      </w:pPr>
    </w:p>
    <w:tbl>
      <w:tblPr>
        <w:tblStyle w:val="Tabelacomgrade"/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1536"/>
        <w:gridCol w:w="1523"/>
        <w:gridCol w:w="1523"/>
        <w:gridCol w:w="4950"/>
        <w:gridCol w:w="4644"/>
      </w:tblGrid>
      <w:tr w:rsidR="008B3BCC">
        <w:trPr>
          <w:trHeight w:val="850"/>
          <w:tblHeader/>
        </w:trPr>
        <w:tc>
          <w:tcPr>
            <w:tcW w:w="542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8B3BCC" w:rsidRDefault="00E608E6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>
              <w:rPr>
                <w:rFonts w:cs="Arial"/>
                <w:b/>
                <w:color w:val="000000" w:themeColor="text1"/>
                <w:szCs w:val="24"/>
              </w:rPr>
              <w:t>Documento</w:t>
            </w:r>
          </w:p>
        </w:tc>
        <w:tc>
          <w:tcPr>
            <w:tcW w:w="537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8B3BCC" w:rsidRDefault="00E608E6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>
              <w:rPr>
                <w:rFonts w:cs="Arial"/>
                <w:b/>
                <w:color w:val="000000" w:themeColor="text1"/>
                <w:szCs w:val="24"/>
              </w:rPr>
              <w:t>Natureza da sugestão</w:t>
            </w:r>
          </w:p>
        </w:tc>
        <w:tc>
          <w:tcPr>
            <w:tcW w:w="537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8B3BCC" w:rsidRDefault="00E608E6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>
              <w:rPr>
                <w:rFonts w:cs="Arial"/>
                <w:b/>
                <w:color w:val="000000" w:themeColor="text1"/>
                <w:szCs w:val="24"/>
              </w:rPr>
              <w:t>Item</w:t>
            </w:r>
          </w:p>
        </w:tc>
        <w:tc>
          <w:tcPr>
            <w:tcW w:w="1746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8B3BCC" w:rsidRDefault="00E608E6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>
              <w:rPr>
                <w:rFonts w:cs="Arial"/>
                <w:b/>
                <w:color w:val="000000" w:themeColor="text1"/>
                <w:szCs w:val="24"/>
              </w:rPr>
              <w:t>Proposta de alteração</w:t>
            </w:r>
          </w:p>
        </w:tc>
        <w:tc>
          <w:tcPr>
            <w:tcW w:w="1638" w:type="pct"/>
            <w:tcBorders>
              <w:bottom w:val="dashSmallGap" w:sz="4" w:space="0" w:color="BFBFBF" w:themeColor="background1" w:themeShade="BF"/>
            </w:tcBorders>
            <w:vAlign w:val="center"/>
          </w:tcPr>
          <w:p w:rsidR="008B3BCC" w:rsidRDefault="00E608E6">
            <w:pPr>
              <w:pStyle w:val="Legenda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>
              <w:rPr>
                <w:rFonts w:cs="Arial"/>
                <w:b/>
                <w:color w:val="000000" w:themeColor="text1"/>
                <w:szCs w:val="24"/>
              </w:rPr>
              <w:t>Justificativa</w:t>
            </w:r>
          </w:p>
        </w:tc>
      </w:tr>
      <w:tr w:rsidR="008B3BCC">
        <w:trPr>
          <w:trHeight w:val="2268"/>
        </w:trPr>
        <w:tc>
          <w:tcPr>
            <w:tcW w:w="542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Minuta do contrato</w:t>
            </w:r>
          </w:p>
        </w:tc>
        <w:tc>
          <w:tcPr>
            <w:tcW w:w="537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Exclusão</w:t>
            </w:r>
          </w:p>
        </w:tc>
        <w:tc>
          <w:tcPr>
            <w:tcW w:w="537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20.13</w:t>
            </w:r>
          </w:p>
        </w:tc>
        <w:tc>
          <w:tcPr>
            <w:tcW w:w="1746" w:type="pct"/>
            <w:vAlign w:val="center"/>
          </w:tcPr>
          <w:p w:rsidR="008B3BCC" w:rsidRDefault="008B3BCC">
            <w:pPr>
              <w:pStyle w:val="Legenda"/>
              <w:spacing w:before="120" w:after="120"/>
              <w:jc w:val="both"/>
              <w:rPr>
                <w:rFonts w:cs="Arial"/>
                <w:strike/>
                <w:color w:val="FF0000"/>
                <w:szCs w:val="24"/>
              </w:rPr>
            </w:pPr>
          </w:p>
        </w:tc>
        <w:tc>
          <w:tcPr>
            <w:tcW w:w="1638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Cláusula com escopo idêntico e praticamente a mesma redação da 20.11.</w:t>
            </w:r>
          </w:p>
        </w:tc>
      </w:tr>
      <w:tr w:rsidR="008B3BCC">
        <w:trPr>
          <w:trHeight w:val="2268"/>
        </w:trPr>
        <w:tc>
          <w:tcPr>
            <w:tcW w:w="542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 xml:space="preserve">Minuta </w:t>
            </w:r>
            <w:r>
              <w:rPr>
                <w:rFonts w:cs="Arial"/>
                <w:color w:val="000000" w:themeColor="text1"/>
                <w:szCs w:val="24"/>
              </w:rPr>
              <w:t>do contrato</w:t>
            </w:r>
          </w:p>
        </w:tc>
        <w:tc>
          <w:tcPr>
            <w:tcW w:w="537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Inclusão</w:t>
            </w:r>
          </w:p>
        </w:tc>
        <w:tc>
          <w:tcPr>
            <w:tcW w:w="537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31.4.2</w:t>
            </w:r>
          </w:p>
        </w:tc>
        <w:tc>
          <w:tcPr>
            <w:tcW w:w="1746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 suspensão do curso do prazo contratual por prazo superior a </w:t>
            </w:r>
            <w:proofErr w:type="gramStart"/>
            <w:r>
              <w:rPr>
                <w:rFonts w:cs="Arial"/>
                <w:szCs w:val="24"/>
              </w:rPr>
              <w:t>5</w:t>
            </w:r>
            <w:proofErr w:type="gramEnd"/>
            <w:r>
              <w:rPr>
                <w:rFonts w:cs="Arial"/>
                <w:szCs w:val="24"/>
              </w:rPr>
              <w:t xml:space="preserve"> (cinco) anos também poderá ensejar a extinção contratual, conforme previsto neste parágrafo 31.4.</w:t>
            </w:r>
          </w:p>
        </w:tc>
        <w:tc>
          <w:tcPr>
            <w:tcW w:w="1638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É notório que, em alguns casos, a demora na aprovação do licenciam</w:t>
            </w:r>
            <w:r>
              <w:rPr>
                <w:rFonts w:cs="Arial"/>
                <w:color w:val="000000" w:themeColor="text1"/>
                <w:szCs w:val="24"/>
              </w:rPr>
              <w:t xml:space="preserve">ento ambiental pode perdurar por muitos anos, sem que o órgão ambiental efetivamente indefira ou aprove o projeto. Entendemos que, em alguns casos, a demora excessiva pode representar um verdadeiro indeferimento tácito, de modo que seria irrazoável exigir </w:t>
            </w:r>
            <w:r>
              <w:rPr>
                <w:rFonts w:cs="Arial"/>
                <w:color w:val="000000" w:themeColor="text1"/>
                <w:szCs w:val="24"/>
              </w:rPr>
              <w:t xml:space="preserve">que o concessionário permaneça </w:t>
            </w:r>
            <w:r>
              <w:rPr>
                <w:rFonts w:cs="Arial"/>
                <w:color w:val="000000" w:themeColor="text1"/>
                <w:szCs w:val="24"/>
              </w:rPr>
              <w:lastRenderedPageBreak/>
              <w:t xml:space="preserve">vinculado à concessão por um período indeterminado. Na sugestão de um prazo limite, a partir do qual se tornaria possível </w:t>
            </w:r>
            <w:proofErr w:type="gramStart"/>
            <w:r>
              <w:rPr>
                <w:rFonts w:cs="Arial"/>
                <w:color w:val="000000" w:themeColor="text1"/>
                <w:szCs w:val="24"/>
              </w:rPr>
              <w:t>a rescisão contratual, tomamos</w:t>
            </w:r>
            <w:proofErr w:type="gramEnd"/>
            <w:r>
              <w:rPr>
                <w:rFonts w:cs="Arial"/>
                <w:color w:val="000000" w:themeColor="text1"/>
                <w:szCs w:val="24"/>
              </w:rPr>
              <w:t xml:space="preserve"> como referência o prazo já adotado pela cláusula 8.2. </w:t>
            </w:r>
          </w:p>
        </w:tc>
      </w:tr>
      <w:tr w:rsidR="008B3BCC">
        <w:trPr>
          <w:trHeight w:val="389"/>
        </w:trPr>
        <w:tc>
          <w:tcPr>
            <w:tcW w:w="542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lastRenderedPageBreak/>
              <w:t>Pré-edital</w:t>
            </w:r>
          </w:p>
        </w:tc>
        <w:tc>
          <w:tcPr>
            <w:tcW w:w="537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537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proofErr w:type="gramStart"/>
            <w:r>
              <w:rPr>
                <w:rFonts w:cs="Arial"/>
                <w:color w:val="000000" w:themeColor="text1"/>
                <w:szCs w:val="24"/>
              </w:rPr>
              <w:t>7</w:t>
            </w:r>
            <w:proofErr w:type="gramEnd"/>
          </w:p>
        </w:tc>
        <w:tc>
          <w:tcPr>
            <w:tcW w:w="1746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 xml:space="preserve">A qualificação compreende a análise de documentação para comprovação da regularidade jurídica, fiscal e trabalhista, capacidade econômico-financeira e capacidade técnica das licitantes. </w:t>
            </w:r>
          </w:p>
          <w:p w:rsidR="008B3BCC" w:rsidRDefault="00E608E6">
            <w:pPr>
              <w:pStyle w:val="Legenda"/>
              <w:spacing w:before="120" w:after="12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 ANP analisará apenas a documentação das licitantes venc</w:t>
            </w:r>
            <w:r>
              <w:rPr>
                <w:rFonts w:cs="Arial"/>
                <w:color w:val="000000" w:themeColor="text1"/>
                <w:szCs w:val="24"/>
              </w:rPr>
              <w:t xml:space="preserve">edoras da sessão pública de apresentação de ofertas. </w:t>
            </w:r>
          </w:p>
          <w:p w:rsidR="008B3BCC" w:rsidRDefault="00E608E6">
            <w:pPr>
              <w:pStyle w:val="Legenda"/>
              <w:spacing w:before="120" w:after="12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 xml:space="preserve">As licitantes serão qualificadas como operadoras ou como </w:t>
            </w:r>
            <w:proofErr w:type="spellStart"/>
            <w:proofErr w:type="gramStart"/>
            <w:r>
              <w:rPr>
                <w:rFonts w:cs="Arial"/>
                <w:color w:val="000000" w:themeColor="text1"/>
                <w:szCs w:val="24"/>
              </w:rPr>
              <w:t>não-operadoras</w:t>
            </w:r>
            <w:proofErr w:type="spellEnd"/>
            <w:proofErr w:type="gramEnd"/>
            <w:r>
              <w:rPr>
                <w:rFonts w:cs="Arial"/>
                <w:color w:val="000000" w:themeColor="text1"/>
                <w:szCs w:val="24"/>
              </w:rPr>
              <w:t xml:space="preserve">, conforme os critérios estabelecidos nesta seção, e serão classificadas nos seguintes níveis: </w:t>
            </w:r>
          </w:p>
          <w:p w:rsidR="008B3BCC" w:rsidRDefault="00E608E6">
            <w:pPr>
              <w:pStyle w:val="Legenda"/>
              <w:spacing w:before="120" w:after="12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a) operadora A – qualificada para o</w:t>
            </w:r>
            <w:r>
              <w:rPr>
                <w:rFonts w:cs="Arial"/>
                <w:color w:val="000000" w:themeColor="text1"/>
                <w:szCs w:val="24"/>
              </w:rPr>
              <w:t xml:space="preserve">perar em blocos situados em águas ultraprofundas, águas profundas, águas rasas e em terra; b) operadora B – qualificada para operar em blocos situados em águas rasas e em terra; c) operadora C – qualificada para operar somente em blocos situados em terra; </w:t>
            </w:r>
            <w:r>
              <w:rPr>
                <w:rFonts w:cs="Arial"/>
                <w:color w:val="000000" w:themeColor="text1"/>
                <w:szCs w:val="24"/>
              </w:rPr>
              <w:t xml:space="preserve">d) não operadora – qualificada para atuar em </w:t>
            </w:r>
            <w:r>
              <w:rPr>
                <w:rFonts w:cs="Arial"/>
                <w:color w:val="000000" w:themeColor="text1"/>
                <w:szCs w:val="24"/>
              </w:rPr>
              <w:lastRenderedPageBreak/>
              <w:t xml:space="preserve">consórcio, observado o disposto na seção 7.3.1.2. </w:t>
            </w:r>
          </w:p>
          <w:p w:rsidR="008B3BCC" w:rsidRDefault="00E608E6">
            <w:pPr>
              <w:pStyle w:val="Legenda"/>
              <w:spacing w:before="120" w:after="12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 xml:space="preserve">A ANP fará o enquadramento das licitantes no maior nível de qualificação possível, de acordo com a análise da documentação apresentada. </w:t>
            </w:r>
          </w:p>
          <w:p w:rsidR="008B3BCC" w:rsidRDefault="00E608E6">
            <w:pPr>
              <w:pStyle w:val="Legenda"/>
              <w:spacing w:before="120" w:after="12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 xml:space="preserve">Caso a licitante </w:t>
            </w:r>
            <w:r>
              <w:rPr>
                <w:rFonts w:cs="Arial"/>
                <w:color w:val="000000" w:themeColor="text1"/>
                <w:szCs w:val="24"/>
              </w:rPr>
              <w:t>obtenha nível de qualificação técnica diferente do nível de qualificação econômico-financeira, será considerada a qualificação de menor nível.</w:t>
            </w:r>
          </w:p>
          <w:p w:rsidR="008B3BCC" w:rsidRDefault="00E608E6">
            <w:pPr>
              <w:pStyle w:val="Legenda"/>
              <w:spacing w:before="120" w:after="12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 xml:space="preserve">No prazo de </w:t>
            </w:r>
            <w:proofErr w:type="gramStart"/>
            <w:r>
              <w:rPr>
                <w:rFonts w:cs="Arial"/>
                <w:color w:val="000000" w:themeColor="text1"/>
                <w:szCs w:val="24"/>
              </w:rPr>
              <w:t>5</w:t>
            </w:r>
            <w:proofErr w:type="gramEnd"/>
            <w:r>
              <w:rPr>
                <w:rFonts w:cs="Arial"/>
                <w:color w:val="000000" w:themeColor="text1"/>
                <w:szCs w:val="24"/>
              </w:rPr>
              <w:t xml:space="preserve"> (cinco) dias corridos após o encerramento da sessão pública de apresentação de ofertas, as licitant</w:t>
            </w:r>
            <w:r>
              <w:rPr>
                <w:rFonts w:cs="Arial"/>
                <w:color w:val="000000" w:themeColor="text1"/>
                <w:szCs w:val="24"/>
              </w:rPr>
              <w:t>es vencedoras deverão entregar os documentos para qualificação listados nesta seção, bem como as informações da sociedade empresária signatária do contrato de concessão, nos termos da seção 9.1.1. Não obstante o anterior, as licitantes vencedoras terão pra</w:t>
            </w:r>
            <w:r>
              <w:rPr>
                <w:rFonts w:cs="Arial"/>
                <w:color w:val="000000" w:themeColor="text1"/>
                <w:szCs w:val="24"/>
              </w:rPr>
              <w:t>zo de 20 (vinte) dias corridos após a sessão de julgamento das ofertas para complemen</w:t>
            </w:r>
            <w:r>
              <w:rPr>
                <w:rFonts w:cs="Arial"/>
                <w:szCs w:val="24"/>
              </w:rPr>
              <w:t>tação das Demonstrações Financeiras para fins de comprovação de atendimento ao Patrimônio Líquido mínimo requerido, nos termos da seção 7.3.1.</w:t>
            </w:r>
          </w:p>
          <w:p w:rsidR="008B3BCC" w:rsidRDefault="00E608E6">
            <w:pPr>
              <w:pStyle w:val="Legenda"/>
              <w:spacing w:before="120" w:after="12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No caso de consórcio, a docu</w:t>
            </w:r>
            <w:r>
              <w:rPr>
                <w:rFonts w:cs="Arial"/>
                <w:color w:val="000000" w:themeColor="text1"/>
                <w:szCs w:val="24"/>
              </w:rPr>
              <w:t xml:space="preserve">mentação de qualificação deverá ser apresentada individualmente por cada uma das consorciadas. A licitante indicada como </w:t>
            </w:r>
            <w:r>
              <w:rPr>
                <w:rFonts w:cs="Arial"/>
                <w:color w:val="000000" w:themeColor="text1"/>
                <w:szCs w:val="24"/>
              </w:rPr>
              <w:lastRenderedPageBreak/>
              <w:t>operadora do consórcio deverá obter qualificação na categoria mínima exigida para o setor onde se localizam os blocos objeto de oferta.</w:t>
            </w:r>
            <w:r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  <w:p w:rsidR="008B3BCC" w:rsidRDefault="00E608E6">
            <w:pPr>
              <w:pStyle w:val="Legenda"/>
              <w:spacing w:before="120" w:after="12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 xml:space="preserve">A ANP poderá solicitar quaisquer informações e documentos adicionais para subsidiar a qualificação. </w:t>
            </w:r>
          </w:p>
          <w:p w:rsidR="008B3BCC" w:rsidRDefault="00E608E6">
            <w:pPr>
              <w:pStyle w:val="Legenda"/>
              <w:spacing w:before="120" w:after="12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 xml:space="preserve">As informações prestadas pelas licitantes para fins de qualificação poderão ser verificadas pela ANP por meio de vistorias previamente agendadas. </w:t>
            </w:r>
          </w:p>
          <w:p w:rsidR="008B3BCC" w:rsidRDefault="00E608E6">
            <w:pPr>
              <w:pStyle w:val="Legenda"/>
              <w:spacing w:before="120" w:after="12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As lic</w:t>
            </w:r>
            <w:r>
              <w:rPr>
                <w:rFonts w:cs="Arial"/>
                <w:color w:val="000000" w:themeColor="text1"/>
                <w:szCs w:val="24"/>
              </w:rPr>
              <w:t xml:space="preserve">itantes deverão manter as condições de qualificação até a assinatura do contrato de concessão </w:t>
            </w:r>
            <w:proofErr w:type="gramStart"/>
            <w:r>
              <w:rPr>
                <w:rFonts w:cs="Arial"/>
                <w:color w:val="000000" w:themeColor="text1"/>
                <w:szCs w:val="24"/>
              </w:rPr>
              <w:t>sob pena</w:t>
            </w:r>
            <w:proofErr w:type="gramEnd"/>
            <w:r>
              <w:rPr>
                <w:rFonts w:cs="Arial"/>
                <w:color w:val="000000" w:themeColor="text1"/>
                <w:szCs w:val="24"/>
              </w:rPr>
              <w:t xml:space="preserve"> de cancelamento da qualificação.</w:t>
            </w:r>
          </w:p>
        </w:tc>
        <w:tc>
          <w:tcPr>
            <w:tcW w:w="1638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lastRenderedPageBreak/>
              <w:t xml:space="preserve">É sabido que em alguns casos, especialmente quando se trata de afiliada brasileira </w:t>
            </w:r>
            <w:proofErr w:type="gramStart"/>
            <w:r>
              <w:rPr>
                <w:rFonts w:cs="Arial"/>
                <w:color w:val="000000" w:themeColor="text1"/>
                <w:szCs w:val="24"/>
              </w:rPr>
              <w:t>recém constituída</w:t>
            </w:r>
            <w:proofErr w:type="gramEnd"/>
            <w:r>
              <w:rPr>
                <w:rFonts w:cs="Arial"/>
                <w:color w:val="000000" w:themeColor="text1"/>
                <w:szCs w:val="24"/>
              </w:rPr>
              <w:t>, o Patrimônio Líqui</w:t>
            </w:r>
            <w:r>
              <w:rPr>
                <w:rFonts w:cs="Arial"/>
                <w:color w:val="000000" w:themeColor="text1"/>
                <w:szCs w:val="24"/>
              </w:rPr>
              <w:t xml:space="preserve">do deverá ser aumentado para atender aos requisitos do Edital. Não obstante, não seria razoável exigir o aumento antes da confirmação de que a sociedade apresentou oferta vencedora e o prazo para apresentação dos documentos se mostra demasiadamente curto. </w:t>
            </w:r>
            <w:r>
              <w:rPr>
                <w:rFonts w:cs="Arial"/>
                <w:color w:val="000000" w:themeColor="text1"/>
                <w:szCs w:val="24"/>
              </w:rPr>
              <w:t xml:space="preserve">Sugerimos que, ao menos para a comprovação do patrimônio líquido exigido, seja concedido prazo ligeiramente maior. </w:t>
            </w:r>
          </w:p>
        </w:tc>
      </w:tr>
      <w:tr w:rsidR="008B3BCC">
        <w:trPr>
          <w:trHeight w:val="569"/>
        </w:trPr>
        <w:tc>
          <w:tcPr>
            <w:tcW w:w="542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lastRenderedPageBreak/>
              <w:t>Pré-edital</w:t>
            </w:r>
          </w:p>
        </w:tc>
        <w:tc>
          <w:tcPr>
            <w:tcW w:w="537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537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7.3</w:t>
            </w:r>
          </w:p>
        </w:tc>
        <w:tc>
          <w:tcPr>
            <w:tcW w:w="1746" w:type="pct"/>
            <w:vAlign w:val="center"/>
          </w:tcPr>
          <w:p w:rsidR="008B3BCC" w:rsidRDefault="00E60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Para fins de qualificação econômico-financeira, a licitante deverá apresentar os seguintes documentos referentes aos três últimos exercícios sociais: </w:t>
            </w:r>
          </w:p>
          <w:p w:rsidR="008B3BCC" w:rsidRDefault="00E60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Demonstrações Financeiras: </w:t>
            </w:r>
          </w:p>
          <w:p w:rsidR="008B3BCC" w:rsidRDefault="00E608E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a.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1) Balanço Patrimonial; </w:t>
            </w:r>
          </w:p>
          <w:p w:rsidR="008B3BCC" w:rsidRDefault="00E608E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a.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2) Demonstrações dos Lucros ou Prejuízos Acum</w:t>
            </w:r>
            <w:r>
              <w:rPr>
                <w:rFonts w:ascii="Arial" w:hAnsi="Arial" w:cs="Arial"/>
                <w:sz w:val="24"/>
                <w:szCs w:val="24"/>
              </w:rPr>
              <w:t>ulados, podendo ser incluído na Demonstração das Mutações do Patrimônio Líquido;</w:t>
            </w:r>
          </w:p>
          <w:p w:rsidR="008B3BCC" w:rsidRDefault="00E608E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a.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3) Demonstração do Resultado do Exercício; </w:t>
            </w:r>
          </w:p>
          <w:p w:rsidR="008B3BCC" w:rsidRDefault="00E608E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a.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4) Demonstração do Fluxo de Caixa; </w:t>
            </w:r>
          </w:p>
          <w:p w:rsidR="008B3BCC" w:rsidRDefault="00E608E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a.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5) Notas Explicativas; </w:t>
            </w:r>
          </w:p>
          <w:p w:rsidR="008B3BCC" w:rsidRDefault="00E608E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a.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6) Demonstração do Valor Adicionado, se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companhia aberta.</w:t>
            </w:r>
          </w:p>
          <w:p w:rsidR="008B3BCC" w:rsidRDefault="00E60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 Pa</w:t>
            </w:r>
            <w:r>
              <w:rPr>
                <w:rFonts w:ascii="Arial" w:hAnsi="Arial" w:cs="Arial"/>
                <w:sz w:val="24"/>
                <w:szCs w:val="24"/>
              </w:rPr>
              <w:t>recer de auditor independente em relação aos exercícios sociais já encerrados até a sessão de julgamento de ofertas;</w:t>
            </w:r>
          </w:p>
          <w:p w:rsidR="008B3BCC" w:rsidRDefault="00E60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c) Formulário do ANEXO XXI - Resumo das Demonstrações Financeiras, somente para as sociedades estrangeiras. </w:t>
            </w:r>
          </w:p>
          <w:p w:rsidR="008B3BCC" w:rsidRDefault="00E60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Demonstrações Financeiras deverão ser apresentadas na forma da Lei nº 6.404/1976, vedada sua substituição por balancetes provisórios, sem prejuízo da obrigatoriedade de apresentação do parecer de auditor independente por todas as licitantes. </w:t>
            </w:r>
          </w:p>
          <w:p w:rsidR="008B3BCC" w:rsidRDefault="00E60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Caso a lic</w:t>
            </w:r>
            <w:r>
              <w:rPr>
                <w:rFonts w:ascii="Arial" w:hAnsi="Arial" w:cs="Arial"/>
                <w:sz w:val="24"/>
                <w:szCs w:val="24"/>
              </w:rPr>
              <w:t xml:space="preserve">itante seja controladora de grupo societário,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deverá apresentar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suas Demonstrações Financeiras Consolidadas, observadas as disposições emitidas pelo Comitê de Pronunciamentos Contábeis (CPC) quanto à correlação às normas internacionais de contabilidade (IF</w:t>
            </w:r>
            <w:r>
              <w:rPr>
                <w:rFonts w:ascii="Arial" w:hAnsi="Arial" w:cs="Arial"/>
                <w:sz w:val="24"/>
                <w:szCs w:val="24"/>
              </w:rPr>
              <w:t xml:space="preserve">RS). </w:t>
            </w:r>
          </w:p>
          <w:p w:rsidR="008B3BCC" w:rsidRDefault="00E60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ANP poderá solicitar apresentação de Informações Trimestrais (ITR), na forma do art. 16, VIII, da Instrução CVM nº 202/1993, para subsidiar a análise da qualificação. A licitante constituída há menos de três anos deverá apresentar as Demonstrações </w:t>
            </w:r>
            <w:r>
              <w:rPr>
                <w:rFonts w:ascii="Arial" w:hAnsi="Arial" w:cs="Arial"/>
                <w:sz w:val="24"/>
                <w:szCs w:val="24"/>
              </w:rPr>
              <w:t xml:space="preserve">Financeiras e o parecer do auditor independente para os exercícios sociais já encerrados. </w:t>
            </w:r>
          </w:p>
          <w:p w:rsidR="008B3BCC" w:rsidRDefault="00E608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licitante constituída no mesmo exercício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social desta licitação deverá apresentar as Demonstrações Financeiras Intermediárias, vedada a sua substituição por balanc</w:t>
            </w:r>
            <w:r>
              <w:rPr>
                <w:rFonts w:ascii="Arial" w:hAnsi="Arial" w:cs="Arial"/>
                <w:sz w:val="24"/>
                <w:szCs w:val="24"/>
              </w:rPr>
              <w:t>etes provisórios, acompanhadas de parecer de auditor independente. Neste caso, para fins de comprovação do Patrimônio Líquido, a licitante deverá apresentar uma cópia do seu último estatuto social arquivado no órgão de registro de comércio de sua jurisdiçã</w:t>
            </w:r>
            <w:r>
              <w:rPr>
                <w:rFonts w:ascii="Arial" w:hAnsi="Arial" w:cs="Arial"/>
                <w:sz w:val="24"/>
                <w:szCs w:val="24"/>
              </w:rPr>
              <w:t>o.</w:t>
            </w:r>
          </w:p>
          <w:p w:rsidR="008B3BCC" w:rsidRDefault="00E608E6">
            <w:pPr>
              <w:pStyle w:val="Legenda"/>
              <w:spacing w:before="120" w:after="12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szCs w:val="24"/>
              </w:rPr>
              <w:t>A licitante estrangeira deverá apresentar, adicionalmente, o ANEXO XXI preenchido e assinado pelos administradores e por contabilistas legalmente habilitados no país de origem, observada as formalidades previstas na seção 3.</w:t>
            </w:r>
          </w:p>
        </w:tc>
        <w:tc>
          <w:tcPr>
            <w:tcW w:w="1638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lastRenderedPageBreak/>
              <w:t>Entendemos que o parecer dos</w:t>
            </w:r>
            <w:r>
              <w:rPr>
                <w:rFonts w:cs="Arial"/>
                <w:color w:val="000000" w:themeColor="text1"/>
                <w:szCs w:val="24"/>
              </w:rPr>
              <w:t xml:space="preserve"> auditores deve ser exigido somente com relação às demonstrações financeiras já encerradas e exigíveis, nos termos da legislação aplicável. Em alguns casos, para demonstrar o atendimento ao patrimônio líquido exigido, será necessário apresentar demonstraçõ</w:t>
            </w:r>
            <w:r>
              <w:rPr>
                <w:rFonts w:cs="Arial"/>
                <w:color w:val="000000" w:themeColor="text1"/>
                <w:szCs w:val="24"/>
              </w:rPr>
              <w:t xml:space="preserve">es financeiras complementares, para as quais não haverá tempo hábil de proceder com a auditoria. </w:t>
            </w:r>
          </w:p>
        </w:tc>
      </w:tr>
      <w:tr w:rsidR="008B3BCC">
        <w:trPr>
          <w:trHeight w:val="2009"/>
        </w:trPr>
        <w:tc>
          <w:tcPr>
            <w:tcW w:w="542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lastRenderedPageBreak/>
              <w:t>Pré-edital</w:t>
            </w:r>
          </w:p>
        </w:tc>
        <w:tc>
          <w:tcPr>
            <w:tcW w:w="537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Alteração</w:t>
            </w:r>
          </w:p>
        </w:tc>
        <w:tc>
          <w:tcPr>
            <w:tcW w:w="537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9.2</w:t>
            </w:r>
          </w:p>
        </w:tc>
        <w:tc>
          <w:tcPr>
            <w:tcW w:w="1746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 licitante vencedora poderá delegar a assinatura do contrato de concessão para sociedade empresária afiliada que tenha sede e admin</w:t>
            </w:r>
            <w:r>
              <w:rPr>
                <w:rFonts w:cs="Arial"/>
                <w:color w:val="000000" w:themeColor="text1"/>
                <w:szCs w:val="24"/>
              </w:rPr>
              <w:t>istração no Brasil, caso em que a qualificação econômico-financeira e jurídica no nível exigido para assinar o contrato de concessão ou superior deverá ser feita apenas pela afiliada em questão.</w:t>
            </w:r>
          </w:p>
          <w:p w:rsidR="008B3BCC" w:rsidRDefault="00E608E6">
            <w:pPr>
              <w:pStyle w:val="Legenda"/>
              <w:spacing w:before="120" w:after="12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Entende-se por sociedade empresária afiliada, para o fim de a</w:t>
            </w:r>
            <w:r>
              <w:rPr>
                <w:rFonts w:cs="Arial"/>
                <w:color w:val="000000" w:themeColor="text1"/>
                <w:szCs w:val="24"/>
              </w:rPr>
              <w:t xml:space="preserve">ssinatura do contrato de concessão, a sociedade integrante de um grupo formal de empresas e a sociedade vinculada a outra por relação </w:t>
            </w:r>
            <w:r>
              <w:rPr>
                <w:rFonts w:cs="Arial"/>
                <w:color w:val="000000" w:themeColor="text1"/>
                <w:szCs w:val="24"/>
              </w:rPr>
              <w:lastRenderedPageBreak/>
              <w:t xml:space="preserve">de controle comum, direto ou indireto. </w:t>
            </w:r>
          </w:p>
          <w:p w:rsidR="008B3BCC" w:rsidRDefault="00E608E6">
            <w:pPr>
              <w:pStyle w:val="Legenda"/>
              <w:spacing w:before="120" w:after="12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 xml:space="preserve">A licitante vencedora estrangeira que não possua afiliada estabelecida no Brasil deverá, obrigatoriamente, constituir sociedade empresária brasileira com sede e administração no país para figurar como concessionária. </w:t>
            </w:r>
          </w:p>
          <w:p w:rsidR="008B3BCC" w:rsidRDefault="00E608E6">
            <w:pPr>
              <w:pStyle w:val="Legenda"/>
              <w:spacing w:before="120" w:after="12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Em caso de consórcio, a participação d</w:t>
            </w:r>
            <w:r>
              <w:rPr>
                <w:rFonts w:cs="Arial"/>
                <w:color w:val="000000" w:themeColor="text1"/>
                <w:szCs w:val="24"/>
              </w:rPr>
              <w:t xml:space="preserve">a afiliada indicada será idêntica à participação da licitante vencedora que a indicou, definida no envelope padrão de apresentação de ofertas. </w:t>
            </w:r>
          </w:p>
          <w:p w:rsidR="008B3BCC" w:rsidRDefault="00E608E6">
            <w:pPr>
              <w:pStyle w:val="Legenda"/>
              <w:spacing w:before="120" w:after="120"/>
              <w:jc w:val="both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A afiliada que receber a delegação deverá apresentar documentos para assinatura do contrato de concessão, previs</w:t>
            </w:r>
            <w:r>
              <w:rPr>
                <w:rFonts w:cs="Arial"/>
                <w:color w:val="000000" w:themeColor="text1"/>
                <w:szCs w:val="24"/>
              </w:rPr>
              <w:t>tos nas seções 9.1.2, 9.1.3 e, caso aplicável, 9.1.4 e 9.1.5, e obter qualificação econômico-financeira e jurídica no nível exigido para assinar o contrato de concessão ou superior, além de comprovar sua regularidade fiscal e trabalhista.</w:t>
            </w:r>
          </w:p>
        </w:tc>
        <w:tc>
          <w:tcPr>
            <w:tcW w:w="1638" w:type="pct"/>
            <w:vAlign w:val="center"/>
          </w:tcPr>
          <w:p w:rsidR="008B3BCC" w:rsidRDefault="00E608E6">
            <w:pPr>
              <w:pStyle w:val="Legenda"/>
              <w:spacing w:before="120" w:after="120"/>
              <w:jc w:val="center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lastRenderedPageBreak/>
              <w:t>Entendemos que, c</w:t>
            </w:r>
            <w:r>
              <w:rPr>
                <w:rFonts w:cs="Arial"/>
                <w:color w:val="000000" w:themeColor="text1"/>
                <w:szCs w:val="24"/>
              </w:rPr>
              <w:t>om a indicação de uma sociedade afiliada para a assinatura do contrato de concessão, o processo de qualificação recairá exclusivamente sobre essa sociedade, conforme já indicado pela tabela 15. Entretanto, é preciso que essa conclusão esteja expressa de fo</w:t>
            </w:r>
            <w:r>
              <w:rPr>
                <w:rFonts w:cs="Arial"/>
                <w:color w:val="000000" w:themeColor="text1"/>
                <w:szCs w:val="24"/>
              </w:rPr>
              <w:t xml:space="preserve">rma mais clara, para evitar qualquer dúvida no sentido de que estaria sendo exigida uma dupla qualificação / qualificação </w:t>
            </w:r>
            <w:proofErr w:type="gramStart"/>
            <w:r>
              <w:rPr>
                <w:rFonts w:cs="Arial"/>
                <w:color w:val="000000" w:themeColor="text1"/>
                <w:szCs w:val="24"/>
              </w:rPr>
              <w:t>simultânea, o</w:t>
            </w:r>
            <w:proofErr w:type="gramEnd"/>
            <w:r>
              <w:rPr>
                <w:rFonts w:cs="Arial"/>
                <w:color w:val="000000" w:themeColor="text1"/>
                <w:szCs w:val="24"/>
              </w:rPr>
              <w:t xml:space="preserve"> que não seria razoável. </w:t>
            </w:r>
          </w:p>
        </w:tc>
      </w:tr>
    </w:tbl>
    <w:p w:rsidR="008B3BCC" w:rsidRDefault="008B3BCC">
      <w:pPr>
        <w:pStyle w:val="Legenda"/>
        <w:spacing w:line="360" w:lineRule="auto"/>
        <w:jc w:val="both"/>
        <w:rPr>
          <w:rFonts w:cs="Arial"/>
          <w:szCs w:val="24"/>
          <w:u w:val="single"/>
        </w:rPr>
      </w:pPr>
    </w:p>
    <w:sectPr w:rsidR="008B3BCC" w:rsidSect="008B3BCC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1077" w:right="1440" w:bottom="992" w:left="1440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BCC" w:rsidRDefault="00E608E6">
      <w:r>
        <w:separator/>
      </w:r>
    </w:p>
  </w:endnote>
  <w:endnote w:type="continuationSeparator" w:id="0">
    <w:p w:rsidR="008B3BCC" w:rsidRDefault="00E60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BCC" w:rsidRDefault="008B3BCC">
    <w:pPr>
      <w:pStyle w:val="Rodap"/>
      <w:jc w:val="right"/>
    </w:pPr>
    <w:fldSimple w:instr=" PAGE   \* MERGEFORMAT ">
      <w:r w:rsidR="00E608E6">
        <w:rPr>
          <w:noProof/>
        </w:rPr>
        <w:t>2</w:t>
      </w:r>
    </w:fldSimple>
  </w:p>
  <w:p w:rsidR="008B3BCC" w:rsidRDefault="008B3BC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BCC" w:rsidRDefault="008B3BCC">
    <w:pPr>
      <w:pStyle w:val="Rodap"/>
      <w:jc w:val="right"/>
    </w:pPr>
    <w:fldSimple w:instr=" PAGE   \* MERGEFORMAT ">
      <w:r w:rsidR="00E608E6">
        <w:rPr>
          <w:noProof/>
        </w:rPr>
        <w:t>1</w:t>
      </w:r>
    </w:fldSimple>
  </w:p>
  <w:p w:rsidR="008B3BCC" w:rsidRDefault="008B3BC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BCC" w:rsidRDefault="00E608E6">
      <w:r>
        <w:separator/>
      </w:r>
    </w:p>
  </w:footnote>
  <w:footnote w:type="continuationSeparator" w:id="0">
    <w:p w:rsidR="008B3BCC" w:rsidRDefault="00E60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BCC" w:rsidRDefault="008B3BCC">
    <w:pPr>
      <w:pStyle w:val="Cabealho"/>
      <w:tabs>
        <w:tab w:val="clear" w:pos="8504"/>
        <w:tab w:val="right" w:pos="9923"/>
      </w:tabs>
      <w:ind w:left="-142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39" w:type="pct"/>
      <w:tblBorders>
        <w:top w:val="single" w:sz="4" w:space="0" w:color="808080" w:themeColor="background1" w:themeShade="80"/>
        <w:bottom w:val="single" w:sz="4" w:space="0" w:color="808080" w:themeColor="background1" w:themeShade="80"/>
      </w:tblBorders>
      <w:tblLayout w:type="fixed"/>
      <w:tblLook w:val="04A0"/>
    </w:tblPr>
    <w:tblGrid>
      <w:gridCol w:w="8189"/>
      <w:gridCol w:w="6098"/>
    </w:tblGrid>
    <w:tr w:rsidR="008B3BCC">
      <w:tc>
        <w:tcPr>
          <w:tcW w:w="2866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8B3BCC" w:rsidRDefault="00E608E6">
          <w:pPr>
            <w:pStyle w:val="Cabealho"/>
            <w:spacing w:before="240" w:after="24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>
                <wp:extent cx="2257425" cy="914400"/>
                <wp:effectExtent l="19050" t="0" r="9525" b="0"/>
                <wp:docPr id="3" name="Imagem 0" descr="testei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testei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>
                <wp:extent cx="1695450" cy="904875"/>
                <wp:effectExtent l="19050" t="0" r="0" b="0"/>
                <wp:docPr id="4" name="Imagem 0" descr="testei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testei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4" w:type="pct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  <w:vAlign w:val="center"/>
        </w:tcPr>
        <w:p w:rsidR="008B3BCC" w:rsidRDefault="00E608E6">
          <w:pPr>
            <w:pStyle w:val="Cabealho"/>
            <w:spacing w:before="240" w:after="240"/>
            <w:jc w:val="right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CONSULTA </w:t>
          </w:r>
          <w:proofErr w:type="gramStart"/>
          <w:r>
            <w:rPr>
              <w:rFonts w:ascii="Arial" w:hAnsi="Arial" w:cs="Arial"/>
              <w:b/>
              <w:sz w:val="28"/>
              <w:szCs w:val="28"/>
            </w:rPr>
            <w:t>PÚBLICA Nº</w:t>
          </w:r>
          <w:proofErr w:type="gramEnd"/>
          <w:r>
            <w:rPr>
              <w:rFonts w:ascii="Arial" w:hAnsi="Arial" w:cs="Arial"/>
              <w:b/>
              <w:sz w:val="28"/>
              <w:szCs w:val="28"/>
            </w:rPr>
            <w:t xml:space="preserve"> 13/2015</w:t>
          </w:r>
        </w:p>
        <w:p w:rsidR="008B3BCC" w:rsidRDefault="00E608E6">
          <w:pPr>
            <w:pStyle w:val="Cabealho"/>
            <w:spacing w:before="240" w:after="240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Formulário de comentários e sugestões</w:t>
          </w:r>
        </w:p>
      </w:tc>
    </w:tr>
  </w:tbl>
  <w:p w:rsidR="008B3BCC" w:rsidRDefault="008B3B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4429A"/>
    <w:multiLevelType w:val="hybridMultilevel"/>
    <w:tmpl w:val="867A956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idIDFlag" w:val="06/07/2015 11:41:03"/>
  </w:docVars>
  <w:rsids>
    <w:rsidRoot w:val="008B3BCC"/>
    <w:rsid w:val="008B3BCC"/>
    <w:rsid w:val="00E60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BCC"/>
    <w:pPr>
      <w:jc w:val="left"/>
    </w:pPr>
    <w:rPr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qFormat/>
    <w:rsid w:val="008B3BCC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8B3BCC"/>
    <w:pPr>
      <w:jc w:val="left"/>
    </w:pPr>
    <w:rPr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B3BC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B3B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B3BCC"/>
    <w:rPr>
      <w:rFonts w:eastAsia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BCC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locked/>
    <w:rsid w:val="008B3BCC"/>
    <w:rPr>
      <w:rFonts w:eastAsia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B3BCC"/>
    <w:rPr>
      <w:rFonts w:cs="Times New Roman"/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B3BCC"/>
    <w:rPr>
      <w:rFonts w:ascii="Tahoma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B3BCC"/>
  </w:style>
  <w:style w:type="character" w:styleId="Refdenotaderodap">
    <w:name w:val="footnote reference"/>
    <w:basedOn w:val="Fontepargpadro"/>
    <w:uiPriority w:val="99"/>
    <w:semiHidden/>
    <w:unhideWhenUsed/>
    <w:rsid w:val="008B3BCC"/>
    <w:rPr>
      <w:rFonts w:cs="Times New Roman"/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8B3BCC"/>
    <w:rPr>
      <w:rFonts w:eastAsia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B3BC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B3BC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E69D4-2834-4794-B867-57F43EE1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1188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Peçanha</dc:creator>
  <cp:lastModifiedBy>Usuário do Windows</cp:lastModifiedBy>
  <cp:revision>2</cp:revision>
  <cp:lastPrinted>2013-01-24T15:49:00Z</cp:lastPrinted>
  <dcterms:created xsi:type="dcterms:W3CDTF">2015-07-06T20:09:00Z</dcterms:created>
  <dcterms:modified xsi:type="dcterms:W3CDTF">2015-07-06T20:09:00Z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0FAAENUjWtcCD39GpIeAkpwYk5meuHB6XzbYNzlL2G01WTlbnCoIu2tbM8axnT51MW8HPaf8ylzarkM7
uqEk7IJNo/NdEuoojCy1vN+UGN4mmM5QWEGnkb+/dDsZHzUAVX2L+ageu118gxWB9bdogK5g6aRz
DAmbf6SnLqwR7RHV53pwCOaavpKFtQ+Crxx0nbqokvogWGqGHOZAUpI88UneimDAqEzDCgtqyl63
doifeuP9IZ7DvJ8q6</vt:lpwstr>
  </property>
  <property fmtid="{D5CDD505-2E9C-101B-9397-08002B2CF9AE}" pid="3" name="MAIL_MSG_ID2">
    <vt:lpwstr>4L1zTg9/1zMVjTUjqbIzcawIgvUXw6bscwuJdigGK2wEQ1FyavgFi9K4UF7
7SwDqY6+QlkTz2NVupxv3tjigmC0LiGVW+64aPdlFidFUTHauRP0Al4jhwE=</vt:lpwstr>
  </property>
  <property fmtid="{D5CDD505-2E9C-101B-9397-08002B2CF9AE}" pid="4" name="RESPONSE_SENDER_NAME">
    <vt:lpwstr>sAAAGYoQX4c3X/LPsBx7Xyvda9fiR/AbaHWZGO2EX7QCuCY=</vt:lpwstr>
  </property>
  <property fmtid="{D5CDD505-2E9C-101B-9397-08002B2CF9AE}" pid="5" name="EMAIL_OWNER_ADDRESS">
    <vt:lpwstr>4AAA6DouqOs9baGAdCBTAUzUelYJpRO+6dZKRIL6rOGZIhrMieaeeC/uhQ==</vt:lpwstr>
  </property>
</Properties>
</file>