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78C" w:rsidRPr="0063677E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6E3142" w:rsidRPr="0063677E" w:rsidRDefault="006E3142" w:rsidP="00615A71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63677E">
        <w:rPr>
          <w:rFonts w:ascii="Arial" w:hAnsi="Arial" w:cs="Arial"/>
          <w:b/>
          <w:sz w:val="28"/>
        </w:rPr>
        <w:t>FORMULÁRIO DE COMENTÁRIOS E SUGESTÕES</w:t>
      </w:r>
    </w:p>
    <w:p w:rsidR="006E3142" w:rsidRPr="0063677E" w:rsidRDefault="006E3142" w:rsidP="00615A71">
      <w:pPr>
        <w:pStyle w:val="Legenda"/>
        <w:spacing w:before="120" w:after="120" w:line="360" w:lineRule="auto"/>
        <w:jc w:val="center"/>
        <w:rPr>
          <w:rFonts w:cs="Arial"/>
        </w:rPr>
      </w:pPr>
      <w:r w:rsidRPr="0063677E">
        <w:rPr>
          <w:rFonts w:cs="Arial"/>
        </w:rPr>
        <w:t>CONSULTA PÚBLICA Nº 25/2013 – 23/08/2013 a 11/09/2013</w:t>
      </w:r>
    </w:p>
    <w:p w:rsidR="004B602B" w:rsidRPr="0063677E" w:rsidRDefault="004B602B" w:rsidP="004B602B">
      <w:pPr>
        <w:rPr>
          <w:rFonts w:ascii="Arial" w:hAnsi="Arial" w:cs="Arial"/>
          <w:b/>
          <w:sz w:val="24"/>
          <w:szCs w:val="24"/>
        </w:rPr>
      </w:pPr>
      <w:r w:rsidRPr="0063677E">
        <w:rPr>
          <w:rFonts w:ascii="Arial" w:hAnsi="Arial" w:cs="Arial"/>
          <w:b/>
          <w:sz w:val="24"/>
          <w:szCs w:val="24"/>
        </w:rPr>
        <w:t>Identificação:</w:t>
      </w:r>
    </w:p>
    <w:p w:rsidR="004B602B" w:rsidRPr="0063677E" w:rsidRDefault="004B602B" w:rsidP="004B602B"/>
    <w:tbl>
      <w:tblPr>
        <w:tblStyle w:val="Tabelacomgrade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000"/>
      </w:tblPr>
      <w:tblGrid>
        <w:gridCol w:w="2234"/>
        <w:gridCol w:w="11942"/>
      </w:tblGrid>
      <w:tr w:rsidR="004B602B" w:rsidRPr="0063677E" w:rsidTr="00593506">
        <w:trPr>
          <w:trHeight w:val="510"/>
        </w:trPr>
        <w:tc>
          <w:tcPr>
            <w:tcW w:w="788" w:type="pct"/>
            <w:vAlign w:val="center"/>
          </w:tcPr>
          <w:p w:rsidR="004B602B" w:rsidRPr="0063677E" w:rsidRDefault="004B602B" w:rsidP="0059350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Nome</w:t>
            </w:r>
          </w:p>
        </w:tc>
        <w:tc>
          <w:tcPr>
            <w:tcW w:w="4212" w:type="pct"/>
            <w:vAlign w:val="center"/>
          </w:tcPr>
          <w:p w:rsidR="004B602B" w:rsidRPr="0063677E" w:rsidRDefault="004B602B" w:rsidP="0059350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Rodrigo Marcussi Fiatikoski</w:t>
            </w:r>
          </w:p>
        </w:tc>
      </w:tr>
      <w:tr w:rsidR="004B602B" w:rsidRPr="0063677E" w:rsidTr="00593506">
        <w:trPr>
          <w:trHeight w:val="510"/>
        </w:trPr>
        <w:tc>
          <w:tcPr>
            <w:tcW w:w="788" w:type="pct"/>
            <w:vAlign w:val="center"/>
          </w:tcPr>
          <w:p w:rsidR="004B602B" w:rsidRPr="0063677E" w:rsidRDefault="004B602B" w:rsidP="0059350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Empresa</w:t>
            </w:r>
          </w:p>
        </w:tc>
        <w:tc>
          <w:tcPr>
            <w:tcW w:w="4212" w:type="pct"/>
            <w:vAlign w:val="center"/>
          </w:tcPr>
          <w:p w:rsidR="004B602B" w:rsidRPr="0063677E" w:rsidRDefault="004B602B" w:rsidP="0059350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Vieira Rezende</w:t>
            </w:r>
          </w:p>
        </w:tc>
      </w:tr>
    </w:tbl>
    <w:p w:rsidR="004B602B" w:rsidRPr="0063677E" w:rsidRDefault="004B602B" w:rsidP="004B602B">
      <w:pPr>
        <w:rPr>
          <w:rFonts w:ascii="Arial" w:hAnsi="Arial" w:cs="Arial"/>
          <w:sz w:val="24"/>
          <w:szCs w:val="24"/>
        </w:rPr>
      </w:pPr>
    </w:p>
    <w:p w:rsidR="004B602B" w:rsidRPr="0063677E" w:rsidRDefault="004B602B" w:rsidP="004B602B">
      <w:pPr>
        <w:pStyle w:val="Legenda"/>
        <w:jc w:val="both"/>
        <w:rPr>
          <w:rFonts w:cs="Arial"/>
          <w:b/>
          <w:szCs w:val="24"/>
        </w:rPr>
      </w:pPr>
    </w:p>
    <w:p w:rsidR="006E3142" w:rsidRPr="0063677E" w:rsidRDefault="004B602B" w:rsidP="00842086">
      <w:pPr>
        <w:pStyle w:val="Legenda"/>
        <w:jc w:val="both"/>
        <w:rPr>
          <w:rFonts w:cs="Arial"/>
          <w:b/>
          <w:szCs w:val="24"/>
        </w:rPr>
      </w:pPr>
      <w:r w:rsidRPr="0063677E">
        <w:rPr>
          <w:rFonts w:cs="Arial"/>
          <w:b/>
          <w:szCs w:val="24"/>
        </w:rPr>
        <w:t>Comentários/sugestões:</w:t>
      </w:r>
    </w:p>
    <w:p w:rsidR="006E3142" w:rsidRPr="0063677E" w:rsidRDefault="006E3142" w:rsidP="00842086">
      <w:pPr>
        <w:pStyle w:val="Legenda"/>
        <w:jc w:val="both"/>
        <w:rPr>
          <w:rFonts w:cs="Arial"/>
          <w:b/>
          <w:szCs w:val="24"/>
        </w:rPr>
      </w:pPr>
    </w:p>
    <w:tbl>
      <w:tblPr>
        <w:tblStyle w:val="Tabelacomgrade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/>
      </w:tblPr>
      <w:tblGrid>
        <w:gridCol w:w="1536"/>
        <w:gridCol w:w="1523"/>
        <w:gridCol w:w="1523"/>
        <w:gridCol w:w="4950"/>
        <w:gridCol w:w="4644"/>
      </w:tblGrid>
      <w:tr w:rsidR="006E3142" w:rsidRPr="0063677E" w:rsidTr="0088203A">
        <w:trPr>
          <w:trHeight w:val="850"/>
          <w:tblHeader/>
        </w:trPr>
        <w:tc>
          <w:tcPr>
            <w:tcW w:w="542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63677E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63677E">
              <w:rPr>
                <w:rFonts w:cs="Arial"/>
                <w:b/>
                <w:color w:val="000000" w:themeColor="text1"/>
                <w:szCs w:val="24"/>
              </w:rPr>
              <w:t>Documento</w:t>
            </w:r>
          </w:p>
        </w:tc>
        <w:tc>
          <w:tcPr>
            <w:tcW w:w="537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63677E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63677E">
              <w:rPr>
                <w:rFonts w:cs="Arial"/>
                <w:b/>
                <w:color w:val="000000" w:themeColor="text1"/>
                <w:szCs w:val="24"/>
              </w:rPr>
              <w:t>Natureza da sugestão</w:t>
            </w:r>
          </w:p>
        </w:tc>
        <w:tc>
          <w:tcPr>
            <w:tcW w:w="537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63677E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63677E">
              <w:rPr>
                <w:rFonts w:cs="Arial"/>
                <w:b/>
                <w:color w:val="000000" w:themeColor="text1"/>
                <w:szCs w:val="24"/>
              </w:rPr>
              <w:t>Item</w:t>
            </w:r>
          </w:p>
        </w:tc>
        <w:tc>
          <w:tcPr>
            <w:tcW w:w="1746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63677E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63677E">
              <w:rPr>
                <w:rFonts w:cs="Arial"/>
                <w:b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6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63677E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63677E">
              <w:rPr>
                <w:rFonts w:cs="Arial"/>
                <w:b/>
                <w:color w:val="000000" w:themeColor="text1"/>
                <w:szCs w:val="24"/>
              </w:rPr>
              <w:t>Justificativa</w:t>
            </w:r>
          </w:p>
        </w:tc>
      </w:tr>
      <w:tr w:rsidR="006E3142" w:rsidRPr="0063677E" w:rsidTr="00930610">
        <w:trPr>
          <w:trHeight w:val="1250"/>
        </w:trPr>
        <w:tc>
          <w:tcPr>
            <w:tcW w:w="542" w:type="pct"/>
            <w:vAlign w:val="center"/>
          </w:tcPr>
          <w:p w:rsidR="006E3142" w:rsidRPr="0063677E" w:rsidRDefault="00DD6148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Edital</w:t>
            </w:r>
          </w:p>
        </w:tc>
        <w:tc>
          <w:tcPr>
            <w:tcW w:w="537" w:type="pct"/>
            <w:vAlign w:val="center"/>
          </w:tcPr>
          <w:p w:rsidR="006E3142" w:rsidRPr="0063677E" w:rsidRDefault="004B602B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7" w:type="pct"/>
            <w:vAlign w:val="center"/>
          </w:tcPr>
          <w:p w:rsidR="006E3142" w:rsidRPr="0063677E" w:rsidRDefault="004B602B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2</w:t>
            </w:r>
          </w:p>
        </w:tc>
        <w:tc>
          <w:tcPr>
            <w:tcW w:w="1746" w:type="pct"/>
            <w:vAlign w:val="center"/>
          </w:tcPr>
          <w:p w:rsidR="006E3142" w:rsidRPr="0063677E" w:rsidRDefault="004B602B" w:rsidP="00930610">
            <w:pPr>
              <w:pStyle w:val="Edital-CT"/>
              <w:jc w:val="both"/>
              <w:rPr>
                <w:sz w:val="24"/>
                <w:szCs w:val="24"/>
              </w:rPr>
            </w:pPr>
            <w:r w:rsidRPr="0063677E">
              <w:rPr>
                <w:sz w:val="24"/>
                <w:szCs w:val="24"/>
              </w:rPr>
              <w:t xml:space="preserve">A presente licitação tem por objeto a outorga de Contratos de Concessão para o exercício das atividades de Exploração e Produção de Petróleo e Gás Natural em 240 Blocos com risco exploratório, localizados em 13 Setores de 7 Bacias Sedimentares brasileiras: Acre-Madre de </w:t>
            </w:r>
            <w:r w:rsidRPr="0063677E">
              <w:rPr>
                <w:sz w:val="24"/>
                <w:szCs w:val="24"/>
              </w:rPr>
              <w:lastRenderedPageBreak/>
              <w:t>Dios, Paraná, Parecis, Parnaíba, Recôncavo, São Francisco e Sergipe-Alago</w:t>
            </w:r>
            <w:r w:rsidRPr="0063677E">
              <w:rPr>
                <w:color w:val="FF0000"/>
                <w:sz w:val="24"/>
                <w:szCs w:val="24"/>
              </w:rPr>
              <w:t>a</w:t>
            </w:r>
            <w:r w:rsidRPr="0063677E">
              <w:rPr>
                <w:sz w:val="24"/>
                <w:szCs w:val="24"/>
              </w:rPr>
              <w:t xml:space="preserve">s. </w:t>
            </w:r>
          </w:p>
        </w:tc>
        <w:tc>
          <w:tcPr>
            <w:tcW w:w="1638" w:type="pct"/>
            <w:vAlign w:val="center"/>
          </w:tcPr>
          <w:p w:rsidR="006E3142" w:rsidRPr="0063677E" w:rsidRDefault="0023210F" w:rsidP="004B602B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lastRenderedPageBreak/>
              <w:t>A</w:t>
            </w:r>
            <w:r w:rsidR="004B602B" w:rsidRPr="0063677E">
              <w:rPr>
                <w:rFonts w:cs="Arial"/>
                <w:color w:val="000000" w:themeColor="text1"/>
                <w:szCs w:val="24"/>
              </w:rPr>
              <w:t>juste de grafia.</w:t>
            </w:r>
          </w:p>
        </w:tc>
      </w:tr>
      <w:tr w:rsidR="006E3142" w:rsidRPr="0063677E" w:rsidTr="0088203A">
        <w:trPr>
          <w:trHeight w:val="2268"/>
        </w:trPr>
        <w:tc>
          <w:tcPr>
            <w:tcW w:w="542" w:type="pct"/>
            <w:vAlign w:val="center"/>
          </w:tcPr>
          <w:p w:rsidR="006E3142" w:rsidRPr="0063677E" w:rsidRDefault="004B602B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lastRenderedPageBreak/>
              <w:t>Edital</w:t>
            </w:r>
          </w:p>
        </w:tc>
        <w:tc>
          <w:tcPr>
            <w:tcW w:w="537" w:type="pct"/>
            <w:vAlign w:val="center"/>
          </w:tcPr>
          <w:p w:rsidR="006E3142" w:rsidRPr="0063677E" w:rsidRDefault="004B602B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7" w:type="pct"/>
            <w:vAlign w:val="center"/>
          </w:tcPr>
          <w:p w:rsidR="006E3142" w:rsidRPr="0063677E" w:rsidRDefault="004B602B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3.1.1</w:t>
            </w:r>
          </w:p>
        </w:tc>
        <w:tc>
          <w:tcPr>
            <w:tcW w:w="1746" w:type="pct"/>
            <w:vAlign w:val="center"/>
          </w:tcPr>
          <w:p w:rsidR="006E3142" w:rsidRPr="0063677E" w:rsidRDefault="0023210F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63677E">
              <w:t xml:space="preserve">c) </w:t>
            </w:r>
            <w:r w:rsidR="004B602B" w:rsidRPr="0063677E">
              <w:t xml:space="preserve">Conjunto de todos os documentos relativos ao pagamento da taxa de participação, previstos na Seção 3.1, </w:t>
            </w:r>
            <w:r w:rsidR="004B602B" w:rsidRPr="0063677E">
              <w:rPr>
                <w:strike/>
                <w:color w:val="FF0000"/>
              </w:rPr>
              <w:t>requisito (b)</w:t>
            </w:r>
            <w:r w:rsidR="004B602B" w:rsidRPr="0063677E">
              <w:t xml:space="preserve"> </w:t>
            </w:r>
            <w:r w:rsidR="004B602B" w:rsidRPr="0063677E">
              <w:rPr>
                <w:color w:val="FF0000"/>
              </w:rPr>
              <w:t>item (c)</w:t>
            </w:r>
            <w:r w:rsidR="004B602B" w:rsidRPr="0063677E">
              <w:t>, deste Edital.</w:t>
            </w:r>
          </w:p>
        </w:tc>
        <w:tc>
          <w:tcPr>
            <w:tcW w:w="1638" w:type="pct"/>
            <w:vAlign w:val="center"/>
          </w:tcPr>
          <w:p w:rsidR="006E3142" w:rsidRPr="0063677E" w:rsidRDefault="004B602B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Ajuste de referência cruzada.</w:t>
            </w:r>
          </w:p>
        </w:tc>
      </w:tr>
      <w:tr w:rsidR="00DD6148" w:rsidRPr="0063677E" w:rsidTr="0088203A">
        <w:trPr>
          <w:trHeight w:val="2268"/>
        </w:trPr>
        <w:tc>
          <w:tcPr>
            <w:tcW w:w="542" w:type="pct"/>
            <w:vAlign w:val="center"/>
          </w:tcPr>
          <w:p w:rsidR="00DD6148" w:rsidRPr="0063677E" w:rsidRDefault="004B602B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Edital</w:t>
            </w:r>
          </w:p>
        </w:tc>
        <w:tc>
          <w:tcPr>
            <w:tcW w:w="537" w:type="pct"/>
            <w:vAlign w:val="center"/>
          </w:tcPr>
          <w:p w:rsidR="00DD6148" w:rsidRPr="0063677E" w:rsidRDefault="00C02562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7" w:type="pct"/>
            <w:vAlign w:val="center"/>
          </w:tcPr>
          <w:p w:rsidR="00DD6148" w:rsidRPr="0063677E" w:rsidRDefault="00C02562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3.2</w:t>
            </w:r>
          </w:p>
        </w:tc>
        <w:tc>
          <w:tcPr>
            <w:tcW w:w="1746" w:type="pct"/>
            <w:vAlign w:val="center"/>
          </w:tcPr>
          <w:p w:rsidR="00DD6148" w:rsidRPr="0063677E" w:rsidRDefault="00C02562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63677E">
              <w:t xml:space="preserve">a) </w:t>
            </w:r>
            <w:r w:rsidRPr="0063677E">
              <w:tab/>
              <w:t>Documento, assinado por Representante Credenciado nomeado nos termos da Seção 3.3.</w:t>
            </w:r>
            <w:r w:rsidRPr="0063677E">
              <w:rPr>
                <w:color w:val="FF0000"/>
              </w:rPr>
              <w:t>2</w:t>
            </w:r>
            <w:r w:rsidRPr="0063677E">
              <w:rPr>
                <w:strike/>
                <w:color w:val="FF0000"/>
              </w:rPr>
              <w:t>3</w:t>
            </w:r>
            <w:r w:rsidRPr="0063677E">
              <w:t>, devidamente notarizado e, se aplicável consularizado e acompanhado de tradução juramentada, constando (i) descrição dos motivos que impedem o cumprimento do requisito previsto no Edital; (ii) solicitação de que a ANP aceite, como atendimento a tal requisito, documento(s) encaminhado(s) em lugar daquele previsto no instrumento editalício; e (iii) menção ao encaminhamento dos documentos previstos em (b) e (c), abaixo</w:t>
            </w:r>
          </w:p>
        </w:tc>
        <w:tc>
          <w:tcPr>
            <w:tcW w:w="1638" w:type="pct"/>
            <w:vAlign w:val="center"/>
          </w:tcPr>
          <w:p w:rsidR="00DD6148" w:rsidRPr="0063677E" w:rsidRDefault="00C02562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Ajuste de referência cruzada.</w:t>
            </w:r>
          </w:p>
        </w:tc>
      </w:tr>
      <w:tr w:rsidR="00DD6148" w:rsidRPr="0063677E" w:rsidTr="0088203A">
        <w:trPr>
          <w:trHeight w:val="2268"/>
        </w:trPr>
        <w:tc>
          <w:tcPr>
            <w:tcW w:w="542" w:type="pct"/>
            <w:vAlign w:val="center"/>
          </w:tcPr>
          <w:p w:rsidR="00DD6148" w:rsidRPr="0063677E" w:rsidRDefault="004B602B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lastRenderedPageBreak/>
              <w:t>Edital</w:t>
            </w:r>
          </w:p>
        </w:tc>
        <w:tc>
          <w:tcPr>
            <w:tcW w:w="537" w:type="pct"/>
            <w:vAlign w:val="center"/>
          </w:tcPr>
          <w:p w:rsidR="00DD6148" w:rsidRPr="0063677E" w:rsidRDefault="00C02562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Exclusão</w:t>
            </w:r>
          </w:p>
        </w:tc>
        <w:tc>
          <w:tcPr>
            <w:tcW w:w="537" w:type="pct"/>
            <w:vAlign w:val="center"/>
          </w:tcPr>
          <w:p w:rsidR="00DD6148" w:rsidRPr="0063677E" w:rsidRDefault="00C02562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3.3.2</w:t>
            </w:r>
          </w:p>
        </w:tc>
        <w:tc>
          <w:tcPr>
            <w:tcW w:w="1746" w:type="pct"/>
            <w:vAlign w:val="center"/>
          </w:tcPr>
          <w:p w:rsidR="00DD6148" w:rsidRPr="0063677E" w:rsidRDefault="00C02562" w:rsidP="0092572F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63677E">
              <w:t>O(s) Representante(s) Credenciado(s) será(ão) nomeado(s) exclusivamente por meio de Procuração conforme modelo constante do</w:t>
            </w:r>
            <w:r w:rsidR="0092572F" w:rsidRPr="0063677E">
              <w:t xml:space="preserve"> ANEXO V </w:t>
            </w:r>
            <w:r w:rsidRPr="0063677E">
              <w:t>deste Edital, firmada por Representante Legal da sociedade representada,</w:t>
            </w:r>
            <w:r w:rsidRPr="0063677E">
              <w:rPr>
                <w:strike/>
                <w:color w:val="FF0000"/>
              </w:rPr>
              <w:t xml:space="preserve"> ,</w:t>
            </w:r>
            <w:r w:rsidRPr="0063677E">
              <w:t xml:space="preserve"> com poderes devidamente comprovados na documentação societária apresentada.</w:t>
            </w:r>
          </w:p>
        </w:tc>
        <w:tc>
          <w:tcPr>
            <w:tcW w:w="1638" w:type="pct"/>
            <w:vAlign w:val="center"/>
          </w:tcPr>
          <w:p w:rsidR="00DD6148" w:rsidRPr="0063677E" w:rsidRDefault="00C02562" w:rsidP="00C02562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Ajuste de pontuação.</w:t>
            </w:r>
          </w:p>
        </w:tc>
      </w:tr>
      <w:tr w:rsidR="00DD6148" w:rsidRPr="0063677E" w:rsidTr="0088203A">
        <w:trPr>
          <w:trHeight w:val="2268"/>
        </w:trPr>
        <w:tc>
          <w:tcPr>
            <w:tcW w:w="542" w:type="pct"/>
            <w:vAlign w:val="center"/>
          </w:tcPr>
          <w:p w:rsidR="00DD6148" w:rsidRPr="0063677E" w:rsidRDefault="004B602B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Edital</w:t>
            </w:r>
          </w:p>
        </w:tc>
        <w:tc>
          <w:tcPr>
            <w:tcW w:w="537" w:type="pct"/>
            <w:vAlign w:val="center"/>
          </w:tcPr>
          <w:p w:rsidR="00DD6148" w:rsidRPr="0063677E" w:rsidRDefault="00C44F12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7" w:type="pct"/>
            <w:vAlign w:val="center"/>
          </w:tcPr>
          <w:p w:rsidR="00DD6148" w:rsidRPr="0063677E" w:rsidRDefault="0092572F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3.5</w:t>
            </w:r>
          </w:p>
        </w:tc>
        <w:tc>
          <w:tcPr>
            <w:tcW w:w="1746" w:type="pct"/>
            <w:vAlign w:val="center"/>
          </w:tcPr>
          <w:p w:rsidR="00DD6148" w:rsidRPr="0063677E" w:rsidRDefault="0092572F" w:rsidP="0092572F">
            <w:pPr>
              <w:pStyle w:val="Corpodetexto"/>
              <w:rPr>
                <w:rFonts w:cs="Arial"/>
              </w:rPr>
            </w:pPr>
            <w:r w:rsidRPr="0063677E">
              <w:rPr>
                <w:rFonts w:cs="Arial"/>
                <w:sz w:val="24"/>
              </w:rPr>
              <w:t xml:space="preserve">c) Formulário do ANEXO </w:t>
            </w:r>
            <w:r w:rsidRPr="0063677E">
              <w:rPr>
                <w:rFonts w:cs="Arial"/>
                <w:color w:val="FF0000"/>
                <w:sz w:val="24"/>
              </w:rPr>
              <w:t xml:space="preserve">XVIII </w:t>
            </w:r>
            <w:r w:rsidRPr="0063677E">
              <w:rPr>
                <w:rFonts w:cs="Arial"/>
                <w:strike/>
                <w:color w:val="FF0000"/>
                <w:sz w:val="24"/>
              </w:rPr>
              <w:t>XXIV</w:t>
            </w:r>
            <w:r w:rsidRPr="0063677E">
              <w:rPr>
                <w:rFonts w:cs="Arial"/>
                <w:sz w:val="24"/>
              </w:rPr>
              <w:t xml:space="preserve"> - Resumo das Demonstrações Financeiras - somente para as sociedades estrangeiras; e</w:t>
            </w:r>
          </w:p>
        </w:tc>
        <w:tc>
          <w:tcPr>
            <w:tcW w:w="1638" w:type="pct"/>
            <w:vAlign w:val="center"/>
          </w:tcPr>
          <w:p w:rsidR="00DD6148" w:rsidRPr="0063677E" w:rsidRDefault="0092572F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Ajuste de referência cruzada.</w:t>
            </w:r>
          </w:p>
        </w:tc>
      </w:tr>
      <w:tr w:rsidR="006E3142" w:rsidRPr="0063677E" w:rsidTr="0088203A">
        <w:trPr>
          <w:trHeight w:val="2268"/>
        </w:trPr>
        <w:tc>
          <w:tcPr>
            <w:tcW w:w="542" w:type="pct"/>
            <w:vAlign w:val="center"/>
          </w:tcPr>
          <w:p w:rsidR="006E3142" w:rsidRPr="0063677E" w:rsidRDefault="004B602B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Edital</w:t>
            </w:r>
          </w:p>
        </w:tc>
        <w:tc>
          <w:tcPr>
            <w:tcW w:w="537" w:type="pct"/>
            <w:vAlign w:val="center"/>
          </w:tcPr>
          <w:p w:rsidR="006E3142" w:rsidRPr="0063677E" w:rsidRDefault="00E049BA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7" w:type="pct"/>
            <w:vAlign w:val="center"/>
          </w:tcPr>
          <w:p w:rsidR="006E3142" w:rsidRPr="0063677E" w:rsidRDefault="00E049BA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3.10</w:t>
            </w:r>
          </w:p>
        </w:tc>
        <w:tc>
          <w:tcPr>
            <w:tcW w:w="1746" w:type="pct"/>
            <w:vAlign w:val="center"/>
          </w:tcPr>
          <w:p w:rsidR="006E3142" w:rsidRPr="0063677E" w:rsidRDefault="00E049BA" w:rsidP="0088203A">
            <w:pPr>
              <w:pStyle w:val="Edital-CT"/>
              <w:jc w:val="both"/>
              <w:rPr>
                <w:sz w:val="24"/>
              </w:rPr>
            </w:pPr>
            <w:r w:rsidRPr="0063677E">
              <w:rPr>
                <w:sz w:val="24"/>
              </w:rPr>
              <w:t>A sociedade empresária interessada deve enviar documento com as áreas de interesse, conforme modelo constantes do ANEXO II deste Edital, assinada por Representante Credenciado junto à ANP, os quais serão constituídos segundo o previsto no Seção 3.3.</w:t>
            </w:r>
            <w:r w:rsidR="00307DC3" w:rsidRPr="0063677E">
              <w:rPr>
                <w:color w:val="FF0000"/>
                <w:sz w:val="24"/>
              </w:rPr>
              <w:t>2</w:t>
            </w:r>
            <w:r w:rsidRPr="0063677E">
              <w:rPr>
                <w:strike/>
                <w:color w:val="FF0000"/>
                <w:sz w:val="24"/>
              </w:rPr>
              <w:t>3</w:t>
            </w:r>
            <w:r w:rsidRPr="0063677E">
              <w:rPr>
                <w:sz w:val="24"/>
              </w:rPr>
              <w:t xml:space="preserve"> deste Edital.</w:t>
            </w:r>
          </w:p>
        </w:tc>
        <w:tc>
          <w:tcPr>
            <w:tcW w:w="1638" w:type="pct"/>
            <w:vAlign w:val="center"/>
          </w:tcPr>
          <w:p w:rsidR="006E3142" w:rsidRPr="0063677E" w:rsidRDefault="00E049BA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Ajuste de referência cruzada.</w:t>
            </w:r>
          </w:p>
        </w:tc>
      </w:tr>
      <w:tr w:rsidR="00FF1A58" w:rsidRPr="0063677E" w:rsidTr="0088203A">
        <w:trPr>
          <w:trHeight w:val="2268"/>
        </w:trPr>
        <w:tc>
          <w:tcPr>
            <w:tcW w:w="542" w:type="pct"/>
            <w:vAlign w:val="center"/>
          </w:tcPr>
          <w:p w:rsidR="00FF1A58" w:rsidRPr="0063677E" w:rsidRDefault="00FF1A58" w:rsidP="00593506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Edital</w:t>
            </w:r>
          </w:p>
        </w:tc>
        <w:tc>
          <w:tcPr>
            <w:tcW w:w="537" w:type="pct"/>
            <w:vAlign w:val="center"/>
          </w:tcPr>
          <w:p w:rsidR="00FF1A58" w:rsidRPr="0063677E" w:rsidRDefault="00FF1A58" w:rsidP="00593506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Exclusão</w:t>
            </w:r>
          </w:p>
        </w:tc>
        <w:tc>
          <w:tcPr>
            <w:tcW w:w="537" w:type="pct"/>
            <w:vAlign w:val="center"/>
          </w:tcPr>
          <w:p w:rsidR="00FF1A58" w:rsidRPr="0063677E" w:rsidRDefault="00FF1A58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6.1</w:t>
            </w:r>
          </w:p>
        </w:tc>
        <w:tc>
          <w:tcPr>
            <w:tcW w:w="1746" w:type="pct"/>
            <w:vAlign w:val="center"/>
          </w:tcPr>
          <w:p w:rsidR="00FF1A58" w:rsidRPr="0063677E" w:rsidRDefault="00FF1A58" w:rsidP="00FF1A58">
            <w:pPr>
              <w:pStyle w:val="Edital-CT"/>
              <w:jc w:val="both"/>
              <w:rPr>
                <w:strike/>
                <w:color w:val="FF0000"/>
                <w:sz w:val="24"/>
                <w:szCs w:val="24"/>
              </w:rPr>
            </w:pPr>
            <w:r w:rsidRPr="0063677E">
              <w:rPr>
                <w:strike/>
                <w:color w:val="FF0000"/>
                <w:sz w:val="24"/>
                <w:szCs w:val="24"/>
              </w:rPr>
              <w:t>i) Documentos para comprovar as exigências da Lei nº 6.634/1979, quando aplicável;</w:t>
            </w:r>
          </w:p>
          <w:p w:rsidR="00FF1A58" w:rsidRPr="0063677E" w:rsidRDefault="00FF1A58" w:rsidP="00FF1A58">
            <w:pPr>
              <w:pStyle w:val="Edital-CT"/>
              <w:ind w:left="348"/>
              <w:jc w:val="both"/>
              <w:rPr>
                <w:strike/>
                <w:color w:val="FF0000"/>
                <w:sz w:val="24"/>
                <w:szCs w:val="24"/>
              </w:rPr>
            </w:pPr>
            <w:r w:rsidRPr="0063677E">
              <w:rPr>
                <w:strike/>
                <w:color w:val="FF0000"/>
                <w:sz w:val="24"/>
                <w:szCs w:val="24"/>
              </w:rPr>
              <w:t>i1)</w:t>
            </w:r>
            <w:r w:rsidRPr="0063677E">
              <w:rPr>
                <w:strike/>
                <w:color w:val="FF0000"/>
                <w:sz w:val="24"/>
                <w:szCs w:val="24"/>
              </w:rPr>
              <w:tab/>
              <w:t>ter pelo menos 51% (cinqüenta e um por cento) do seu capital pertencente a brasileiros;</w:t>
            </w:r>
          </w:p>
          <w:p w:rsidR="00FF1A58" w:rsidRPr="0063677E" w:rsidRDefault="00FF1A58" w:rsidP="00FF1A58">
            <w:pPr>
              <w:pStyle w:val="Edital-CT"/>
              <w:ind w:left="348"/>
              <w:jc w:val="both"/>
              <w:rPr>
                <w:strike/>
                <w:color w:val="FF0000"/>
                <w:sz w:val="24"/>
                <w:szCs w:val="24"/>
              </w:rPr>
            </w:pPr>
            <w:r w:rsidRPr="0063677E">
              <w:rPr>
                <w:strike/>
                <w:color w:val="FF0000"/>
                <w:sz w:val="24"/>
                <w:szCs w:val="24"/>
              </w:rPr>
              <w:t>i2)</w:t>
            </w:r>
            <w:r w:rsidRPr="0063677E">
              <w:rPr>
                <w:strike/>
                <w:color w:val="FF0000"/>
                <w:sz w:val="24"/>
                <w:szCs w:val="24"/>
              </w:rPr>
              <w:tab/>
              <w:t>ter pelo menos 2/3 (dois terços) de brasileiros no seu quadro de empregados; e</w:t>
            </w:r>
          </w:p>
          <w:p w:rsidR="00FF1A58" w:rsidRPr="0063677E" w:rsidRDefault="00FF1A58" w:rsidP="00FF1A58">
            <w:pPr>
              <w:pStyle w:val="Edital-CT"/>
              <w:ind w:left="360"/>
              <w:jc w:val="both"/>
              <w:rPr>
                <w:strike/>
                <w:color w:val="FF0000"/>
                <w:sz w:val="24"/>
                <w:szCs w:val="24"/>
              </w:rPr>
            </w:pPr>
            <w:r w:rsidRPr="0063677E">
              <w:rPr>
                <w:strike/>
                <w:color w:val="FF0000"/>
                <w:sz w:val="24"/>
                <w:szCs w:val="24"/>
              </w:rPr>
              <w:t>i3)</w:t>
            </w:r>
            <w:r w:rsidRPr="0063677E">
              <w:rPr>
                <w:strike/>
                <w:color w:val="FF0000"/>
                <w:sz w:val="24"/>
                <w:szCs w:val="24"/>
              </w:rPr>
              <w:tab/>
              <w:t>ter sua administração ou gerência atribuída à maioria de brasileiros, assegurados a esses os poderes predominantes.</w:t>
            </w:r>
          </w:p>
          <w:p w:rsidR="00AB4FAF" w:rsidRPr="0063677E" w:rsidRDefault="00AB4FAF" w:rsidP="00AB4FAF">
            <w:pPr>
              <w:pStyle w:val="Edital-CT"/>
              <w:jc w:val="both"/>
              <w:rPr>
                <w:sz w:val="24"/>
                <w:szCs w:val="22"/>
              </w:rPr>
            </w:pPr>
            <w:r w:rsidRPr="0063677E">
              <w:rPr>
                <w:strike/>
                <w:color w:val="FF0000"/>
                <w:sz w:val="24"/>
              </w:rPr>
              <w:t>j) Assentimento Prévio do Conselho de Segurança Nacional, quando aplicável.</w:t>
            </w:r>
          </w:p>
        </w:tc>
        <w:tc>
          <w:tcPr>
            <w:tcW w:w="1638" w:type="pct"/>
            <w:vAlign w:val="center"/>
          </w:tcPr>
          <w:p w:rsidR="001E66DA" w:rsidRPr="0063677E" w:rsidRDefault="001E66DA" w:rsidP="001E66DA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Exclusão integral do</w:t>
            </w:r>
            <w:r w:rsidR="00B825C5" w:rsidRPr="0063677E">
              <w:rPr>
                <w:rFonts w:cs="Arial"/>
                <w:color w:val="000000" w:themeColor="text1"/>
                <w:szCs w:val="24"/>
              </w:rPr>
              <w:t>s</w:t>
            </w:r>
            <w:r w:rsidRPr="0063677E">
              <w:rPr>
                <w:rFonts w:cs="Arial"/>
                <w:color w:val="000000" w:themeColor="text1"/>
                <w:szCs w:val="24"/>
              </w:rPr>
              <w:t xml:space="preserve"> ite</w:t>
            </w:r>
            <w:r w:rsidR="00B825C5" w:rsidRPr="0063677E">
              <w:rPr>
                <w:rFonts w:cs="Arial"/>
                <w:color w:val="000000" w:themeColor="text1"/>
                <w:szCs w:val="24"/>
              </w:rPr>
              <w:t>ns “i” e “j”</w:t>
            </w:r>
            <w:r w:rsidRPr="0063677E">
              <w:rPr>
                <w:rFonts w:cs="Arial"/>
                <w:color w:val="000000" w:themeColor="text1"/>
                <w:szCs w:val="24"/>
              </w:rPr>
              <w:t xml:space="preserve"> em razão d</w:t>
            </w:r>
            <w:r w:rsidR="00383423" w:rsidRPr="0063677E">
              <w:rPr>
                <w:rFonts w:cs="Arial"/>
                <w:color w:val="000000" w:themeColor="text1"/>
                <w:szCs w:val="24"/>
              </w:rPr>
              <w:t>a</w:t>
            </w:r>
            <w:r w:rsidRPr="0063677E">
              <w:rPr>
                <w:rFonts w:cs="Arial"/>
                <w:color w:val="000000" w:themeColor="text1"/>
                <w:szCs w:val="24"/>
              </w:rPr>
              <w:t xml:space="preserve"> não aplicabilidade da exigência à indústria do petróleo.</w:t>
            </w:r>
          </w:p>
          <w:p w:rsidR="007052A2" w:rsidRPr="0063677E" w:rsidRDefault="007052A2" w:rsidP="001E66DA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1E66DA" w:rsidRPr="0063677E" w:rsidRDefault="001E66DA" w:rsidP="001E66DA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Conforme se verifica expressamente tanto no Art. 2º, IV da Lei 6</w:t>
            </w:r>
            <w:r w:rsidR="00C91FEF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634/79 quanto no Art. 16 de seu regulamento (Dec</w:t>
            </w:r>
            <w:r w:rsidR="00C91FEF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reto </w:t>
            </w: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85</w:t>
            </w:r>
            <w:r w:rsidR="00C91FEF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064/80), a necessidade de assentimento prévio do </w:t>
            </w:r>
            <w:r w:rsidR="0080105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CNS - </w:t>
            </w: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Conselho Nacional</w:t>
            </w:r>
            <w:r w:rsidR="00B825C5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de Segurança</w:t>
            </w:r>
            <w:r w:rsidR="00B825C5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(atual </w:t>
            </w:r>
            <w:r w:rsidR="0080105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CDN - </w:t>
            </w:r>
            <w:r w:rsidR="00B825C5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Conselho </w:t>
            </w:r>
            <w:r w:rsidR="0080105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</w:t>
            </w:r>
            <w:r w:rsidR="00B825C5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Defesa</w:t>
            </w:r>
            <w:r w:rsidR="0080105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Nacional</w:t>
            </w:r>
            <w:r w:rsidR="00B825C5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)</w:t>
            </w: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se aplica apenas à execução de atividades de pesquisa, lavra, exploração e aproveitamento de recursos minerais.</w:t>
            </w:r>
          </w:p>
          <w:p w:rsidR="007052A2" w:rsidRPr="0063677E" w:rsidRDefault="007052A2" w:rsidP="00C91FEF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1E66DA" w:rsidRPr="0063677E" w:rsidRDefault="00C91FEF" w:rsidP="00C91FEF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A definição de recursos minerais utilizada pela Lei 6.634/79 em seu Art. 2º, IV, “a”, faz remissão ao Código de Mineração (Decreto-Lei 227/67), que por sua vez os define como “</w:t>
            </w:r>
            <w:r w:rsidRPr="0063677E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 xml:space="preserve">massas individualizadas de substâncias minerais ou fósseis, encontradas na superfície ou no interior da terra” </w:t>
            </w:r>
            <w:r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(Art. 3º, I).</w:t>
            </w:r>
          </w:p>
          <w:p w:rsidR="007052A2" w:rsidRPr="0063677E" w:rsidRDefault="007052A2" w:rsidP="00C91FEF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C91FEF" w:rsidRPr="0063677E" w:rsidRDefault="00C91FEF" w:rsidP="00C91FEF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Em uma interpretação </w:t>
            </w:r>
            <w:r w:rsidR="00465AA3"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gramatical</w:t>
            </w:r>
            <w:r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, verifica-se que recursos minerais em sentido estrito, como apresentado</w:t>
            </w:r>
            <w:r w:rsidR="00B825C5"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s</w:t>
            </w:r>
            <w:r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pela legislação</w:t>
            </w:r>
            <w:r w:rsidR="0080105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infraconstitucional</w:t>
            </w:r>
            <w:r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, se refere</w:t>
            </w:r>
            <w:r w:rsidR="00383423"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m</w:t>
            </w:r>
            <w:r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tão somente </w:t>
            </w:r>
            <w:r w:rsidR="00383423"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às</w:t>
            </w:r>
            <w:r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substâncias minerais (ex: minério de ferro) e fósseis (ex: carvão mineral)</w:t>
            </w:r>
            <w:r w:rsidR="00B825C5"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="00383423"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sem alcançar petróleo, gás natural e outros hidrocarbonetos fluidos.</w:t>
            </w:r>
          </w:p>
          <w:p w:rsidR="007052A2" w:rsidRPr="0063677E" w:rsidRDefault="007052A2" w:rsidP="00C91FEF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465AA3" w:rsidRPr="0063677E" w:rsidRDefault="00383423" w:rsidP="00C91FEF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Em uma interpretação </w:t>
            </w:r>
            <w:r w:rsidR="00465AA3"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histórica</w:t>
            </w:r>
            <w:r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, verifica-se que à época da edição da </w:t>
            </w: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Lei 6.634/79, estavam em vigor tanto o Código de Mineração (Decreto-Lei 227/67) quanto a Lei 2.004/53, que dispunha sobre a Política Nacional do Petróleo.</w:t>
            </w:r>
            <w:r w:rsidR="003B1833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Assim, teve o legislador ordinário oportunidade de fazer remissão à Lei 2.004/53 quando tratando do assentimento prévio do </w:t>
            </w:r>
            <w:r w:rsidR="00801058">
              <w:rPr>
                <w:rFonts w:ascii="Arial" w:hAnsi="Arial" w:cs="Arial"/>
                <w:color w:val="000000" w:themeColor="text1"/>
                <w:sz w:val="24"/>
                <w:szCs w:val="24"/>
              </w:rPr>
              <w:t>CNS</w:t>
            </w:r>
            <w:r w:rsidR="003B1833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e não o fez justamente porque queria restringir tal atuação do Conselho às atividades de pesquisa, lavra, exploração e aproveitamento de recursos minerais do Código de Mineração.</w:t>
            </w:r>
          </w:p>
          <w:p w:rsidR="007052A2" w:rsidRPr="0063677E" w:rsidRDefault="007052A2" w:rsidP="00C91FEF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465AA3" w:rsidRPr="0063677E" w:rsidRDefault="00465AA3" w:rsidP="00C91FEF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Em uma interpretação sistemática, verifi</w:t>
            </w:r>
            <w:r w:rsidR="007052A2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ca-se que a extensão do conceito de recursos minerais</w:t>
            </w:r>
            <w:r w:rsidR="0080105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em sentido estrito para abranger também</w:t>
            </w:r>
            <w:r w:rsidR="007052A2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petróleo, gás natural e outros hidrocarbonetos inviabilizaria a própria concessão das áreas pela ANP, </w:t>
            </w:r>
            <w:r w:rsidR="00B825C5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que </w:t>
            </w:r>
            <w:r w:rsidR="007052A2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teriam seus regimes de aproveitamento regulados pelo Código de Mineração e não pela Lei 9.478/97</w:t>
            </w:r>
            <w:r w:rsidR="00B825C5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(sucessora da Lei 2.004/53)</w:t>
            </w:r>
            <w:r w:rsidR="007052A2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:rsidR="00383423" w:rsidRPr="0063677E" w:rsidRDefault="00383423" w:rsidP="00C91FEF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465AA3" w:rsidRPr="0063677E" w:rsidRDefault="00465AA3" w:rsidP="00C91FEF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357D0A" w:rsidRPr="0063677E" w:rsidRDefault="00465AA3" w:rsidP="00357D0A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Em uma interpretação conforme a Constituição</w:t>
            </w:r>
            <w:r w:rsidR="00801058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verifica-se</w:t>
            </w:r>
            <w:r w:rsidR="007052A2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que</w:t>
            </w:r>
            <w:r w:rsidR="00357D0A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B825C5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uma d</w:t>
            </w:r>
            <w:r w:rsidR="007052A2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as competências </w:t>
            </w:r>
            <w:r w:rsidR="00B825C5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do Conselho </w:t>
            </w:r>
            <w:r w:rsidR="0080105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Defesa </w:t>
            </w:r>
            <w:r w:rsidR="00B825C5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Nacional (</w:t>
            </w:r>
            <w:r w:rsidR="007052A2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s</w:t>
            </w:r>
            <w:r w:rsidR="00B825C5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ucessor d</w:t>
            </w:r>
            <w:r w:rsidR="007052A2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o</w:t>
            </w:r>
            <w:r w:rsidR="00357D0A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801058">
              <w:rPr>
                <w:rFonts w:ascii="Arial" w:hAnsi="Arial" w:cs="Arial"/>
                <w:color w:val="000000" w:themeColor="text1"/>
                <w:sz w:val="24"/>
                <w:szCs w:val="24"/>
              </w:rPr>
              <w:t>CSN</w:t>
            </w:r>
            <w:r w:rsidR="00B825C5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referido na Lei 6.634/79)</w:t>
            </w:r>
            <w:r w:rsidR="007052A2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B825C5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é</w:t>
            </w:r>
            <w:r w:rsidR="00357D0A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“</w:t>
            </w:r>
            <w:r w:rsidR="00357D0A" w:rsidRPr="0063677E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>propor os critérios e condições de utilização de áreas indispensáveis à segurança do território nacional e opinar sobre seu efetivo uso, especialmente na faixa de fronteira e nas relacionadas com a preservação e a exploração dos recursos naturais de qualquer tipo</w:t>
            </w:r>
            <w:r w:rsidR="00357D0A"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” (Art. 91, §1º, III, CF).</w:t>
            </w:r>
          </w:p>
          <w:p w:rsidR="00357D0A" w:rsidRPr="0063677E" w:rsidRDefault="00357D0A" w:rsidP="00357D0A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B825C5" w:rsidRPr="0063677E" w:rsidRDefault="00357D0A" w:rsidP="000B29B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Assim, verifica-se que uma extensão na aplicabilidade de eventuais restrições à atividade de exploração e produção de petróleo, gás natural e outros hidrocarbonetos fluidos em faixa de fronteira dependeria de expressa resolução do </w:t>
            </w:r>
            <w:r w:rsidR="00801058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Conselho </w:t>
            </w:r>
            <w:r w:rsidR="0080105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de Defesa </w:t>
            </w:r>
            <w:r w:rsidR="00801058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Nacional</w:t>
            </w:r>
            <w:r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, nos termos da Lei 8.183/91.</w:t>
            </w:r>
            <w:r w:rsidR="000B29B8"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825C5" w:rsidRPr="0063677E" w:rsidRDefault="00B825C5" w:rsidP="000B29B8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C91FEF" w:rsidRPr="0063677E" w:rsidRDefault="00B825C5" w:rsidP="002471B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A manutenção dos itens “i” e “j”</w:t>
            </w:r>
            <w:r w:rsidR="002471B3"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conforme propostos no pré-edital </w:t>
            </w:r>
            <w:r w:rsidR="000B29B8"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da 12ª Rodada</w:t>
            </w:r>
            <w:r w:rsidR="002471B3"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0B29B8"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extrapola a competência regulamentar da ANP</w:t>
            </w:r>
            <w:r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e</w:t>
            </w:r>
            <w:r w:rsidR="002471B3"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poderia</w:t>
            </w:r>
            <w:r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imp</w:t>
            </w:r>
            <w:r w:rsidR="002471B3"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or</w:t>
            </w:r>
            <w:r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restrições</w:t>
            </w:r>
            <w:r w:rsidR="00801058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extemporânea</w:t>
            </w:r>
            <w:r w:rsidR="00972A23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s</w:t>
            </w:r>
            <w:r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aos licitantes</w:t>
            </w:r>
            <w:r w:rsidR="002471B3"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vencedores em violação ao princípio da estrita legalidade administrativa</w:t>
            </w:r>
            <w:r w:rsidR="000B29B8"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FF1A58" w:rsidRPr="0063677E" w:rsidTr="0088203A">
        <w:trPr>
          <w:trHeight w:val="2268"/>
        </w:trPr>
        <w:tc>
          <w:tcPr>
            <w:tcW w:w="542" w:type="pct"/>
            <w:vAlign w:val="center"/>
          </w:tcPr>
          <w:p w:rsidR="00FF1A58" w:rsidRPr="0063677E" w:rsidRDefault="00FF1A58" w:rsidP="00593506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Edital</w:t>
            </w:r>
          </w:p>
        </w:tc>
        <w:tc>
          <w:tcPr>
            <w:tcW w:w="537" w:type="pct"/>
            <w:vAlign w:val="center"/>
          </w:tcPr>
          <w:p w:rsidR="00FF1A58" w:rsidRPr="0063677E" w:rsidRDefault="00FF1A58" w:rsidP="00593506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7" w:type="pct"/>
            <w:vAlign w:val="center"/>
          </w:tcPr>
          <w:p w:rsidR="00FF1A58" w:rsidRPr="0063677E" w:rsidRDefault="00FF1A58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6.2</w:t>
            </w:r>
          </w:p>
        </w:tc>
        <w:tc>
          <w:tcPr>
            <w:tcW w:w="1746" w:type="pct"/>
            <w:vAlign w:val="center"/>
          </w:tcPr>
          <w:p w:rsidR="00FF1A58" w:rsidRPr="0063677E" w:rsidRDefault="00FF1A58" w:rsidP="0088203A">
            <w:pPr>
              <w:pStyle w:val="Edital-CT"/>
              <w:jc w:val="both"/>
              <w:rPr>
                <w:szCs w:val="22"/>
              </w:rPr>
            </w:pPr>
            <w:r w:rsidRPr="0063677E">
              <w:rPr>
                <w:sz w:val="24"/>
                <w:szCs w:val="22"/>
              </w:rPr>
              <w:t>e) Documentos para qualificação financeira e jurídica e da comprovação da regularidade fiscal e trabalhista bem como a Procuração para nomeação do Representante Credenciado, nos termos da Seção 3.3.</w:t>
            </w:r>
            <w:r w:rsidRPr="0063677E">
              <w:rPr>
                <w:color w:val="FF0000"/>
                <w:sz w:val="24"/>
              </w:rPr>
              <w:t>2</w:t>
            </w:r>
            <w:r w:rsidRPr="0063677E">
              <w:rPr>
                <w:strike/>
                <w:color w:val="FF0000"/>
                <w:sz w:val="24"/>
              </w:rPr>
              <w:t>3</w:t>
            </w:r>
            <w:r w:rsidRPr="0063677E">
              <w:rPr>
                <w:sz w:val="24"/>
                <w:szCs w:val="22"/>
              </w:rPr>
              <w:t>.</w:t>
            </w:r>
          </w:p>
        </w:tc>
        <w:tc>
          <w:tcPr>
            <w:tcW w:w="1638" w:type="pct"/>
            <w:vAlign w:val="center"/>
          </w:tcPr>
          <w:p w:rsidR="00FF1A58" w:rsidRPr="0063677E" w:rsidRDefault="00FF1A58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Ajuste de referência cruzada.</w:t>
            </w:r>
          </w:p>
        </w:tc>
      </w:tr>
      <w:tr w:rsidR="00FF1A58" w:rsidRPr="0063677E" w:rsidTr="0088203A">
        <w:trPr>
          <w:trHeight w:val="2268"/>
        </w:trPr>
        <w:tc>
          <w:tcPr>
            <w:tcW w:w="542" w:type="pct"/>
            <w:vAlign w:val="center"/>
          </w:tcPr>
          <w:p w:rsidR="00FF1A58" w:rsidRPr="0063677E" w:rsidRDefault="00024679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Contrato</w:t>
            </w:r>
          </w:p>
        </w:tc>
        <w:tc>
          <w:tcPr>
            <w:tcW w:w="537" w:type="pct"/>
            <w:vAlign w:val="center"/>
          </w:tcPr>
          <w:p w:rsidR="00FF1A58" w:rsidRPr="0063677E" w:rsidRDefault="000B7808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Inclusão</w:t>
            </w:r>
          </w:p>
        </w:tc>
        <w:tc>
          <w:tcPr>
            <w:tcW w:w="537" w:type="pct"/>
            <w:vAlign w:val="center"/>
          </w:tcPr>
          <w:p w:rsidR="00FF1A58" w:rsidRPr="0063677E" w:rsidRDefault="000B7808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13.3</w:t>
            </w:r>
          </w:p>
        </w:tc>
        <w:tc>
          <w:tcPr>
            <w:tcW w:w="1746" w:type="pct"/>
            <w:vAlign w:val="center"/>
          </w:tcPr>
          <w:p w:rsidR="00FF1A58" w:rsidRPr="0063677E" w:rsidRDefault="000B7808" w:rsidP="00700B02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FF0000"/>
              </w:rPr>
              <w:t>Jazidas de Recursos Não Convencionais não serão objeto de</w:t>
            </w:r>
            <w:r w:rsidR="00700B02" w:rsidRPr="0063677E">
              <w:rPr>
                <w:rFonts w:cs="Arial"/>
                <w:color w:val="FF0000"/>
              </w:rPr>
              <w:t xml:space="preserve"> instauração de </w:t>
            </w:r>
            <w:r w:rsidRPr="0063677E">
              <w:rPr>
                <w:rFonts w:cs="Arial"/>
                <w:color w:val="FF0000"/>
              </w:rPr>
              <w:t xml:space="preserve">Procedimento de Individualização da Produção, com exceção daquelas onde o Concessionário decida empregar perfuração horizontal direcional ou realizar estimulações por fraturamento hidráulico que possam </w:t>
            </w:r>
            <w:r w:rsidR="0063677E" w:rsidRPr="0063677E">
              <w:rPr>
                <w:rFonts w:cs="Arial"/>
                <w:color w:val="FF0000"/>
              </w:rPr>
              <w:t>ultrapassar</w:t>
            </w:r>
            <w:r w:rsidRPr="0063677E">
              <w:rPr>
                <w:rFonts w:cs="Arial"/>
                <w:color w:val="FF0000"/>
              </w:rPr>
              <w:t xml:space="preserve"> os limites da Área </w:t>
            </w:r>
            <w:r w:rsidR="00700B02" w:rsidRPr="0063677E">
              <w:rPr>
                <w:rFonts w:cs="Arial"/>
                <w:color w:val="FF0000"/>
              </w:rPr>
              <w:t>de Concessão</w:t>
            </w:r>
            <w:r w:rsidRPr="0063677E">
              <w:rPr>
                <w:rFonts w:cs="Arial"/>
                <w:color w:val="FF0000"/>
              </w:rPr>
              <w:t>.</w:t>
            </w:r>
          </w:p>
        </w:tc>
        <w:tc>
          <w:tcPr>
            <w:tcW w:w="1638" w:type="pct"/>
            <w:vAlign w:val="center"/>
          </w:tcPr>
          <w:p w:rsidR="00700B02" w:rsidRPr="0063677E" w:rsidRDefault="00700B02" w:rsidP="00700B0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677E">
              <w:rPr>
                <w:rFonts w:ascii="Arial" w:hAnsi="Arial" w:cs="Arial"/>
                <w:color w:val="000000"/>
                <w:sz w:val="24"/>
                <w:szCs w:val="24"/>
              </w:rPr>
              <w:t>O Art. 33 da Lei 12.351/2010, que passou definir os casos de individualização da produção, dispõe:</w:t>
            </w:r>
          </w:p>
          <w:p w:rsidR="00700B02" w:rsidRPr="0063677E" w:rsidRDefault="00700B02" w:rsidP="00700B0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00B02" w:rsidRPr="0063677E" w:rsidRDefault="00700B02" w:rsidP="00700B02">
            <w:pPr>
              <w:jc w:val="both"/>
              <w:rPr>
                <w:rFonts w:ascii="Arial" w:hAnsi="Arial" w:cs="Arial"/>
                <w:i/>
                <w:color w:val="000000"/>
                <w:sz w:val="24"/>
                <w:szCs w:val="24"/>
              </w:rPr>
            </w:pPr>
            <w:r w:rsidRPr="0063677E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“O procedimento de individualização da produção de petróleo, de gás natural e de outros hidrocarbonetos fluidos deverá ser instaurado quando se identificar que a </w:t>
            </w:r>
            <w:r w:rsidRPr="0063677E">
              <w:rPr>
                <w:rFonts w:ascii="Arial" w:hAnsi="Arial" w:cs="Arial"/>
                <w:i/>
                <w:color w:val="000000"/>
                <w:sz w:val="24"/>
                <w:szCs w:val="24"/>
                <w:u w:val="single"/>
              </w:rPr>
              <w:t>jazida</w:t>
            </w:r>
            <w:r w:rsidRPr="0063677E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 se estende além do bloco concedido ou contratado sob o regime de partilha de produção.”</w:t>
            </w:r>
          </w:p>
          <w:p w:rsidR="00700B02" w:rsidRPr="0063677E" w:rsidRDefault="00700B02" w:rsidP="00700B02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</w:p>
          <w:p w:rsidR="00700B02" w:rsidRPr="0063677E" w:rsidRDefault="00700B02" w:rsidP="00700B02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szCs w:val="24"/>
              </w:rPr>
              <w:t xml:space="preserve">O legislador ordinário fez uma clara escolha pelo vocábulo jazida, que é definido no </w:t>
            </w:r>
            <w:r w:rsidRPr="0063677E">
              <w:rPr>
                <w:rFonts w:cs="Arial"/>
                <w:color w:val="000000" w:themeColor="text1"/>
                <w:szCs w:val="24"/>
              </w:rPr>
              <w:t>Art. 6º da Lei 9478/97 como:</w:t>
            </w:r>
          </w:p>
          <w:p w:rsidR="00700B02" w:rsidRPr="0063677E" w:rsidRDefault="00700B02" w:rsidP="00700B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00B02" w:rsidRPr="0063677E" w:rsidRDefault="00700B02" w:rsidP="00700B02">
            <w:pPr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63677E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>XI - Jazida: reservatório ou depósito já identificado e possível de ser posto em produção;</w:t>
            </w:r>
          </w:p>
          <w:p w:rsidR="00700B02" w:rsidRPr="0063677E" w:rsidRDefault="00700B02" w:rsidP="00700B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00B02" w:rsidRPr="0063677E" w:rsidRDefault="00700B02" w:rsidP="00700B0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63677E">
              <w:rPr>
                <w:rFonts w:ascii="Arial" w:hAnsi="Arial" w:cs="Arial"/>
                <w:sz w:val="24"/>
                <w:szCs w:val="24"/>
              </w:rPr>
              <w:t xml:space="preserve">Dessa forma, não basta a simples identificação de um </w:t>
            </w:r>
            <w:r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reservatório ou depósito</w:t>
            </w:r>
            <w:r w:rsidRPr="0063677E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que são</w:t>
            </w:r>
            <w:r w:rsidRPr="0063677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3677E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configurações geológicas armazenadoras de petróleo ou gás. É preciso que o reservatório ou depósito seja passível de ser posto em produção.</w:t>
            </w:r>
          </w:p>
          <w:p w:rsidR="00700B02" w:rsidRPr="0063677E" w:rsidRDefault="00700B02" w:rsidP="00700B02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700B02" w:rsidRPr="0063677E" w:rsidRDefault="00700B02" w:rsidP="00700B02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No caso de Recursos Não Convencionais, </w:t>
            </w: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a baixa permeabilidade ou porosidade dos reservatórios ou depósitos não permite que eles sejam colocados em produção por meio dos métodos tradicionais empregados pela indústria internacional do petróleo. Dessa forma, a decisão discricionária do Concessionário em utilizar-se de perfuração horizontal direcional e estimulação por fraturamento hidráulico em poços pode possibilitar a produção de tais reservatórios ou depósitos, que passariam a ser considerados Jazidas.</w:t>
            </w:r>
          </w:p>
          <w:p w:rsidR="00700B02" w:rsidRPr="0063677E" w:rsidRDefault="00700B02" w:rsidP="00700B02">
            <w:pPr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700B02" w:rsidRPr="0063677E" w:rsidRDefault="00700B02" w:rsidP="00700B02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Assim, o reservatório ou depósito que se estenda para além dos limites da Área de Concessão só será considerado uma Jazida Compartilhada caso o Operador entenda pela conveniência e oportunidade de perfuração horizontal ou de </w:t>
            </w:r>
            <w:r w:rsidR="00B96F98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estimulação por</w:t>
            </w: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fraturamento hidráulico que atinja outra Ára </w:t>
            </w:r>
            <w:r w:rsidR="00B96F98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de Concessão</w:t>
            </w: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:rsidR="00700B02" w:rsidRPr="0063677E" w:rsidRDefault="00700B02" w:rsidP="00700B02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700B02" w:rsidRPr="0063677E" w:rsidRDefault="00700B02" w:rsidP="00700B02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O instituto da unitização (individualização da produção), tal como consagrado pela indústria, busca evitar a produção predatória que levaria a uma rápida depleção dos recursos naturais em razão da regra da captura. Como nas áreas de </w:t>
            </w:r>
            <w:r w:rsidR="00B96F98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Recursos N</w:t>
            </w: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ão</w:t>
            </w:r>
            <w:r w:rsidR="00B96F98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C</w:t>
            </w: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onvencionais não há produção comercial de hidrocarbonetos sem o emprego das técnicas acima mencionadas, não há que se falar em migração de petróleo, gás natural ou qualquer outro hidrocarboneto fluido.</w:t>
            </w:r>
          </w:p>
          <w:p w:rsidR="00700B02" w:rsidRPr="0063677E" w:rsidRDefault="00700B02" w:rsidP="00700B0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F1A58" w:rsidRPr="0063677E" w:rsidRDefault="00700B02" w:rsidP="00B96F98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szCs w:val="24"/>
              </w:rPr>
              <w:t xml:space="preserve">Caso o </w:t>
            </w:r>
            <w:r w:rsidR="00B96F98" w:rsidRPr="0063677E">
              <w:rPr>
                <w:rFonts w:cs="Arial"/>
                <w:szCs w:val="24"/>
              </w:rPr>
              <w:t>Concessionário</w:t>
            </w:r>
            <w:r w:rsidRPr="0063677E">
              <w:rPr>
                <w:rFonts w:cs="Arial"/>
                <w:szCs w:val="24"/>
              </w:rPr>
              <w:t xml:space="preserve"> entenda que a viabilidade comercial de uma f</w:t>
            </w:r>
            <w:r w:rsidR="00B96F98" w:rsidRPr="0063677E">
              <w:rPr>
                <w:rFonts w:cs="Arial"/>
                <w:szCs w:val="24"/>
              </w:rPr>
              <w:t>ormação geológica portadora de R</w:t>
            </w:r>
            <w:r w:rsidRPr="0063677E">
              <w:rPr>
                <w:rFonts w:cs="Arial"/>
                <w:szCs w:val="24"/>
              </w:rPr>
              <w:t xml:space="preserve">ecursos </w:t>
            </w:r>
            <w:r w:rsidR="00B96F98" w:rsidRPr="0063677E">
              <w:rPr>
                <w:rFonts w:cs="Arial"/>
                <w:szCs w:val="24"/>
              </w:rPr>
              <w:t>N</w:t>
            </w:r>
            <w:r w:rsidRPr="0063677E">
              <w:rPr>
                <w:rFonts w:cs="Arial"/>
                <w:szCs w:val="24"/>
              </w:rPr>
              <w:t>ão</w:t>
            </w:r>
            <w:r w:rsidR="00B96F98" w:rsidRPr="0063677E">
              <w:rPr>
                <w:rFonts w:cs="Arial"/>
                <w:szCs w:val="24"/>
              </w:rPr>
              <w:t xml:space="preserve"> C</w:t>
            </w:r>
            <w:r w:rsidRPr="0063677E">
              <w:rPr>
                <w:rFonts w:cs="Arial"/>
                <w:szCs w:val="24"/>
              </w:rPr>
              <w:t xml:space="preserve">onvencionais dependa de atividades que extravasem sua Área </w:t>
            </w:r>
            <w:r w:rsidR="00B96F98" w:rsidRPr="0063677E">
              <w:rPr>
                <w:rFonts w:cs="Arial"/>
                <w:szCs w:val="24"/>
              </w:rPr>
              <w:t>de Concessão</w:t>
            </w:r>
            <w:r w:rsidRPr="0063677E">
              <w:rPr>
                <w:rFonts w:cs="Arial"/>
                <w:szCs w:val="24"/>
              </w:rPr>
              <w:t>, poderá, a seu exclusivo critério, iniciar um Procedimento de Individualização da Produção com vistas à celebração de Acordo de Individualização da Produção ou de Compromisso de Individualização da Produção, quando for o caso.</w:t>
            </w:r>
          </w:p>
        </w:tc>
      </w:tr>
      <w:tr w:rsidR="00FF1A58" w:rsidRPr="0063677E" w:rsidTr="0088203A">
        <w:trPr>
          <w:trHeight w:val="2268"/>
        </w:trPr>
        <w:tc>
          <w:tcPr>
            <w:tcW w:w="542" w:type="pct"/>
            <w:vAlign w:val="center"/>
          </w:tcPr>
          <w:p w:rsidR="00FF1A58" w:rsidRPr="0063677E" w:rsidRDefault="00583F1C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Contrato</w:t>
            </w:r>
          </w:p>
        </w:tc>
        <w:tc>
          <w:tcPr>
            <w:tcW w:w="537" w:type="pct"/>
            <w:vAlign w:val="center"/>
          </w:tcPr>
          <w:p w:rsidR="00FF1A58" w:rsidRPr="0063677E" w:rsidRDefault="00583F1C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Inclusão</w:t>
            </w:r>
          </w:p>
        </w:tc>
        <w:tc>
          <w:tcPr>
            <w:tcW w:w="537" w:type="pct"/>
            <w:vAlign w:val="center"/>
          </w:tcPr>
          <w:p w:rsidR="00FF1A58" w:rsidRPr="0063677E" w:rsidRDefault="00583F1C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000000" w:themeColor="text1"/>
                <w:szCs w:val="24"/>
              </w:rPr>
              <w:t>13.4</w:t>
            </w:r>
          </w:p>
        </w:tc>
        <w:tc>
          <w:tcPr>
            <w:tcW w:w="1746" w:type="pct"/>
            <w:vAlign w:val="center"/>
          </w:tcPr>
          <w:p w:rsidR="00583F1C" w:rsidRPr="0063677E" w:rsidRDefault="00583F1C" w:rsidP="00583F1C">
            <w:pPr>
              <w:pStyle w:val="Legenda"/>
              <w:jc w:val="both"/>
              <w:rPr>
                <w:rFonts w:cs="Arial"/>
                <w:color w:val="FF0000"/>
              </w:rPr>
            </w:pPr>
            <w:r w:rsidRPr="0063677E">
              <w:rPr>
                <w:rFonts w:cs="Arial"/>
                <w:color w:val="FF0000"/>
              </w:rPr>
              <w:t>Jazidas de Recursos Não Convencionais que não forem objeto de Procedimento de Individualização da Produção terão zonas de segurança, propostas pelo Concessionário conforme as Melhores Práticas da Indústria do Petróleo e</w:t>
            </w:r>
            <w:r w:rsidR="0063677E" w:rsidRPr="0063677E">
              <w:rPr>
                <w:rFonts w:cs="Arial"/>
                <w:color w:val="FF0000"/>
              </w:rPr>
              <w:t xml:space="preserve"> </w:t>
            </w:r>
            <w:r w:rsidRPr="0063677E">
              <w:rPr>
                <w:rFonts w:cs="Arial"/>
                <w:color w:val="FF0000"/>
              </w:rPr>
              <w:t>aprovada</w:t>
            </w:r>
            <w:r w:rsidR="0063677E" w:rsidRPr="0063677E">
              <w:rPr>
                <w:rFonts w:cs="Arial"/>
                <w:color w:val="FF0000"/>
              </w:rPr>
              <w:t>s</w:t>
            </w:r>
            <w:r w:rsidRPr="0063677E">
              <w:rPr>
                <w:rFonts w:cs="Arial"/>
                <w:color w:val="FF0000"/>
              </w:rPr>
              <w:t xml:space="preserve"> pela ANP no Plano de Exploração e Avaliação de Recursos Não Convencionais.</w:t>
            </w:r>
          </w:p>
          <w:p w:rsidR="00FF1A58" w:rsidRPr="0063677E" w:rsidRDefault="00583F1C" w:rsidP="007B3D23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63677E">
              <w:rPr>
                <w:rFonts w:cs="Arial"/>
                <w:color w:val="FF0000"/>
              </w:rPr>
              <w:t xml:space="preserve">As zonas de </w:t>
            </w:r>
            <w:r w:rsidR="0063677E" w:rsidRPr="0063677E">
              <w:rPr>
                <w:rFonts w:cs="Arial"/>
                <w:color w:val="FF0000"/>
              </w:rPr>
              <w:t>segurança</w:t>
            </w:r>
            <w:r w:rsidRPr="0063677E">
              <w:rPr>
                <w:rFonts w:cs="Arial"/>
                <w:color w:val="FF0000"/>
              </w:rPr>
              <w:t xml:space="preserve"> </w:t>
            </w:r>
            <w:r w:rsidR="0063677E" w:rsidRPr="0063677E">
              <w:rPr>
                <w:rFonts w:cs="Arial"/>
                <w:color w:val="FF0000"/>
              </w:rPr>
              <w:t>estabele</w:t>
            </w:r>
            <w:r w:rsidR="0063677E">
              <w:rPr>
                <w:rFonts w:cs="Arial"/>
                <w:color w:val="FF0000"/>
              </w:rPr>
              <w:t>cer</w:t>
            </w:r>
            <w:r w:rsidR="0063677E" w:rsidRPr="0063677E">
              <w:rPr>
                <w:rFonts w:cs="Arial"/>
                <w:color w:val="FF0000"/>
              </w:rPr>
              <w:t>ão</w:t>
            </w:r>
            <w:r w:rsidRPr="0063677E">
              <w:rPr>
                <w:rFonts w:cs="Arial"/>
                <w:color w:val="FF0000"/>
              </w:rPr>
              <w:t xml:space="preserve"> o</w:t>
            </w:r>
            <w:r w:rsidR="0063677E" w:rsidRPr="0063677E">
              <w:rPr>
                <w:rFonts w:cs="Arial"/>
                <w:color w:val="FF0000"/>
              </w:rPr>
              <w:t>s limites</w:t>
            </w:r>
            <w:r w:rsidR="0063677E">
              <w:rPr>
                <w:rFonts w:cs="Arial"/>
                <w:color w:val="FF0000"/>
              </w:rPr>
              <w:t xml:space="preserve"> da perfuração horizontal direcional e </w:t>
            </w:r>
            <w:r w:rsidR="0063677E" w:rsidRPr="0063677E">
              <w:rPr>
                <w:rFonts w:cs="Arial"/>
                <w:color w:val="FF0000"/>
              </w:rPr>
              <w:t>o perímetro da</w:t>
            </w:r>
            <w:r w:rsidRPr="0063677E">
              <w:rPr>
                <w:rFonts w:cs="Arial"/>
                <w:color w:val="FF0000"/>
              </w:rPr>
              <w:t xml:space="preserve"> Área de Concessão</w:t>
            </w:r>
            <w:r w:rsidR="0063677E">
              <w:rPr>
                <w:rFonts w:cs="Arial"/>
                <w:color w:val="FF0000"/>
              </w:rPr>
              <w:t xml:space="preserve"> onde serão</w:t>
            </w:r>
            <w:r w:rsidRPr="0063677E">
              <w:rPr>
                <w:rFonts w:cs="Arial"/>
                <w:color w:val="FF0000"/>
              </w:rPr>
              <w:t xml:space="preserve"> realizadas estimulações por fraturamento hidráulico que possam induzir a migração de petróleo, gás ou outros hidrocarbonetos </w:t>
            </w:r>
            <w:r w:rsidR="0063677E" w:rsidRPr="0063677E">
              <w:rPr>
                <w:rFonts w:cs="Arial"/>
                <w:color w:val="FF0000"/>
              </w:rPr>
              <w:t>fluidos</w:t>
            </w:r>
            <w:r w:rsidR="007B3D23">
              <w:rPr>
                <w:rFonts w:cs="Arial"/>
                <w:color w:val="FF0000"/>
              </w:rPr>
              <w:t xml:space="preserve">, de forma a evitar o traspassamento das fraturas para </w:t>
            </w:r>
            <w:r w:rsidRPr="0063677E">
              <w:rPr>
                <w:rFonts w:cs="Arial"/>
                <w:color w:val="FF0000"/>
              </w:rPr>
              <w:t xml:space="preserve">diferentes Áreas </w:t>
            </w:r>
            <w:r w:rsidR="0063677E" w:rsidRPr="0063677E">
              <w:rPr>
                <w:rFonts w:cs="Arial"/>
                <w:color w:val="FF0000"/>
              </w:rPr>
              <w:t>de Concessão</w:t>
            </w:r>
            <w:r w:rsidRPr="0063677E">
              <w:rPr>
                <w:rFonts w:cs="Arial"/>
                <w:color w:val="FF0000"/>
              </w:rPr>
              <w:t>.</w:t>
            </w:r>
          </w:p>
        </w:tc>
        <w:tc>
          <w:tcPr>
            <w:tcW w:w="1638" w:type="pct"/>
            <w:vAlign w:val="center"/>
          </w:tcPr>
          <w:p w:rsidR="00583F1C" w:rsidRPr="0063677E" w:rsidRDefault="00583F1C" w:rsidP="0063677E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As característic</w:t>
            </w:r>
            <w:r w:rsid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as intrínsecas dos Recursos Não </w:t>
            </w: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Convencionais </w:t>
            </w:r>
            <w:r w:rsid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os </w:t>
            </w: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tornam</w:t>
            </w:r>
            <w:r w:rsid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estanques em seus reservatórios ou depósitos, como </w:t>
            </w:r>
            <w:r w:rsidR="0045033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no caso do xisto </w:t>
            </w: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betuminoso e </w:t>
            </w:r>
            <w:r w:rsidR="0045033E">
              <w:rPr>
                <w:rFonts w:ascii="Arial" w:hAnsi="Arial" w:cs="Arial"/>
                <w:color w:val="000000" w:themeColor="text1"/>
                <w:sz w:val="24"/>
                <w:szCs w:val="24"/>
              </w:rPr>
              <w:t>d</w:t>
            </w: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a</w:t>
            </w:r>
            <w:r w:rsidR="0045033E">
              <w:rPr>
                <w:rFonts w:ascii="Arial" w:hAnsi="Arial" w:cs="Arial"/>
                <w:color w:val="000000" w:themeColor="text1"/>
                <w:sz w:val="24"/>
                <w:szCs w:val="24"/>
              </w:rPr>
              <w:t>s</w:t>
            </w: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areia betuminosa</w:t>
            </w:r>
            <w:r w:rsidR="0045033E">
              <w:rPr>
                <w:rFonts w:ascii="Arial" w:hAnsi="Arial" w:cs="Arial"/>
                <w:color w:val="000000" w:themeColor="text1"/>
                <w:sz w:val="24"/>
                <w:szCs w:val="24"/>
              </w:rPr>
              <w:t>s</w:t>
            </w: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. Outros Recursos Não</w:t>
            </w:r>
            <w:r w:rsidR="0045033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Convencionais</w:t>
            </w:r>
            <w:r w:rsidR="0045033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tais como os folhelhos </w:t>
            </w: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ól</w:t>
            </w:r>
            <w:r w:rsidR="0045033E">
              <w:rPr>
                <w:rFonts w:ascii="Arial" w:hAnsi="Arial" w:cs="Arial"/>
                <w:color w:val="000000" w:themeColor="text1"/>
                <w:sz w:val="24"/>
                <w:szCs w:val="24"/>
              </w:rPr>
              <w:t>eíferos e ga</w:t>
            </w: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s</w:t>
            </w:r>
            <w:r w:rsidR="0045033E">
              <w:rPr>
                <w:rFonts w:ascii="Arial" w:hAnsi="Arial" w:cs="Arial"/>
                <w:color w:val="000000" w:themeColor="text1"/>
                <w:sz w:val="24"/>
                <w:szCs w:val="24"/>
              </w:rPr>
              <w:t>eíferos</w:t>
            </w: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, não se sujeitam a  migrações fora da zona de influência da estimulação por fraturamento hidráulico e estão circunscritas a um perímetro próximo ao poço produtor.</w:t>
            </w:r>
          </w:p>
          <w:p w:rsidR="00583F1C" w:rsidRPr="0063677E" w:rsidRDefault="00583F1C" w:rsidP="0063677E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583F1C" w:rsidRPr="0063677E" w:rsidRDefault="00583F1C" w:rsidP="0063677E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Nada justificaria a unitização compulsória de uma área estanque onde o </w:t>
            </w:r>
            <w:r w:rsidR="0045033E">
              <w:rPr>
                <w:rFonts w:ascii="Arial" w:hAnsi="Arial" w:cs="Arial"/>
                <w:color w:val="000000" w:themeColor="text1"/>
                <w:sz w:val="24"/>
                <w:szCs w:val="24"/>
              </w:rPr>
              <w:t>Concessionário</w:t>
            </w: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não tenha interesse comercial em e</w:t>
            </w:r>
            <w:r w:rsidR="0045033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xplorar e explotar Recursos Não </w:t>
            </w: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Convencionais para além dos limites de sua Área </w:t>
            </w:r>
            <w:r w:rsidR="0045033E">
              <w:rPr>
                <w:rFonts w:ascii="Arial" w:hAnsi="Arial" w:cs="Arial"/>
                <w:color w:val="000000" w:themeColor="text1"/>
                <w:sz w:val="24"/>
                <w:szCs w:val="24"/>
              </w:rPr>
              <w:t>de Concessão</w:t>
            </w: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. Dessa forma, não haveria risco de produção predatória em razão da regra da captura justamente pelo fato de não haver migração de hidrocarbonetos fora da área de influência d</w:t>
            </w:r>
            <w:r w:rsidR="0045033E">
              <w:rPr>
                <w:rFonts w:ascii="Arial" w:hAnsi="Arial" w:cs="Arial"/>
                <w:color w:val="000000" w:themeColor="text1"/>
                <w:sz w:val="24"/>
                <w:szCs w:val="24"/>
              </w:rPr>
              <w:t>a</w:t>
            </w: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Jazida fraturada.</w:t>
            </w:r>
          </w:p>
          <w:p w:rsidR="00583F1C" w:rsidRPr="0063677E" w:rsidRDefault="00583F1C" w:rsidP="0063677E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FF1A58" w:rsidRPr="0045033E" w:rsidRDefault="00583F1C" w:rsidP="0045033E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O notório custo e complexidade de um Procedimento de Individualização da Produção poderia, nesses casos, inviabilizar a própria comercialidade da Jazida. A produção de Recursos Não</w:t>
            </w:r>
            <w:r w:rsidR="0045033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Convencionais no atual estágio de desenvolvimento tecnológico da indústria requer, inclusive, </w:t>
            </w:r>
            <w:r w:rsidR="0045033E"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incentivo governamental para</w:t>
            </w: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se sustentar</w:t>
            </w:r>
            <w:r w:rsidR="0045033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e demanda tratamento diferenciado em razão de suas características intrínsecas</w:t>
            </w:r>
            <w:r w:rsidRPr="0063677E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764EB1" w:rsidRPr="0063677E" w:rsidRDefault="00764EB1" w:rsidP="004D421E">
      <w:pPr>
        <w:pStyle w:val="Legenda"/>
        <w:spacing w:line="360" w:lineRule="auto"/>
        <w:jc w:val="both"/>
        <w:rPr>
          <w:rFonts w:cs="Arial"/>
          <w:szCs w:val="24"/>
          <w:u w:val="single"/>
        </w:rPr>
      </w:pPr>
    </w:p>
    <w:sectPr w:rsidR="00764EB1" w:rsidRPr="0063677E" w:rsidSect="00FB378C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1077" w:right="1440" w:bottom="992" w:left="1440" w:header="51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C8F" w:rsidRDefault="00B25C8F" w:rsidP="00842086">
      <w:r>
        <w:separator/>
      </w:r>
    </w:p>
  </w:endnote>
  <w:endnote w:type="continuationSeparator" w:id="0">
    <w:p w:rsidR="00B25C8F" w:rsidRDefault="00B25C8F" w:rsidP="008420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925" w:rsidRPr="0045033E" w:rsidRDefault="0006717B">
    <w:pPr>
      <w:pStyle w:val="Rodap"/>
      <w:jc w:val="right"/>
      <w:rPr>
        <w:rFonts w:ascii="Arial" w:hAnsi="Arial" w:cs="Arial"/>
      </w:rPr>
    </w:pPr>
    <w:r w:rsidRPr="0045033E">
      <w:rPr>
        <w:rFonts w:ascii="Arial" w:hAnsi="Arial" w:cs="Arial"/>
      </w:rPr>
      <w:fldChar w:fldCharType="begin"/>
    </w:r>
    <w:r w:rsidR="00F072E2" w:rsidRPr="0045033E">
      <w:rPr>
        <w:rFonts w:ascii="Arial" w:hAnsi="Arial" w:cs="Arial"/>
      </w:rPr>
      <w:instrText xml:space="preserve"> PAGE   \* MERGEFORMAT </w:instrText>
    </w:r>
    <w:r w:rsidRPr="0045033E">
      <w:rPr>
        <w:rFonts w:ascii="Arial" w:hAnsi="Arial" w:cs="Arial"/>
      </w:rPr>
      <w:fldChar w:fldCharType="separate"/>
    </w:r>
    <w:r w:rsidR="007B3D23">
      <w:rPr>
        <w:rFonts w:ascii="Arial" w:hAnsi="Arial" w:cs="Arial"/>
        <w:noProof/>
      </w:rPr>
      <w:t>10</w:t>
    </w:r>
    <w:r w:rsidRPr="0045033E">
      <w:rPr>
        <w:rFonts w:ascii="Arial" w:hAnsi="Arial" w:cs="Arial"/>
      </w:rPr>
      <w:fldChar w:fldCharType="end"/>
    </w:r>
  </w:p>
  <w:p w:rsidR="005C4925" w:rsidRDefault="005C4925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925" w:rsidRDefault="0006717B">
    <w:pPr>
      <w:pStyle w:val="Rodap"/>
      <w:jc w:val="right"/>
    </w:pPr>
    <w:fldSimple w:instr=" PAGE   \* MERGEFORMAT ">
      <w:r w:rsidR="007B3D23">
        <w:rPr>
          <w:noProof/>
        </w:rPr>
        <w:t>1</w:t>
      </w:r>
    </w:fldSimple>
  </w:p>
  <w:p w:rsidR="005C4925" w:rsidRDefault="005C4925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C8F" w:rsidRDefault="00B25C8F" w:rsidP="00842086">
      <w:r>
        <w:separator/>
      </w:r>
    </w:p>
  </w:footnote>
  <w:footnote w:type="continuationSeparator" w:id="0">
    <w:p w:rsidR="00B25C8F" w:rsidRDefault="00B25C8F" w:rsidP="008420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925" w:rsidRDefault="005C4925" w:rsidP="00842086">
    <w:pPr>
      <w:pStyle w:val="Cabealho"/>
      <w:tabs>
        <w:tab w:val="clear" w:pos="8504"/>
        <w:tab w:val="right" w:pos="9923"/>
      </w:tabs>
      <w:ind w:left="-142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39" w:type="pct"/>
      <w:tblBorders>
        <w:top w:val="single" w:sz="4" w:space="0" w:color="808080" w:themeColor="background1" w:themeShade="80"/>
        <w:bottom w:val="single" w:sz="4" w:space="0" w:color="808080" w:themeColor="background1" w:themeShade="80"/>
      </w:tblBorders>
      <w:tblLayout w:type="fixed"/>
      <w:tblLook w:val="04A0"/>
    </w:tblPr>
    <w:tblGrid>
      <w:gridCol w:w="3221"/>
      <w:gridCol w:w="4967"/>
      <w:gridCol w:w="6099"/>
    </w:tblGrid>
    <w:tr w:rsidR="005C4925" w:rsidRPr="00B27481" w:rsidTr="00B27481">
      <w:tc>
        <w:tcPr>
          <w:tcW w:w="1127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5C4925" w:rsidRDefault="00024679" w:rsidP="00B27481">
          <w:pPr>
            <w:pStyle w:val="Cabealho"/>
            <w:spacing w:before="240" w:after="240"/>
            <w:jc w:val="center"/>
          </w:pPr>
          <w:r>
            <w:rPr>
              <w:noProof/>
            </w:rPr>
            <w:drawing>
              <wp:inline distT="0" distB="0" distL="0" distR="0">
                <wp:extent cx="1856105" cy="1003300"/>
                <wp:effectExtent l="19050" t="0" r="0" b="0"/>
                <wp:docPr id="3" name="Imagem 1" descr="logo ANP 15 anos centralizada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logo ANP 15 anos centralizada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56105" cy="1003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38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5C4925" w:rsidRPr="0036380F" w:rsidRDefault="00024679" w:rsidP="00B27481">
          <w:pPr>
            <w:pStyle w:val="Cabealho"/>
            <w:spacing w:before="240" w:after="240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3050540" cy="887095"/>
                <wp:effectExtent l="19050" t="0" r="0" b="0"/>
                <wp:docPr id="4" name="Imagem 5" descr="logomarca_12a_Rodada_horizonta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5" descr="logomarca_12a_Rodada_horizonta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50540" cy="8870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34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5C4925" w:rsidRPr="00B27481" w:rsidRDefault="00B27481" w:rsidP="00B27481">
          <w:pPr>
            <w:pStyle w:val="Cabealho"/>
            <w:spacing w:before="240" w:after="240"/>
            <w:jc w:val="right"/>
            <w:rPr>
              <w:rFonts w:ascii="Arial" w:hAnsi="Arial" w:cs="Arial"/>
              <w:b/>
              <w:sz w:val="28"/>
              <w:szCs w:val="28"/>
            </w:rPr>
          </w:pPr>
          <w:r w:rsidRPr="00B27481">
            <w:rPr>
              <w:rFonts w:ascii="Arial" w:hAnsi="Arial" w:cs="Arial"/>
              <w:b/>
              <w:sz w:val="28"/>
              <w:szCs w:val="28"/>
            </w:rPr>
            <w:t>CONSULTA PÚBLICA Nº 25/2013</w:t>
          </w:r>
        </w:p>
        <w:p w:rsidR="005C4925" w:rsidRPr="00B27481" w:rsidRDefault="005C4925" w:rsidP="00B27481">
          <w:pPr>
            <w:pStyle w:val="Cabealho"/>
            <w:spacing w:before="240" w:after="240"/>
            <w:jc w:val="right"/>
            <w:rPr>
              <w:rFonts w:ascii="Arial" w:hAnsi="Arial" w:cs="Arial"/>
              <w:sz w:val="28"/>
              <w:szCs w:val="28"/>
            </w:rPr>
          </w:pPr>
          <w:r w:rsidRPr="00B27481">
            <w:rPr>
              <w:rFonts w:ascii="Arial" w:hAnsi="Arial" w:cs="Arial"/>
              <w:sz w:val="28"/>
              <w:szCs w:val="28"/>
            </w:rPr>
            <w:t>Formulário de comentários e sugestões</w:t>
          </w:r>
        </w:p>
      </w:tc>
    </w:tr>
  </w:tbl>
  <w:p w:rsidR="005C4925" w:rsidRPr="0036380F" w:rsidRDefault="005C4925" w:rsidP="006E3142">
    <w:pPr>
      <w:pStyle w:val="Cabealho"/>
    </w:pPr>
  </w:p>
  <w:p w:rsidR="005C4925" w:rsidRDefault="005C492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C1A40"/>
    <w:multiLevelType w:val="hybridMultilevel"/>
    <w:tmpl w:val="F0A0DC9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DB5D9F"/>
    <w:multiLevelType w:val="hybridMultilevel"/>
    <w:tmpl w:val="E79A95C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89563D"/>
    <w:multiLevelType w:val="hybridMultilevel"/>
    <w:tmpl w:val="3B5A497A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E986A17"/>
    <w:multiLevelType w:val="hybridMultilevel"/>
    <w:tmpl w:val="78D4FC1A"/>
    <w:lvl w:ilvl="0" w:tplc="04160017">
      <w:start w:val="1"/>
      <w:numFmt w:val="lowerLetter"/>
      <w:lvlText w:val="%1)"/>
      <w:lvlJc w:val="left"/>
      <w:pPr>
        <w:ind w:left="19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44429A"/>
    <w:multiLevelType w:val="hybridMultilevel"/>
    <w:tmpl w:val="867A956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2086"/>
    <w:rsid w:val="00024679"/>
    <w:rsid w:val="0006717B"/>
    <w:rsid w:val="000B29B8"/>
    <w:rsid w:val="000B7808"/>
    <w:rsid w:val="000C0894"/>
    <w:rsid w:val="000C7F3F"/>
    <w:rsid w:val="000E6393"/>
    <w:rsid w:val="00103946"/>
    <w:rsid w:val="00193747"/>
    <w:rsid w:val="001965B6"/>
    <w:rsid w:val="001E66DA"/>
    <w:rsid w:val="002158EA"/>
    <w:rsid w:val="0022423B"/>
    <w:rsid w:val="0023210F"/>
    <w:rsid w:val="002471B3"/>
    <w:rsid w:val="00256685"/>
    <w:rsid w:val="00264138"/>
    <w:rsid w:val="00307DC3"/>
    <w:rsid w:val="00314BDB"/>
    <w:rsid w:val="00327F69"/>
    <w:rsid w:val="00355BE2"/>
    <w:rsid w:val="00357D0A"/>
    <w:rsid w:val="0036380F"/>
    <w:rsid w:val="00383423"/>
    <w:rsid w:val="003B1833"/>
    <w:rsid w:val="003B7B4E"/>
    <w:rsid w:val="0040140A"/>
    <w:rsid w:val="00412AA7"/>
    <w:rsid w:val="0045033E"/>
    <w:rsid w:val="00465AA3"/>
    <w:rsid w:val="00471ADB"/>
    <w:rsid w:val="004A005A"/>
    <w:rsid w:val="004B602B"/>
    <w:rsid w:val="004C0021"/>
    <w:rsid w:val="004D421E"/>
    <w:rsid w:val="005600AD"/>
    <w:rsid w:val="0056683F"/>
    <w:rsid w:val="00583F1C"/>
    <w:rsid w:val="005B3CEF"/>
    <w:rsid w:val="005B7D75"/>
    <w:rsid w:val="005C4925"/>
    <w:rsid w:val="005C5B4E"/>
    <w:rsid w:val="005D7856"/>
    <w:rsid w:val="00605710"/>
    <w:rsid w:val="00615A71"/>
    <w:rsid w:val="0062557C"/>
    <w:rsid w:val="0063677E"/>
    <w:rsid w:val="00675939"/>
    <w:rsid w:val="006E3142"/>
    <w:rsid w:val="006E7756"/>
    <w:rsid w:val="006F3664"/>
    <w:rsid w:val="00700B02"/>
    <w:rsid w:val="007052A2"/>
    <w:rsid w:val="007178AA"/>
    <w:rsid w:val="00764EB1"/>
    <w:rsid w:val="007662D7"/>
    <w:rsid w:val="007B3D23"/>
    <w:rsid w:val="007E2560"/>
    <w:rsid w:val="007F7936"/>
    <w:rsid w:val="00801058"/>
    <w:rsid w:val="0083277E"/>
    <w:rsid w:val="00842086"/>
    <w:rsid w:val="008500E0"/>
    <w:rsid w:val="00854EE5"/>
    <w:rsid w:val="008675C5"/>
    <w:rsid w:val="0088203A"/>
    <w:rsid w:val="008A590E"/>
    <w:rsid w:val="008E7D7F"/>
    <w:rsid w:val="00913328"/>
    <w:rsid w:val="0092572F"/>
    <w:rsid w:val="0092578B"/>
    <w:rsid w:val="009271A8"/>
    <w:rsid w:val="00930610"/>
    <w:rsid w:val="00932C2C"/>
    <w:rsid w:val="00972A23"/>
    <w:rsid w:val="0099566E"/>
    <w:rsid w:val="00A621DA"/>
    <w:rsid w:val="00A91CC2"/>
    <w:rsid w:val="00AB4FAF"/>
    <w:rsid w:val="00AC3176"/>
    <w:rsid w:val="00AC75F7"/>
    <w:rsid w:val="00AC7BE3"/>
    <w:rsid w:val="00AE02B1"/>
    <w:rsid w:val="00B13EFD"/>
    <w:rsid w:val="00B25C8F"/>
    <w:rsid w:val="00B27481"/>
    <w:rsid w:val="00B43186"/>
    <w:rsid w:val="00B825C5"/>
    <w:rsid w:val="00B96F98"/>
    <w:rsid w:val="00BA4C9C"/>
    <w:rsid w:val="00BC1BBC"/>
    <w:rsid w:val="00BE0221"/>
    <w:rsid w:val="00BE6FBB"/>
    <w:rsid w:val="00C02562"/>
    <w:rsid w:val="00C102D5"/>
    <w:rsid w:val="00C44A37"/>
    <w:rsid w:val="00C44F12"/>
    <w:rsid w:val="00C57F32"/>
    <w:rsid w:val="00C85228"/>
    <w:rsid w:val="00C855A3"/>
    <w:rsid w:val="00C91FEF"/>
    <w:rsid w:val="00CA289A"/>
    <w:rsid w:val="00CC2EFB"/>
    <w:rsid w:val="00CF02E6"/>
    <w:rsid w:val="00CF2944"/>
    <w:rsid w:val="00DD6148"/>
    <w:rsid w:val="00E049BA"/>
    <w:rsid w:val="00E548B4"/>
    <w:rsid w:val="00E91A45"/>
    <w:rsid w:val="00EA1DC4"/>
    <w:rsid w:val="00ED28BC"/>
    <w:rsid w:val="00EF4AFC"/>
    <w:rsid w:val="00F072E2"/>
    <w:rsid w:val="00F503A5"/>
    <w:rsid w:val="00F63177"/>
    <w:rsid w:val="00F637D7"/>
    <w:rsid w:val="00FB378C"/>
    <w:rsid w:val="00FF1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ade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locked/>
    <w:rsid w:val="00842086"/>
    <w:rPr>
      <w:rFonts w:eastAsia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A91CC2"/>
    <w:rPr>
      <w:rFonts w:cs="Times New Roman"/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0140A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0140A"/>
    <w:rPr>
      <w:rFonts w:cs="Times New Roman"/>
      <w:vertAlign w:val="superscript"/>
    </w:rPr>
  </w:style>
  <w:style w:type="paragraph" w:styleId="PargrafodaLista">
    <w:name w:val="List Paragraph"/>
    <w:basedOn w:val="Normal"/>
    <w:uiPriority w:val="34"/>
    <w:qFormat/>
    <w:rsid w:val="0036380F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932C2C"/>
    <w:rPr>
      <w:rFonts w:cs="Times New Roman"/>
      <w:color w:val="0000FF" w:themeColor="hyperlink"/>
      <w:u w:val="single"/>
    </w:rPr>
  </w:style>
  <w:style w:type="paragraph" w:customStyle="1" w:styleId="Edital-CT">
    <w:name w:val="Edital - CT"/>
    <w:link w:val="Edital-CTChar"/>
    <w:qFormat/>
    <w:rsid w:val="004B602B"/>
    <w:pPr>
      <w:spacing w:before="240" w:after="120" w:line="288" w:lineRule="auto"/>
    </w:pPr>
    <w:rPr>
      <w:rFonts w:ascii="Arial" w:hAnsi="Arial" w:cs="Arial"/>
      <w:sz w:val="22"/>
      <w:szCs w:val="20"/>
      <w:lang w:eastAsia="pt-BR"/>
    </w:rPr>
  </w:style>
  <w:style w:type="character" w:customStyle="1" w:styleId="Edital-CTChar">
    <w:name w:val="Edital - CT Char"/>
    <w:basedOn w:val="Fontepargpadro"/>
    <w:link w:val="Edital-CT"/>
    <w:rsid w:val="004B602B"/>
    <w:rPr>
      <w:rFonts w:ascii="Arial" w:hAnsi="Arial" w:cs="Arial"/>
      <w:sz w:val="22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92572F"/>
    <w:pPr>
      <w:spacing w:line="288" w:lineRule="auto"/>
      <w:jc w:val="both"/>
    </w:pPr>
    <w:rPr>
      <w:rFonts w:ascii="Arial" w:hAnsi="Arial"/>
      <w:sz w:val="22"/>
    </w:rPr>
  </w:style>
  <w:style w:type="character" w:customStyle="1" w:styleId="CorpodetextoChar">
    <w:name w:val="Corpo de texto Char"/>
    <w:basedOn w:val="Fontepargpadro"/>
    <w:link w:val="Corpodetexto"/>
    <w:semiHidden/>
    <w:rsid w:val="0092572F"/>
    <w:rPr>
      <w:rFonts w:ascii="Arial" w:hAnsi="Arial"/>
      <w:sz w:val="22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385A7A-39C2-492A-8BCA-BCBCCD65F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1546</Words>
  <Characters>9102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10627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Peçanha</dc:creator>
  <cp:keywords/>
  <dc:description/>
  <cp:lastModifiedBy>rmarcussi</cp:lastModifiedBy>
  <cp:revision>2</cp:revision>
  <cp:lastPrinted>2013-01-24T15:49:00Z</cp:lastPrinted>
  <dcterms:created xsi:type="dcterms:W3CDTF">2013-09-11T15:33:00Z</dcterms:created>
  <dcterms:modified xsi:type="dcterms:W3CDTF">2013-09-11T15:33:00Z</dcterms:modified>
</cp:coreProperties>
</file>