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8A590E" w:rsidRPr="000C0894">
        <w:rPr>
          <w:rFonts w:ascii="Arial" w:hAnsi="Arial" w:cs="Arial"/>
          <w:sz w:val="24"/>
          <w:szCs w:val="24"/>
          <w:u w:val="single"/>
        </w:rPr>
        <w:t>Pré-e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8A590E" w:rsidRPr="000C0894">
        <w:rPr>
          <w:rFonts w:ascii="Arial" w:hAnsi="Arial" w:cs="Arial"/>
          <w:sz w:val="24"/>
          <w:szCs w:val="24"/>
          <w:u w:val="single"/>
        </w:rPr>
        <w:t>Minuta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>o item do Pré-edital, ou a cláusula da Minuta do contrato, ou, ainda, o Anexo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Anexo,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Anexo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</w:t>
      </w:r>
      <w:proofErr w:type="gramStart"/>
      <w:r w:rsidRPr="000C0894">
        <w:rPr>
          <w:rFonts w:ascii="Arial" w:hAnsi="Arial" w:cs="Arial"/>
          <w:sz w:val="24"/>
          <w:szCs w:val="24"/>
        </w:rPr>
        <w:t xml:space="preserve">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proofErr w:type="gramEnd"/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/>
      </w:tblPr>
      <w:tblGrid>
        <w:gridCol w:w="1536"/>
        <w:gridCol w:w="1522"/>
        <w:gridCol w:w="1522"/>
        <w:gridCol w:w="4951"/>
        <w:gridCol w:w="4645"/>
      </w:tblGrid>
      <w:tr w:rsidR="00932C2C" w:rsidRPr="00702AF2" w:rsidTr="00702AF2">
        <w:trPr>
          <w:trHeight w:val="1701"/>
          <w:tblHeader/>
        </w:trPr>
        <w:tc>
          <w:tcPr>
            <w:tcW w:w="538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Documento</w:t>
            </w:r>
          </w:p>
        </w:tc>
        <w:tc>
          <w:tcPr>
            <w:tcW w:w="538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Natureza da sugestão</w:t>
            </w:r>
          </w:p>
        </w:tc>
        <w:tc>
          <w:tcPr>
            <w:tcW w:w="538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Item</w:t>
            </w:r>
          </w:p>
        </w:tc>
        <w:tc>
          <w:tcPr>
            <w:tcW w:w="1747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Proposta de alteração</w:t>
            </w:r>
          </w:p>
        </w:tc>
        <w:tc>
          <w:tcPr>
            <w:tcW w:w="1639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Justificativa</w:t>
            </w:r>
          </w:p>
        </w:tc>
      </w:tr>
      <w:tr w:rsidR="00932C2C" w:rsidRPr="00702AF2" w:rsidTr="00702AF2">
        <w:trPr>
          <w:trHeight w:val="1701"/>
        </w:trPr>
        <w:tc>
          <w:tcPr>
            <w:tcW w:w="538" w:type="pct"/>
            <w:vAlign w:val="center"/>
          </w:tcPr>
          <w:p w:rsidR="002158EA" w:rsidRPr="00702AF2" w:rsidRDefault="00615A71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2158EA" w:rsidRPr="00702AF2" w:rsidRDefault="00932C2C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 xml:space="preserve">Anexo </w:t>
            </w:r>
            <w:r w:rsidR="00615A71" w:rsidRPr="00702AF2">
              <w:rPr>
                <w:rFonts w:cs="Arial"/>
                <w:color w:val="000000"/>
                <w:szCs w:val="24"/>
              </w:rPr>
              <w:t>II</w:t>
            </w:r>
            <w:r w:rsidR="005C4925" w:rsidRPr="00702AF2">
              <w:rPr>
                <w:rFonts w:cs="Arial"/>
                <w:color w:val="000000"/>
                <w:szCs w:val="24"/>
              </w:rPr>
              <w:t xml:space="preserve"> – </w:t>
            </w:r>
            <w:r w:rsidR="00615A71" w:rsidRPr="00702AF2">
              <w:rPr>
                <w:rFonts w:cs="Arial"/>
                <w:color w:val="000000"/>
                <w:szCs w:val="24"/>
              </w:rPr>
              <w:t>3.2.1</w:t>
            </w:r>
          </w:p>
        </w:tc>
        <w:tc>
          <w:tcPr>
            <w:tcW w:w="1747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Texto proposto.</w:t>
            </w:r>
          </w:p>
        </w:tc>
        <w:tc>
          <w:tcPr>
            <w:tcW w:w="1639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Justificativa.</w:t>
            </w:r>
          </w:p>
        </w:tc>
      </w:tr>
      <w:tr w:rsidR="00932C2C" w:rsidRPr="00702AF2" w:rsidTr="00702AF2">
        <w:trPr>
          <w:trHeight w:val="1701"/>
        </w:trPr>
        <w:tc>
          <w:tcPr>
            <w:tcW w:w="538" w:type="pct"/>
            <w:vAlign w:val="center"/>
          </w:tcPr>
          <w:p w:rsidR="002158EA" w:rsidRPr="00702AF2" w:rsidRDefault="00615A71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Pré-edital</w:t>
            </w:r>
          </w:p>
        </w:tc>
        <w:tc>
          <w:tcPr>
            <w:tcW w:w="538" w:type="pct"/>
            <w:vAlign w:val="center"/>
          </w:tcPr>
          <w:p w:rsidR="002158EA" w:rsidRPr="00702AF2" w:rsidRDefault="00932C2C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Exclusão</w:t>
            </w:r>
          </w:p>
        </w:tc>
        <w:tc>
          <w:tcPr>
            <w:tcW w:w="538" w:type="pct"/>
            <w:vAlign w:val="center"/>
          </w:tcPr>
          <w:p w:rsidR="002158EA" w:rsidRPr="00702AF2" w:rsidRDefault="00615A71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1.4.3</w:t>
            </w:r>
          </w:p>
        </w:tc>
        <w:tc>
          <w:tcPr>
            <w:tcW w:w="1747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2158EA" w:rsidRPr="00702AF2" w:rsidRDefault="002158EA" w:rsidP="00702AF2">
            <w:pPr>
              <w:pStyle w:val="Legenda"/>
              <w:spacing w:before="120" w:after="120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r w:rsidRPr="000C0894">
        <w:rPr>
          <w:rFonts w:cs="Arial"/>
          <w:b/>
          <w:szCs w:val="24"/>
        </w:rPr>
        <w:t>Instruções para envio do formulário:</w:t>
      </w:r>
    </w:p>
    <w:p w:rsidR="008A590E" w:rsidRPr="008A590E" w:rsidRDefault="006E3142" w:rsidP="00B27481">
      <w:pPr>
        <w:pStyle w:val="Legenda"/>
        <w:spacing w:before="120" w:after="120" w:line="360" w:lineRule="auto"/>
        <w:jc w:val="both"/>
        <w:rPr>
          <w:rFonts w:cs="Arial"/>
          <w:szCs w:val="24"/>
        </w:rPr>
      </w:pPr>
      <w:r w:rsidRPr="000C0894">
        <w:rPr>
          <w:rFonts w:cs="Arial"/>
          <w:szCs w:val="24"/>
        </w:rPr>
        <w:t xml:space="preserve">Após o preenchimento deste formulário, remeta-o à Agência Nacional do Petróleo, </w:t>
      </w:r>
      <w:proofErr w:type="gramStart"/>
      <w:r w:rsidRPr="000C0894">
        <w:rPr>
          <w:rFonts w:cs="Arial"/>
          <w:szCs w:val="24"/>
        </w:rPr>
        <w:t>Gás Natural e Biocombustíveis (ANP)</w:t>
      </w:r>
      <w:proofErr w:type="gramEnd"/>
      <w:r w:rsidRPr="000C0894">
        <w:rPr>
          <w:rFonts w:cs="Arial"/>
          <w:szCs w:val="24"/>
        </w:rPr>
        <w:t xml:space="preserve"> até </w:t>
      </w:r>
      <w:r w:rsidRPr="000C0894">
        <w:rPr>
          <w:rFonts w:eastAsia="PMingLiU" w:cs="Arial"/>
          <w:color w:val="000000"/>
          <w:szCs w:val="24"/>
        </w:rPr>
        <w:t xml:space="preserve">o dia </w:t>
      </w:r>
      <w:r w:rsidRPr="00913328">
        <w:rPr>
          <w:rFonts w:eastAsia="PMingLiU" w:cs="Arial"/>
          <w:b/>
          <w:color w:val="000000"/>
          <w:szCs w:val="24"/>
        </w:rPr>
        <w:t>11 de setembro de 2013</w:t>
      </w:r>
      <w:r w:rsidRPr="000C0894">
        <w:rPr>
          <w:rFonts w:eastAsia="PMingLiU" w:cs="Arial"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r w:rsidRPr="000C0894">
        <w:rPr>
          <w:rFonts w:cs="Arial"/>
          <w:szCs w:val="24"/>
        </w:rPr>
        <w:t xml:space="preserve">e-mail </w:t>
      </w:r>
      <w:hyperlink r:id="rId8" w:history="1">
        <w:r w:rsidRPr="000C0894">
          <w:rPr>
            <w:rStyle w:val="Hyperlink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</w:p>
    <w:p w:rsidR="006E3142" w:rsidRDefault="006E314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</w:t>
      </w:r>
      <w:proofErr w:type="gramStart"/>
      <w:r w:rsidRPr="0062557C">
        <w:rPr>
          <w:rFonts w:cs="Arial"/>
        </w:rPr>
        <w:t>PÚBLICA Nº</w:t>
      </w:r>
      <w:proofErr w:type="gramEnd"/>
      <w:r w:rsidRPr="0062557C">
        <w:rPr>
          <w:rFonts w:cs="Arial"/>
        </w:rPr>
        <w:t xml:space="preserve"> </w:t>
      </w:r>
      <w:r>
        <w:rPr>
          <w:rFonts w:cs="Arial"/>
        </w:rPr>
        <w:t>25</w:t>
      </w:r>
      <w:r w:rsidRPr="0062557C">
        <w:rPr>
          <w:rFonts w:cs="Arial"/>
        </w:rPr>
        <w:t>/</w:t>
      </w:r>
      <w:r>
        <w:rPr>
          <w:rFonts w:cs="Arial"/>
        </w:rPr>
        <w:t>2013</w:t>
      </w:r>
      <w:r w:rsidRPr="0062557C">
        <w:rPr>
          <w:rFonts w:cs="Arial"/>
        </w:rPr>
        <w:t xml:space="preserve"> </w:t>
      </w:r>
      <w:r>
        <w:rPr>
          <w:rFonts w:cs="Arial"/>
        </w:rPr>
        <w:t>–</w:t>
      </w:r>
      <w:r w:rsidRPr="0062557C">
        <w:rPr>
          <w:rFonts w:cs="Arial"/>
        </w:rPr>
        <w:t xml:space="preserve"> </w:t>
      </w:r>
      <w:r>
        <w:rPr>
          <w:rFonts w:cs="Arial"/>
        </w:rPr>
        <w:t>23/08/2013 a 11/09/2013</w:t>
      </w: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tbl>
      <w:tblPr>
        <w:tblW w:w="5000" w:type="pct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1536"/>
        <w:gridCol w:w="1464"/>
        <w:gridCol w:w="1697"/>
        <w:gridCol w:w="4892"/>
        <w:gridCol w:w="4587"/>
      </w:tblGrid>
      <w:tr w:rsidR="006E3142" w:rsidRPr="00932C2C" w:rsidTr="00702AF2">
        <w:trPr>
          <w:trHeight w:val="850"/>
          <w:tblHeader/>
        </w:trPr>
        <w:tc>
          <w:tcPr>
            <w:tcW w:w="538" w:type="pct"/>
            <w:tcBorders>
              <w:bottom w:val="dashSmallGap" w:sz="4" w:space="0" w:color="BFBFBF"/>
            </w:tcBorders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Documento</w:t>
            </w:r>
          </w:p>
        </w:tc>
        <w:tc>
          <w:tcPr>
            <w:tcW w:w="538" w:type="pct"/>
            <w:tcBorders>
              <w:bottom w:val="dashSmallGap" w:sz="4" w:space="0" w:color="BFBFBF"/>
            </w:tcBorders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Natureza da sugestão</w:t>
            </w:r>
          </w:p>
        </w:tc>
        <w:tc>
          <w:tcPr>
            <w:tcW w:w="538" w:type="pct"/>
            <w:tcBorders>
              <w:bottom w:val="dashSmallGap" w:sz="4" w:space="0" w:color="BFBFBF"/>
            </w:tcBorders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Item</w:t>
            </w:r>
          </w:p>
        </w:tc>
        <w:tc>
          <w:tcPr>
            <w:tcW w:w="1747" w:type="pct"/>
            <w:tcBorders>
              <w:bottom w:val="dashSmallGap" w:sz="4" w:space="0" w:color="BFBFBF"/>
            </w:tcBorders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Proposta de alteração</w:t>
            </w:r>
          </w:p>
        </w:tc>
        <w:tc>
          <w:tcPr>
            <w:tcW w:w="1639" w:type="pct"/>
            <w:tcBorders>
              <w:bottom w:val="dashSmallGap" w:sz="4" w:space="0" w:color="BFBFBF"/>
            </w:tcBorders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b/>
                <w:color w:val="000000"/>
                <w:szCs w:val="24"/>
              </w:rPr>
            </w:pPr>
            <w:r w:rsidRPr="00702AF2">
              <w:rPr>
                <w:rFonts w:cs="Arial"/>
                <w:b/>
                <w:color w:val="000000"/>
                <w:szCs w:val="24"/>
              </w:rPr>
              <w:t>Justificativa</w:t>
            </w:r>
          </w:p>
        </w:tc>
      </w:tr>
      <w:tr w:rsidR="006E3142" w:rsidRPr="00932C2C" w:rsidTr="00DA4FAC">
        <w:trPr>
          <w:trHeight w:val="4499"/>
        </w:trPr>
        <w:tc>
          <w:tcPr>
            <w:tcW w:w="538" w:type="pct"/>
            <w:vAlign w:val="center"/>
          </w:tcPr>
          <w:p w:rsidR="006E3142" w:rsidRPr="00702AF2" w:rsidRDefault="00DF0EB5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Minuta do contrato</w:t>
            </w:r>
          </w:p>
        </w:tc>
        <w:tc>
          <w:tcPr>
            <w:tcW w:w="538" w:type="pct"/>
            <w:vAlign w:val="center"/>
          </w:tcPr>
          <w:p w:rsidR="006E3142" w:rsidRPr="00702AF2" w:rsidRDefault="00DF0EB5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  <w:r w:rsidRPr="00702AF2">
              <w:rPr>
                <w:rFonts w:cs="Arial"/>
                <w:color w:val="000000"/>
                <w:szCs w:val="24"/>
              </w:rPr>
              <w:t>Alteração</w:t>
            </w:r>
          </w:p>
        </w:tc>
        <w:tc>
          <w:tcPr>
            <w:tcW w:w="538" w:type="pct"/>
            <w:vAlign w:val="center"/>
          </w:tcPr>
          <w:p w:rsidR="006E3142" w:rsidRPr="00702AF2" w:rsidRDefault="00DF0EB5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Anexo IX – Compromisso de Conteúdo Local</w:t>
            </w:r>
          </w:p>
        </w:tc>
        <w:tc>
          <w:tcPr>
            <w:tcW w:w="1747" w:type="pct"/>
            <w:vAlign w:val="center"/>
          </w:tcPr>
          <w:p w:rsidR="00DF0EB5" w:rsidRDefault="00DF0EB5" w:rsidP="00DF0EB5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Conteúdo Local – Geologia e Geofísica</w:t>
            </w:r>
          </w:p>
          <w:p w:rsidR="00DF0EB5" w:rsidRDefault="00DF0EB5" w:rsidP="00DF0EB5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Interpretação e Processamento</w:t>
            </w:r>
          </w:p>
          <w:p w:rsidR="006E3142" w:rsidRDefault="00DF0EB5" w:rsidP="00DF0EB5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De 85% para 40%</w:t>
            </w:r>
          </w:p>
          <w:p w:rsidR="00DF0EB5" w:rsidRPr="00DF0EB5" w:rsidRDefault="00DF0EB5" w:rsidP="00DF0EB5">
            <w:r>
              <w:t xml:space="preserve"> </w:t>
            </w:r>
          </w:p>
        </w:tc>
        <w:tc>
          <w:tcPr>
            <w:tcW w:w="1639" w:type="pct"/>
            <w:vAlign w:val="center"/>
          </w:tcPr>
          <w:p w:rsidR="00430162" w:rsidRDefault="00DF0EB5" w:rsidP="007A71E6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De acordo com a Décima Primeira Rodada – Anexo XIII – Tabela de itens com exigências mínimas de Conteúdo Local, tanto para águas rasas (menor 100 metros)</w:t>
            </w:r>
            <w:r w:rsidR="007A71E6">
              <w:rPr>
                <w:rFonts w:cs="Arial"/>
                <w:color w:val="000000"/>
                <w:szCs w:val="24"/>
              </w:rPr>
              <w:t xml:space="preserve"> e profundas (maior 400 metros), para as Licitações dos Contratos de Concessões, o Conteúdo Local mínimo para Subsistemas (Conjunto) – Geologia e Geofísica, referente </w:t>
            </w:r>
            <w:proofErr w:type="gramStart"/>
            <w:r w:rsidR="007A71E6">
              <w:rPr>
                <w:rFonts w:cs="Arial"/>
                <w:color w:val="000000"/>
                <w:szCs w:val="24"/>
              </w:rPr>
              <w:t>a</w:t>
            </w:r>
            <w:proofErr w:type="gramEnd"/>
            <w:r w:rsidR="007A71E6">
              <w:rPr>
                <w:rFonts w:cs="Arial"/>
                <w:color w:val="000000"/>
                <w:szCs w:val="24"/>
              </w:rPr>
              <w:t xml:space="preserve"> linha do item Interpretação e Processamento são de 40%. Com a nova publicação da Resolução 19/2013, conforme Anexo II – Cartilha de Conteúdo Local, capítulo 7 Critérios, Instruções e Fórmulas de Cálculo do Conteúdo Local de Serviços de MDO relacionados à Indústria de Petróleo e Gás Natural, o CL em Serviços de MDO, inclusive </w:t>
            </w:r>
            <w:r w:rsidR="00DA4FAC">
              <w:rPr>
                <w:rFonts w:cs="Arial"/>
                <w:color w:val="000000"/>
                <w:szCs w:val="24"/>
              </w:rPr>
              <w:t>S</w:t>
            </w:r>
            <w:r w:rsidR="007A71E6">
              <w:rPr>
                <w:rFonts w:cs="Arial"/>
                <w:color w:val="000000"/>
                <w:szCs w:val="24"/>
              </w:rPr>
              <w:t>oftware, será mensurado através do índice de custo de utilização de MDO local na prestação dos serviços (ILS). O ILS deverá ser aplicado ao valor do serviço contratado, excluído</w:t>
            </w:r>
            <w:r w:rsidR="00430162">
              <w:rPr>
                <w:rFonts w:cs="Arial"/>
                <w:color w:val="000000"/>
                <w:szCs w:val="24"/>
              </w:rPr>
              <w:t xml:space="preserve"> o ISS, para a apuração do CL em Serviços de MDO.</w:t>
            </w:r>
          </w:p>
          <w:p w:rsidR="00430162" w:rsidRDefault="00430162" w:rsidP="0043016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lastRenderedPageBreak/>
              <w:t xml:space="preserve">Frente </w:t>
            </w:r>
            <w:proofErr w:type="gramStart"/>
            <w:r>
              <w:rPr>
                <w:rFonts w:cs="Arial"/>
                <w:color w:val="000000"/>
                <w:szCs w:val="24"/>
              </w:rPr>
              <w:t>a</w:t>
            </w:r>
            <w:proofErr w:type="gramEnd"/>
            <w:r w:rsidR="00DA4FAC">
              <w:rPr>
                <w:rFonts w:cs="Arial"/>
                <w:color w:val="000000"/>
                <w:szCs w:val="24"/>
              </w:rPr>
              <w:t xml:space="preserve"> alteração</w:t>
            </w:r>
            <w:r>
              <w:rPr>
                <w:rFonts w:cs="Arial"/>
                <w:color w:val="000000"/>
                <w:szCs w:val="24"/>
              </w:rPr>
              <w:t xml:space="preserve"> da metodologia de cálculo para Serviços em Processamento</w:t>
            </w:r>
            <w:r w:rsidR="00DA4FAC">
              <w:rPr>
                <w:rFonts w:cs="Arial"/>
                <w:color w:val="000000"/>
                <w:szCs w:val="24"/>
              </w:rPr>
              <w:t xml:space="preserve"> </w:t>
            </w:r>
            <w:r>
              <w:rPr>
                <w:rFonts w:cs="Arial"/>
                <w:color w:val="000000"/>
                <w:szCs w:val="24"/>
              </w:rPr>
              <w:t>de dados e Interpretação, conforme exposto acima, a apuração de CL com a metodologia no ILS abandonou totalmente a consideração de Margem de lucro, PIS, COFINS e outros custos indiretos</w:t>
            </w:r>
            <w:r w:rsidR="00DA4FAC">
              <w:rPr>
                <w:rFonts w:cs="Arial"/>
                <w:color w:val="000000"/>
                <w:szCs w:val="24"/>
              </w:rPr>
              <w:t xml:space="preserve"> (</w:t>
            </w:r>
            <w:r>
              <w:rPr>
                <w:rFonts w:cs="Arial"/>
                <w:color w:val="000000"/>
                <w:szCs w:val="24"/>
              </w:rPr>
              <w:t xml:space="preserve">overheads), os quais eram computados para apuração do mesmo. </w:t>
            </w:r>
          </w:p>
          <w:p w:rsidR="006E3142" w:rsidRPr="00702AF2" w:rsidRDefault="00430162" w:rsidP="00DA4FAC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 xml:space="preserve">Significa que o novo cálculo é baseado somente em Pessoal e o </w:t>
            </w:r>
            <w:r w:rsidR="00DA4FAC">
              <w:rPr>
                <w:rFonts w:cs="Arial"/>
                <w:color w:val="000000"/>
                <w:szCs w:val="24"/>
              </w:rPr>
              <w:t>s</w:t>
            </w:r>
            <w:r>
              <w:rPr>
                <w:rFonts w:cs="Arial"/>
                <w:color w:val="000000"/>
                <w:szCs w:val="24"/>
              </w:rPr>
              <w:t xml:space="preserve">oftware (esse importado, pois não temos </w:t>
            </w:r>
            <w:r w:rsidR="00DA4FAC">
              <w:rPr>
                <w:rFonts w:cs="Arial"/>
                <w:color w:val="000000"/>
                <w:szCs w:val="24"/>
              </w:rPr>
              <w:t>s</w:t>
            </w:r>
            <w:r>
              <w:rPr>
                <w:rFonts w:cs="Arial"/>
                <w:color w:val="000000"/>
                <w:szCs w:val="24"/>
              </w:rPr>
              <w:t>oftware de processamento nacional) é computado como um empregado estrangeiro, logo, diminuirá o % de CL, mesmo que utilizemos 100% de Brasileiros no processamento, o que na maioria das vezes é muito difícil</w:t>
            </w:r>
            <w:r w:rsidR="00DA4FAC">
              <w:rPr>
                <w:rFonts w:cs="Arial"/>
                <w:color w:val="000000"/>
                <w:szCs w:val="24"/>
              </w:rPr>
              <w:t xml:space="preserve"> ou </w:t>
            </w:r>
            <w:proofErr w:type="gramStart"/>
            <w:r>
              <w:rPr>
                <w:rFonts w:cs="Arial"/>
                <w:color w:val="000000"/>
                <w:szCs w:val="24"/>
              </w:rPr>
              <w:t>1</w:t>
            </w:r>
            <w:proofErr w:type="gramEnd"/>
            <w:r>
              <w:rPr>
                <w:rFonts w:cs="Arial"/>
                <w:color w:val="000000"/>
                <w:szCs w:val="24"/>
              </w:rPr>
              <w:t>(um)</w:t>
            </w:r>
            <w:r w:rsidR="007A71E6">
              <w:rPr>
                <w:rFonts w:cs="Arial"/>
                <w:color w:val="000000"/>
                <w:szCs w:val="24"/>
              </w:rPr>
              <w:t xml:space="preserve"> </w:t>
            </w:r>
            <w:r>
              <w:rPr>
                <w:rFonts w:cs="Arial"/>
                <w:color w:val="000000"/>
                <w:szCs w:val="24"/>
              </w:rPr>
              <w:t>estrangeiro ajudando nos processos</w:t>
            </w:r>
            <w:r w:rsidR="00DA4FAC">
              <w:rPr>
                <w:rFonts w:cs="Arial"/>
                <w:color w:val="000000"/>
                <w:szCs w:val="24"/>
              </w:rPr>
              <w:t>, com isso o PERCENTUAL % de CL cairá drasticamente, sendo praticamente impossível atingir os 85% pleiteados pelo MMA.</w:t>
            </w:r>
          </w:p>
        </w:tc>
      </w:tr>
      <w:tr w:rsidR="006E3142" w:rsidRPr="00932C2C" w:rsidTr="00702AF2">
        <w:trPr>
          <w:trHeight w:val="2268"/>
        </w:trPr>
        <w:tc>
          <w:tcPr>
            <w:tcW w:w="538" w:type="pct"/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E3142" w:rsidRPr="00702AF2" w:rsidRDefault="006E3142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E3142" w:rsidRPr="00702AF2" w:rsidRDefault="006E3142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</w:tr>
      <w:tr w:rsidR="006E3142" w:rsidRPr="00932C2C" w:rsidTr="00702AF2">
        <w:trPr>
          <w:trHeight w:val="2268"/>
        </w:trPr>
        <w:tc>
          <w:tcPr>
            <w:tcW w:w="538" w:type="pct"/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E3142" w:rsidRPr="00702AF2" w:rsidRDefault="006E3142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E3142" w:rsidRPr="00702AF2" w:rsidRDefault="006E3142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</w:tr>
      <w:tr w:rsidR="006E3142" w:rsidRPr="00932C2C" w:rsidTr="00702AF2">
        <w:trPr>
          <w:trHeight w:val="2268"/>
        </w:trPr>
        <w:tc>
          <w:tcPr>
            <w:tcW w:w="538" w:type="pct"/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E3142" w:rsidRPr="00702AF2" w:rsidRDefault="006E3142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E3142" w:rsidRPr="00702AF2" w:rsidRDefault="006E3142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E3142" w:rsidRPr="00702AF2" w:rsidRDefault="006E3142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</w:tr>
      <w:tr w:rsidR="00605710" w:rsidRPr="00932C2C" w:rsidTr="00702AF2">
        <w:trPr>
          <w:trHeight w:val="2268"/>
        </w:trPr>
        <w:tc>
          <w:tcPr>
            <w:tcW w:w="538" w:type="pct"/>
            <w:vAlign w:val="center"/>
          </w:tcPr>
          <w:p w:rsidR="00605710" w:rsidRPr="00702AF2" w:rsidRDefault="00605710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702AF2" w:rsidRDefault="00605710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702AF2" w:rsidRDefault="00605710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05710" w:rsidRPr="00702AF2" w:rsidRDefault="00605710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05710" w:rsidRPr="00702AF2" w:rsidRDefault="00605710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</w:tr>
      <w:tr w:rsidR="00605710" w:rsidRPr="00932C2C" w:rsidTr="00702AF2">
        <w:trPr>
          <w:trHeight w:val="2268"/>
        </w:trPr>
        <w:tc>
          <w:tcPr>
            <w:tcW w:w="538" w:type="pct"/>
            <w:vAlign w:val="center"/>
          </w:tcPr>
          <w:p w:rsidR="00605710" w:rsidRPr="00702AF2" w:rsidRDefault="00605710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702AF2" w:rsidRDefault="00605710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538" w:type="pct"/>
            <w:vAlign w:val="center"/>
          </w:tcPr>
          <w:p w:rsidR="00605710" w:rsidRPr="00702AF2" w:rsidRDefault="00605710" w:rsidP="00702AF2">
            <w:pPr>
              <w:pStyle w:val="Legenda"/>
              <w:jc w:val="center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747" w:type="pct"/>
            <w:vAlign w:val="center"/>
          </w:tcPr>
          <w:p w:rsidR="00605710" w:rsidRPr="00702AF2" w:rsidRDefault="00605710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639" w:type="pct"/>
            <w:vAlign w:val="center"/>
          </w:tcPr>
          <w:p w:rsidR="00605710" w:rsidRPr="00702AF2" w:rsidRDefault="00605710" w:rsidP="00702AF2">
            <w:pPr>
              <w:pStyle w:val="Legenda"/>
              <w:jc w:val="both"/>
              <w:rPr>
                <w:rFonts w:cs="Arial"/>
                <w:color w:val="000000"/>
                <w:szCs w:val="24"/>
              </w:rPr>
            </w:pPr>
          </w:p>
        </w:tc>
      </w:tr>
    </w:tbl>
    <w:p w:rsidR="00764EB1" w:rsidRDefault="00764EB1" w:rsidP="00DA4FAC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DA4F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0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F9A" w:rsidRDefault="006C3F9A" w:rsidP="00842086">
      <w:r>
        <w:separator/>
      </w:r>
    </w:p>
  </w:endnote>
  <w:endnote w:type="continuationSeparator" w:id="0">
    <w:p w:rsidR="006C3F9A" w:rsidRDefault="006C3F9A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47" w:rsidRDefault="0019374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25" w:rsidRDefault="005C4925">
    <w:pPr>
      <w:pStyle w:val="Rodap"/>
      <w:jc w:val="right"/>
    </w:pPr>
    <w:fldSimple w:instr=" PAGE   \* MERGEFORMAT ">
      <w:r w:rsidR="005C0E6D">
        <w:rPr>
          <w:noProof/>
        </w:rPr>
        <w:t>2</w:t>
      </w:r>
    </w:fldSimple>
  </w:p>
  <w:p w:rsidR="005C4925" w:rsidRDefault="005C4925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25" w:rsidRDefault="005C4925">
    <w:pPr>
      <w:pStyle w:val="Rodap"/>
      <w:jc w:val="right"/>
    </w:pPr>
    <w:fldSimple w:instr=" PAGE   \* MERGEFORMAT ">
      <w:r w:rsidR="005C0E6D">
        <w:rPr>
          <w:noProof/>
        </w:rPr>
        <w:t>1</w:t>
      </w:r>
    </w:fldSimple>
  </w:p>
  <w:p w:rsidR="005C4925" w:rsidRDefault="005C492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F9A" w:rsidRDefault="006C3F9A" w:rsidP="00842086">
      <w:r>
        <w:separator/>
      </w:r>
    </w:p>
  </w:footnote>
  <w:footnote w:type="continuationSeparator" w:id="0">
    <w:p w:rsidR="006C3F9A" w:rsidRDefault="006C3F9A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747" w:rsidRDefault="0019374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39" w:type="pct"/>
      <w:tblBorders>
        <w:top w:val="single" w:sz="4" w:space="0" w:color="808080"/>
        <w:bottom w:val="single" w:sz="4" w:space="0" w:color="808080"/>
      </w:tblBorders>
      <w:tblLayout w:type="fixed"/>
      <w:tblLook w:val="04A0"/>
    </w:tblPr>
    <w:tblGrid>
      <w:gridCol w:w="3221"/>
      <w:gridCol w:w="4967"/>
      <w:gridCol w:w="6099"/>
    </w:tblGrid>
    <w:tr w:rsidR="005C4925" w:rsidRPr="00B27481" w:rsidTr="00B27481">
      <w:tc>
        <w:tcPr>
          <w:tcW w:w="1127" w:type="pct"/>
          <w:tcBorders>
            <w:top w:val="single" w:sz="4" w:space="0" w:color="808080"/>
            <w:bottom w:val="single" w:sz="4" w:space="0" w:color="808080"/>
          </w:tcBorders>
          <w:vAlign w:val="center"/>
        </w:tcPr>
        <w:p w:rsidR="005C4925" w:rsidRDefault="00702AF2" w:rsidP="00B27481">
          <w:pPr>
            <w:pStyle w:val="Cabealho"/>
            <w:spacing w:before="240" w:after="240"/>
            <w:jc w:val="center"/>
          </w:pPr>
          <w:r w:rsidRPr="00913D08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5" type="#_x0000_t75" alt="logo ANP 15 anos centralizada_RGB.jpg" style="width:145.85pt;height:78.55pt;visibility:visible">
                <v:imagedata r:id="rId1" o:title="logo ANP 15 anos centralizada_RGB"/>
              </v:shape>
            </w:pict>
          </w:r>
        </w:p>
      </w:tc>
      <w:tc>
        <w:tcPr>
          <w:tcW w:w="1738" w:type="pct"/>
          <w:tcBorders>
            <w:top w:val="single" w:sz="4" w:space="0" w:color="808080"/>
            <w:bottom w:val="single" w:sz="4" w:space="0" w:color="808080"/>
          </w:tcBorders>
          <w:vAlign w:val="center"/>
        </w:tcPr>
        <w:p w:rsidR="005C4925" w:rsidRPr="0036380F" w:rsidRDefault="00702AF2" w:rsidP="00B27481">
          <w:pPr>
            <w:pStyle w:val="Cabealho"/>
            <w:spacing w:before="240" w:after="240"/>
            <w:jc w:val="center"/>
            <w:rPr>
              <w:rFonts w:ascii="Arial" w:hAnsi="Arial" w:cs="Arial"/>
              <w:sz w:val="24"/>
              <w:szCs w:val="24"/>
            </w:rPr>
          </w:pPr>
          <w:r w:rsidRPr="00702AF2">
            <w:rPr>
              <w:rFonts w:ascii="Arial" w:hAnsi="Arial" w:cs="Arial"/>
              <w:noProof/>
              <w:sz w:val="24"/>
              <w:szCs w:val="24"/>
            </w:rPr>
            <w:pict>
              <v:shape id="Imagem 5" o:spid="_x0000_i1026" type="#_x0000_t75" alt="logomarca_12a_Rodada_horizontal.jpg" style="width:240.3pt;height:70.15pt;visibility:visible">
                <v:imagedata r:id="rId2" o:title="logomarca_12a_Rodada_horizontal"/>
              </v:shape>
            </w:pict>
          </w:r>
        </w:p>
      </w:tc>
      <w:tc>
        <w:tcPr>
          <w:tcW w:w="2134" w:type="pct"/>
          <w:tcBorders>
            <w:top w:val="single" w:sz="4" w:space="0" w:color="808080"/>
            <w:bottom w:val="single" w:sz="4" w:space="0" w:color="808080"/>
          </w:tcBorders>
          <w:vAlign w:val="center"/>
        </w:tcPr>
        <w:p w:rsidR="005C4925" w:rsidRPr="00B27481" w:rsidRDefault="00B27481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 xml:space="preserve">CONSULTA </w:t>
          </w:r>
          <w:proofErr w:type="gramStart"/>
          <w:r w:rsidRPr="00B27481">
            <w:rPr>
              <w:rFonts w:ascii="Arial" w:hAnsi="Arial" w:cs="Arial"/>
              <w:b/>
              <w:sz w:val="28"/>
              <w:szCs w:val="28"/>
            </w:rPr>
            <w:t>PÚBLICA Nº</w:t>
          </w:r>
          <w:proofErr w:type="gramEnd"/>
          <w:r w:rsidRPr="00B27481">
            <w:rPr>
              <w:rFonts w:ascii="Arial" w:hAnsi="Arial" w:cs="Arial"/>
              <w:b/>
              <w:sz w:val="28"/>
              <w:szCs w:val="28"/>
            </w:rPr>
            <w:t xml:space="preserve"> 25/2013</w:t>
          </w:r>
        </w:p>
        <w:p w:rsidR="005C4925" w:rsidRPr="00B27481" w:rsidRDefault="005C4925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Pr="0036380F" w:rsidRDefault="005C4925" w:rsidP="006E3142">
    <w:pPr>
      <w:pStyle w:val="Cabealho"/>
    </w:pPr>
  </w:p>
  <w:p w:rsidR="005C4925" w:rsidRDefault="005C492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086"/>
    <w:rsid w:val="000C0894"/>
    <w:rsid w:val="000C7F3F"/>
    <w:rsid w:val="000E6393"/>
    <w:rsid w:val="00103946"/>
    <w:rsid w:val="00193747"/>
    <w:rsid w:val="001965B6"/>
    <w:rsid w:val="002158EA"/>
    <w:rsid w:val="0022423B"/>
    <w:rsid w:val="00256685"/>
    <w:rsid w:val="00264138"/>
    <w:rsid w:val="00292A48"/>
    <w:rsid w:val="00314BDB"/>
    <w:rsid w:val="00327F69"/>
    <w:rsid w:val="0036380F"/>
    <w:rsid w:val="003B7B4E"/>
    <w:rsid w:val="0040140A"/>
    <w:rsid w:val="00412AA7"/>
    <w:rsid w:val="00430162"/>
    <w:rsid w:val="00471ADB"/>
    <w:rsid w:val="004A005A"/>
    <w:rsid w:val="004C0021"/>
    <w:rsid w:val="004D421E"/>
    <w:rsid w:val="005600AD"/>
    <w:rsid w:val="0056683F"/>
    <w:rsid w:val="005B3CEF"/>
    <w:rsid w:val="005B7D75"/>
    <w:rsid w:val="005C0E6D"/>
    <w:rsid w:val="005C4925"/>
    <w:rsid w:val="005C5B4E"/>
    <w:rsid w:val="005D7856"/>
    <w:rsid w:val="00605710"/>
    <w:rsid w:val="00615A71"/>
    <w:rsid w:val="0062557C"/>
    <w:rsid w:val="00675939"/>
    <w:rsid w:val="006C3F9A"/>
    <w:rsid w:val="006E3142"/>
    <w:rsid w:val="006E7756"/>
    <w:rsid w:val="006F3664"/>
    <w:rsid w:val="00702AF2"/>
    <w:rsid w:val="007178AA"/>
    <w:rsid w:val="00764EB1"/>
    <w:rsid w:val="007662D7"/>
    <w:rsid w:val="007A71E6"/>
    <w:rsid w:val="007E2560"/>
    <w:rsid w:val="007F7936"/>
    <w:rsid w:val="0083277E"/>
    <w:rsid w:val="00842086"/>
    <w:rsid w:val="008500E0"/>
    <w:rsid w:val="00854EE5"/>
    <w:rsid w:val="008675C5"/>
    <w:rsid w:val="008A590E"/>
    <w:rsid w:val="008E7D7F"/>
    <w:rsid w:val="00913328"/>
    <w:rsid w:val="0092578B"/>
    <w:rsid w:val="009271A8"/>
    <w:rsid w:val="00932C2C"/>
    <w:rsid w:val="0099566E"/>
    <w:rsid w:val="00A621DA"/>
    <w:rsid w:val="00A91CC2"/>
    <w:rsid w:val="00AC3176"/>
    <w:rsid w:val="00AC75F7"/>
    <w:rsid w:val="00AC7BE3"/>
    <w:rsid w:val="00AE02B1"/>
    <w:rsid w:val="00B13EFD"/>
    <w:rsid w:val="00B174E6"/>
    <w:rsid w:val="00B25C8F"/>
    <w:rsid w:val="00B27481"/>
    <w:rsid w:val="00B43186"/>
    <w:rsid w:val="00BA4C9C"/>
    <w:rsid w:val="00BC1BBC"/>
    <w:rsid w:val="00BE0221"/>
    <w:rsid w:val="00C102D5"/>
    <w:rsid w:val="00C44A37"/>
    <w:rsid w:val="00C57F32"/>
    <w:rsid w:val="00C85228"/>
    <w:rsid w:val="00C855A3"/>
    <w:rsid w:val="00CA289A"/>
    <w:rsid w:val="00CF02E6"/>
    <w:rsid w:val="00CF2944"/>
    <w:rsid w:val="00DA4FAC"/>
    <w:rsid w:val="00DA51EA"/>
    <w:rsid w:val="00DF0EB5"/>
    <w:rsid w:val="00E548B4"/>
    <w:rsid w:val="00E54CA3"/>
    <w:rsid w:val="00E91A45"/>
    <w:rsid w:val="00EA1DC4"/>
    <w:rsid w:val="00ED28BC"/>
    <w:rsid w:val="00EF4AFC"/>
    <w:rsid w:val="00F503A5"/>
    <w:rsid w:val="00F63177"/>
    <w:rsid w:val="00F637D7"/>
    <w:rsid w:val="00FB378C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uiPriority w:val="99"/>
    <w:unhideWhenUsed/>
    <w:rsid w:val="00932C2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adas@anp.gov.b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BA79E8-497C-4DD2-A406-DAC630E2E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592</Words>
  <Characters>3277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ANP</Company>
  <LinksUpToDate>false</LinksUpToDate>
  <CharactersWithSpaces>3862</CharactersWithSpaces>
  <SharedDoc>false</SharedDoc>
  <HLinks>
    <vt:vector size="6" baseType="variant">
      <vt:variant>
        <vt:i4>65636</vt:i4>
      </vt:variant>
      <vt:variant>
        <vt:i4>0</vt:i4>
      </vt:variant>
      <vt:variant>
        <vt:i4>0</vt:i4>
      </vt:variant>
      <vt:variant>
        <vt:i4>5</vt:i4>
      </vt:variant>
      <vt:variant>
        <vt:lpwstr>mailto:rodadas@anp.gov.br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cp:lastModifiedBy>Eduardo Peçanha</cp:lastModifiedBy>
  <cp:revision>2</cp:revision>
  <cp:lastPrinted>2013-01-24T15:49:00Z</cp:lastPrinted>
  <dcterms:created xsi:type="dcterms:W3CDTF">2013-09-11T20:26:00Z</dcterms:created>
  <dcterms:modified xsi:type="dcterms:W3CDTF">2013-09-11T20:26:00Z</dcterms:modified>
</cp:coreProperties>
</file>