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3566F" w14:textId="77777777" w:rsidR="00AD3C90" w:rsidRPr="008659BF" w:rsidRDefault="00AD3C90" w:rsidP="00AD3C90">
      <w:pPr>
        <w:jc w:val="both"/>
        <w:rPr>
          <w:szCs w:val="24"/>
        </w:rPr>
      </w:pPr>
      <w:bookmarkStart w:id="0" w:name="_GoBack"/>
      <w:bookmarkEnd w:id="0"/>
    </w:p>
    <w:p w14:paraId="2327978C" w14:textId="77777777" w:rsidR="00AD3C90" w:rsidRPr="008659BF" w:rsidRDefault="000F2444" w:rsidP="008D43AA">
      <w:pPr>
        <w:pStyle w:val="TCU-Epgrafe"/>
        <w:ind w:left="3402"/>
        <w:rPr>
          <w:szCs w:val="24"/>
        </w:rPr>
      </w:pPr>
      <w:r w:rsidRPr="008659BF">
        <w:rPr>
          <w:szCs w:val="24"/>
        </w:rPr>
        <w:t>GRUPO I</w:t>
      </w:r>
      <w:r w:rsidR="0040496D">
        <w:rPr>
          <w:szCs w:val="24"/>
        </w:rPr>
        <w:t xml:space="preserve"> – </w:t>
      </w:r>
      <w:r w:rsidR="00AD3C90" w:rsidRPr="008659BF">
        <w:rPr>
          <w:szCs w:val="24"/>
        </w:rPr>
        <w:t xml:space="preserve">CLASSE </w:t>
      </w:r>
      <w:r w:rsidR="0040496D">
        <w:rPr>
          <w:szCs w:val="24"/>
        </w:rPr>
        <w:t>V</w:t>
      </w:r>
      <w:r w:rsidRPr="008659BF">
        <w:rPr>
          <w:szCs w:val="24"/>
        </w:rPr>
        <w:t xml:space="preserve"> </w:t>
      </w:r>
      <w:r w:rsidR="00AD3C90" w:rsidRPr="008659BF">
        <w:rPr>
          <w:szCs w:val="24"/>
        </w:rPr>
        <w:t xml:space="preserve">– </w:t>
      </w:r>
      <w:r w:rsidRPr="008659BF">
        <w:rPr>
          <w:szCs w:val="24"/>
        </w:rPr>
        <w:t>Plenário</w:t>
      </w:r>
    </w:p>
    <w:p w14:paraId="40EDAAAE" w14:textId="77777777" w:rsidR="00AD3C90" w:rsidRPr="008659BF" w:rsidRDefault="000F2444" w:rsidP="008D43AA">
      <w:pPr>
        <w:pStyle w:val="TCU-Epgrafe"/>
        <w:ind w:left="3402"/>
        <w:rPr>
          <w:szCs w:val="24"/>
        </w:rPr>
      </w:pPr>
      <w:r w:rsidRPr="008659BF">
        <w:rPr>
          <w:szCs w:val="24"/>
        </w:rPr>
        <w:t xml:space="preserve">TC 029.248/2016-7 </w:t>
      </w:r>
    </w:p>
    <w:p w14:paraId="78B9A05C" w14:textId="77777777" w:rsidR="00AD3C90" w:rsidRDefault="00AD3C90" w:rsidP="008D43AA">
      <w:pPr>
        <w:pStyle w:val="TCU-Epgrafe"/>
        <w:ind w:left="3402"/>
        <w:rPr>
          <w:szCs w:val="24"/>
        </w:rPr>
      </w:pPr>
      <w:r w:rsidRPr="008659BF">
        <w:rPr>
          <w:szCs w:val="24"/>
        </w:rPr>
        <w:t xml:space="preserve">Natureza: </w:t>
      </w:r>
      <w:r w:rsidR="000F2444" w:rsidRPr="008659BF">
        <w:rPr>
          <w:szCs w:val="24"/>
        </w:rPr>
        <w:t>Desestatização</w:t>
      </w:r>
    </w:p>
    <w:p w14:paraId="0449F0BF" w14:textId="77777777" w:rsidR="0014398C" w:rsidRPr="008659BF" w:rsidRDefault="0014398C" w:rsidP="008D43AA">
      <w:pPr>
        <w:pStyle w:val="TCU-Epgrafe"/>
        <w:ind w:left="3402"/>
        <w:rPr>
          <w:szCs w:val="24"/>
          <w:u w:val="single"/>
        </w:rPr>
      </w:pPr>
      <w:r w:rsidRPr="00DE0343">
        <w:rPr>
          <w:szCs w:val="24"/>
        </w:rPr>
        <w:t>Responsáve</w:t>
      </w:r>
      <w:r>
        <w:rPr>
          <w:szCs w:val="24"/>
        </w:rPr>
        <w:t>l</w:t>
      </w:r>
      <w:r w:rsidRPr="00DE0343">
        <w:rPr>
          <w:szCs w:val="24"/>
        </w:rPr>
        <w:t xml:space="preserve">: </w:t>
      </w:r>
      <w:r w:rsidRPr="00DF00F7">
        <w:rPr>
          <w:szCs w:val="24"/>
        </w:rPr>
        <w:t>Décio Fabricio Oddone da Costa</w:t>
      </w:r>
      <w:r>
        <w:rPr>
          <w:szCs w:val="24"/>
        </w:rPr>
        <w:t>, Diretor-Geral</w:t>
      </w:r>
    </w:p>
    <w:p w14:paraId="23A584AA" w14:textId="77777777" w:rsidR="00AD3C90" w:rsidRPr="008659BF" w:rsidRDefault="0040496D" w:rsidP="008D43AA">
      <w:pPr>
        <w:pStyle w:val="TCU-Epgrafe"/>
        <w:ind w:left="3402"/>
        <w:rPr>
          <w:szCs w:val="24"/>
        </w:rPr>
      </w:pPr>
      <w:r>
        <w:rPr>
          <w:szCs w:val="24"/>
        </w:rPr>
        <w:t>Unidade</w:t>
      </w:r>
      <w:r w:rsidR="005264AF" w:rsidRPr="008659BF">
        <w:rPr>
          <w:szCs w:val="24"/>
        </w:rPr>
        <w:t>: Agência Nacional do Petróleo</w:t>
      </w:r>
      <w:r>
        <w:rPr>
          <w:szCs w:val="24"/>
        </w:rPr>
        <w:t>, Gás Natural e Biocombustíveis (ANP)</w:t>
      </w:r>
    </w:p>
    <w:p w14:paraId="1FDF26DB" w14:textId="77777777" w:rsidR="000F2444" w:rsidRPr="008659BF" w:rsidRDefault="000F2444" w:rsidP="008D43AA">
      <w:pPr>
        <w:pStyle w:val="TCU-Epgrafe"/>
        <w:ind w:left="3402"/>
      </w:pPr>
    </w:p>
    <w:p w14:paraId="4EE262C5" w14:textId="77777777" w:rsidR="00EA61D7" w:rsidRPr="008659BF" w:rsidRDefault="00EA61D7" w:rsidP="008D43AA">
      <w:pPr>
        <w:pStyle w:val="TCU-Epgrafe"/>
        <w:ind w:left="3402"/>
      </w:pPr>
      <w:r w:rsidRPr="008659BF">
        <w:t xml:space="preserve">SUMÁRIO: </w:t>
      </w:r>
      <w:r w:rsidR="0040496D">
        <w:t>DESESTATIZAÇÃO. ACOMPANHAMENTO DA QUARTA RODADA DE LICITAÇÕES PARA CONCESSÃO DE ÁREAS INATIVAS COM ACUMULAÇÕES MARGINAIS PARA ATIVIDADES DE REABILITAÇÃO E PRODUÇÃO DE PETRÓLEO E GÁS NATURAL. ANÁLISE DOS DOCUMENTOS AFETOS AOS SEGUNDO, TERCEIRO E QUARTO ESTÁGIO DE QUE TR</w:t>
      </w:r>
      <w:r w:rsidR="0088255F">
        <w:t>ATA A INSTRUÇÃO NORMATIVA 27/199</w:t>
      </w:r>
      <w:r w:rsidR="0040496D">
        <w:t>8. NÃO ENCAMINHAMENTO DE DOCUMENTO DO SEGUNDO ESTÁGIO NO PRAZO PREVISTO NA IN. ATENDIMENTO DOS DEMAIS REQUISITOS NORMATIVOS. AUSÊNCIA DE INCONFORMIDADES. ARQUIVAMENTO.</w:t>
      </w:r>
    </w:p>
    <w:p w14:paraId="5DF3F6C8" w14:textId="77777777" w:rsidR="00EA61D7" w:rsidRPr="008659BF" w:rsidRDefault="00EA61D7" w:rsidP="00AD3C90">
      <w:pPr>
        <w:pStyle w:val="TCU-Epgrafe"/>
        <w:ind w:left="0"/>
      </w:pPr>
    </w:p>
    <w:p w14:paraId="734F40FA" w14:textId="77777777" w:rsidR="00EA61D7" w:rsidRPr="008659BF" w:rsidRDefault="008D43AA" w:rsidP="008D43AA">
      <w:pPr>
        <w:pStyle w:val="TCU-Epgrafe"/>
        <w:ind w:left="0"/>
        <w:jc w:val="center"/>
      </w:pPr>
      <w:r w:rsidRPr="008659BF">
        <w:t>RELATÓRIO</w:t>
      </w:r>
    </w:p>
    <w:p w14:paraId="427CAD5B" w14:textId="77777777" w:rsidR="00EA61D7" w:rsidRDefault="00EA61D7" w:rsidP="00AD3C90">
      <w:pPr>
        <w:pStyle w:val="TCU-Epgrafe"/>
        <w:ind w:left="0"/>
      </w:pPr>
    </w:p>
    <w:p w14:paraId="441363AF" w14:textId="77777777" w:rsidR="0040496D" w:rsidRDefault="0040496D" w:rsidP="0040496D">
      <w:pPr>
        <w:pStyle w:val="TCU-Epgrafe"/>
        <w:tabs>
          <w:tab w:val="left" w:pos="1134"/>
        </w:tabs>
        <w:ind w:left="0"/>
      </w:pPr>
      <w:r>
        <w:tab/>
        <w:t>Tratam os autos de acompanhamento da quarta rodada de licitações para outorga de concessões de áreas inativas com acumulações marginais para atividades de reabilitação e produção de petróleo e gás natural, realizada pela Agência Nacional de Petróleo, Gás Natural e Biocombustíveis (ANP). Essa fiscalização foi realizada a partir dos documentos e informações encaminhadas ao Tribunal por força da Instrução Normativa 27/1998.</w:t>
      </w:r>
    </w:p>
    <w:p w14:paraId="36E4126E" w14:textId="77777777" w:rsidR="0040496D" w:rsidRDefault="0040496D" w:rsidP="0040496D">
      <w:pPr>
        <w:pStyle w:val="TCU-Epgrafe"/>
        <w:tabs>
          <w:tab w:val="left" w:pos="1134"/>
        </w:tabs>
        <w:ind w:left="0"/>
      </w:pPr>
      <w:r>
        <w:tab/>
        <w:t>2. Na Sessão de 7/12/2016, o Plenário apreciou os estudos de viabilidade técnica e econômica do objeto da licitação e, na ocasião, proferiu o Acórdão 3.169/2016 (peça 12)</w:t>
      </w:r>
      <w:r w:rsidR="00AA4BFB">
        <w:t xml:space="preserve"> sem o apontamento de inconformidades nos documentos auditados.</w:t>
      </w:r>
    </w:p>
    <w:p w14:paraId="66A3E857" w14:textId="77777777" w:rsidR="00AA4BFB" w:rsidRDefault="00AA4BFB" w:rsidP="0040496D">
      <w:pPr>
        <w:pStyle w:val="TCU-Epgrafe"/>
        <w:tabs>
          <w:tab w:val="left" w:pos="1134"/>
        </w:tabs>
        <w:ind w:left="0"/>
      </w:pPr>
      <w:r>
        <w:tab/>
        <w:t>3. Nesta fase processual, apreciam-se os segundo, terceiro e quarto estágios de que tratam a citada IN. Adiante, reproduzo trechos das análises da SeinfraPetróleo a respeito de cada uma dessas etapas.</w:t>
      </w:r>
    </w:p>
    <w:p w14:paraId="39153E67" w14:textId="77777777" w:rsidR="00AA4BFB" w:rsidRPr="001A636B" w:rsidRDefault="00AA4BFB" w:rsidP="00AA4BFB">
      <w:pPr>
        <w:pStyle w:val="TCU-Epgrafe"/>
        <w:tabs>
          <w:tab w:val="left" w:pos="1134"/>
        </w:tabs>
        <w:spacing w:before="120"/>
        <w:ind w:left="0"/>
        <w:rPr>
          <w:b/>
        </w:rPr>
      </w:pPr>
      <w:r w:rsidRPr="001A636B">
        <w:rPr>
          <w:b/>
        </w:rPr>
        <w:t>I - SEGUNDO ESTÁGIO (peça 26):</w:t>
      </w:r>
    </w:p>
    <w:p w14:paraId="7F07C55D" w14:textId="77777777" w:rsidR="00AA4BFB" w:rsidRPr="00AA4BFB" w:rsidRDefault="00AA4BFB" w:rsidP="00AA4BFB">
      <w:pPr>
        <w:tabs>
          <w:tab w:val="left" w:pos="1134"/>
        </w:tabs>
        <w:spacing w:before="120"/>
        <w:jc w:val="both"/>
        <w:rPr>
          <w:i/>
          <w:spacing w:val="-5"/>
        </w:rPr>
      </w:pPr>
      <w:r>
        <w:rPr>
          <w:spacing w:val="-5"/>
        </w:rPr>
        <w:t xml:space="preserve">“8. </w:t>
      </w:r>
      <w:r w:rsidRPr="00AA4BFB">
        <w:rPr>
          <w:i/>
          <w:spacing w:val="-5"/>
        </w:rPr>
        <w:t>Conforme disposto no inciso II, do art. 7° da IN TCU 27/1998, os documentos objeto de análise no Segundo Estágio são:</w:t>
      </w:r>
    </w:p>
    <w:p w14:paraId="682B79B8" w14:textId="77777777" w:rsidR="00AA4BFB" w:rsidRPr="00AA4BFB" w:rsidRDefault="00AA4BFB" w:rsidP="00AA4BFB">
      <w:pPr>
        <w:tabs>
          <w:tab w:val="left" w:pos="1701"/>
        </w:tabs>
        <w:ind w:left="1701" w:hanging="567"/>
        <w:jc w:val="both"/>
        <w:rPr>
          <w:i/>
        </w:rPr>
      </w:pPr>
      <w:r w:rsidRPr="00AA4BFB">
        <w:rPr>
          <w:i/>
          <w:spacing w:val="-2"/>
          <w:szCs w:val="24"/>
        </w:rPr>
        <w:t>a)</w:t>
      </w:r>
      <w:r w:rsidRPr="00AA4BFB">
        <w:rPr>
          <w:i/>
          <w:spacing w:val="-2"/>
          <w:szCs w:val="24"/>
        </w:rPr>
        <w:tab/>
      </w:r>
      <w:r w:rsidRPr="00AA4BFB">
        <w:rPr>
          <w:i/>
        </w:rPr>
        <w:t>Edital de pré-qualificação;</w:t>
      </w:r>
    </w:p>
    <w:p w14:paraId="66E96846" w14:textId="77777777" w:rsidR="00AA4BFB" w:rsidRPr="00AA4BFB" w:rsidRDefault="00AA4BFB" w:rsidP="00AA4BFB">
      <w:pPr>
        <w:tabs>
          <w:tab w:val="left" w:pos="1701"/>
        </w:tabs>
        <w:ind w:left="1701" w:hanging="567"/>
        <w:jc w:val="both"/>
        <w:rPr>
          <w:i/>
        </w:rPr>
      </w:pPr>
      <w:r w:rsidRPr="00AA4BFB">
        <w:rPr>
          <w:i/>
          <w:spacing w:val="-2"/>
          <w:szCs w:val="24"/>
        </w:rPr>
        <w:t>b)</w:t>
      </w:r>
      <w:r w:rsidRPr="00AA4BFB">
        <w:rPr>
          <w:i/>
          <w:spacing w:val="-2"/>
          <w:szCs w:val="24"/>
        </w:rPr>
        <w:tab/>
      </w:r>
      <w:r w:rsidRPr="00AA4BFB">
        <w:rPr>
          <w:i/>
        </w:rPr>
        <w:t>Atas de abertura e de encerramento da pré-qualificação;</w:t>
      </w:r>
    </w:p>
    <w:p w14:paraId="23523CDE" w14:textId="77777777" w:rsidR="00AA4BFB" w:rsidRPr="00AA4BFB" w:rsidRDefault="00AA4BFB" w:rsidP="00AA4BFB">
      <w:pPr>
        <w:tabs>
          <w:tab w:val="left" w:pos="1701"/>
        </w:tabs>
        <w:ind w:left="1701" w:hanging="567"/>
        <w:jc w:val="both"/>
        <w:rPr>
          <w:i/>
        </w:rPr>
      </w:pPr>
      <w:r w:rsidRPr="00AA4BFB">
        <w:rPr>
          <w:i/>
          <w:spacing w:val="-2"/>
          <w:szCs w:val="24"/>
        </w:rPr>
        <w:t>c)</w:t>
      </w:r>
      <w:r w:rsidRPr="00AA4BFB">
        <w:rPr>
          <w:i/>
          <w:spacing w:val="-2"/>
          <w:szCs w:val="24"/>
        </w:rPr>
        <w:tab/>
      </w:r>
      <w:r w:rsidRPr="00AA4BFB">
        <w:rPr>
          <w:i/>
        </w:rPr>
        <w:t>Relatório de julgamento da pré-qualificação;</w:t>
      </w:r>
    </w:p>
    <w:p w14:paraId="24F5D8A8" w14:textId="77777777" w:rsidR="00AA4BFB" w:rsidRPr="00AA4BFB" w:rsidRDefault="00AA4BFB" w:rsidP="00AA4BFB">
      <w:pPr>
        <w:tabs>
          <w:tab w:val="left" w:pos="1701"/>
        </w:tabs>
        <w:ind w:left="1701" w:hanging="567"/>
        <w:jc w:val="both"/>
        <w:rPr>
          <w:i/>
        </w:rPr>
      </w:pPr>
      <w:r w:rsidRPr="00AA4BFB">
        <w:rPr>
          <w:i/>
          <w:spacing w:val="-2"/>
          <w:szCs w:val="24"/>
        </w:rPr>
        <w:t>d)</w:t>
      </w:r>
      <w:r w:rsidRPr="00AA4BFB">
        <w:rPr>
          <w:i/>
          <w:spacing w:val="-2"/>
          <w:szCs w:val="24"/>
        </w:rPr>
        <w:tab/>
      </w:r>
      <w:r w:rsidRPr="00AA4BFB">
        <w:rPr>
          <w:i/>
        </w:rPr>
        <w:t>Recursos eventualmente</w:t>
      </w:r>
      <w:r w:rsidRPr="00AA4BFB">
        <w:rPr>
          <w:i/>
        </w:rPr>
        <w:tab/>
        <w:t>interpostos e decisões proferidas referentes à pré-qualificação;</w:t>
      </w:r>
    </w:p>
    <w:p w14:paraId="06856DDE" w14:textId="77777777" w:rsidR="00AA4BFB" w:rsidRPr="00AA4BFB" w:rsidRDefault="00AA4BFB" w:rsidP="00AA4BFB">
      <w:pPr>
        <w:tabs>
          <w:tab w:val="left" w:pos="1701"/>
        </w:tabs>
        <w:ind w:left="1701" w:hanging="567"/>
        <w:jc w:val="both"/>
        <w:rPr>
          <w:i/>
        </w:rPr>
      </w:pPr>
      <w:r w:rsidRPr="00AA4BFB">
        <w:rPr>
          <w:i/>
          <w:spacing w:val="-2"/>
          <w:szCs w:val="24"/>
        </w:rPr>
        <w:t>e)</w:t>
      </w:r>
      <w:r w:rsidRPr="00AA4BFB">
        <w:rPr>
          <w:i/>
          <w:spacing w:val="-2"/>
          <w:szCs w:val="24"/>
        </w:rPr>
        <w:tab/>
      </w:r>
      <w:r w:rsidRPr="00AA4BFB">
        <w:rPr>
          <w:i/>
        </w:rPr>
        <w:t>Edital de licitação;</w:t>
      </w:r>
    </w:p>
    <w:p w14:paraId="47D4800A" w14:textId="77777777" w:rsidR="00AA4BFB" w:rsidRPr="00AA4BFB" w:rsidRDefault="00AA4BFB" w:rsidP="00AA4BFB">
      <w:pPr>
        <w:tabs>
          <w:tab w:val="left" w:pos="1701"/>
        </w:tabs>
        <w:ind w:left="1701" w:hanging="567"/>
        <w:jc w:val="both"/>
        <w:rPr>
          <w:i/>
        </w:rPr>
      </w:pPr>
      <w:r w:rsidRPr="00AA4BFB">
        <w:rPr>
          <w:i/>
          <w:spacing w:val="-2"/>
          <w:szCs w:val="24"/>
        </w:rPr>
        <w:t>f)</w:t>
      </w:r>
      <w:r w:rsidRPr="00AA4BFB">
        <w:rPr>
          <w:i/>
          <w:spacing w:val="-2"/>
          <w:szCs w:val="24"/>
        </w:rPr>
        <w:tab/>
      </w:r>
      <w:r w:rsidRPr="00AA4BFB">
        <w:rPr>
          <w:i/>
        </w:rPr>
        <w:t>Minuta de contrato;</w:t>
      </w:r>
    </w:p>
    <w:p w14:paraId="3E40E7C9" w14:textId="77777777" w:rsidR="00AA4BFB" w:rsidRPr="00AA4BFB" w:rsidRDefault="00AA4BFB" w:rsidP="00AA4BFB">
      <w:pPr>
        <w:tabs>
          <w:tab w:val="left" w:pos="1701"/>
        </w:tabs>
        <w:ind w:left="1701" w:hanging="567"/>
        <w:jc w:val="both"/>
        <w:rPr>
          <w:i/>
        </w:rPr>
      </w:pPr>
      <w:r w:rsidRPr="00AA4BFB">
        <w:rPr>
          <w:i/>
          <w:spacing w:val="-2"/>
          <w:szCs w:val="24"/>
        </w:rPr>
        <w:t>g)</w:t>
      </w:r>
      <w:r w:rsidRPr="00AA4BFB">
        <w:rPr>
          <w:i/>
          <w:spacing w:val="-2"/>
          <w:szCs w:val="24"/>
        </w:rPr>
        <w:tab/>
      </w:r>
      <w:r w:rsidRPr="00AA4BFB">
        <w:rPr>
          <w:i/>
        </w:rPr>
        <w:t xml:space="preserve">Todas as comunicações e esclarecimentos porventura encaminhados às empresas participantes da licitação, </w:t>
      </w:r>
      <w:r w:rsidRPr="00AA4BFB">
        <w:rPr>
          <w:i/>
          <w:spacing w:val="4"/>
        </w:rPr>
        <w:t xml:space="preserve">bem </w:t>
      </w:r>
      <w:r w:rsidRPr="00AA4BFB">
        <w:rPr>
          <w:i/>
        </w:rPr>
        <w:t>como as impugnações ao edital, acompanhadas das respectivas</w:t>
      </w:r>
      <w:r w:rsidRPr="00AA4BFB">
        <w:rPr>
          <w:i/>
          <w:spacing w:val="-20"/>
        </w:rPr>
        <w:t xml:space="preserve"> </w:t>
      </w:r>
      <w:r w:rsidRPr="00AA4BFB">
        <w:rPr>
          <w:i/>
        </w:rPr>
        <w:t>respostas.</w:t>
      </w:r>
    </w:p>
    <w:p w14:paraId="5B08CFED" w14:textId="77777777" w:rsidR="00AA4BFB" w:rsidRPr="00AA4BFB" w:rsidRDefault="00AA4BFB" w:rsidP="00AA4BFB">
      <w:pPr>
        <w:tabs>
          <w:tab w:val="left" w:pos="1134"/>
        </w:tabs>
        <w:jc w:val="both"/>
        <w:rPr>
          <w:i/>
          <w:spacing w:val="-5"/>
        </w:rPr>
      </w:pPr>
      <w:r w:rsidRPr="00AA4BFB">
        <w:rPr>
          <w:i/>
          <w:spacing w:val="-22"/>
          <w:szCs w:val="24"/>
        </w:rPr>
        <w:t>9.</w:t>
      </w:r>
      <w:r w:rsidR="001A636B">
        <w:rPr>
          <w:i/>
          <w:spacing w:val="-22"/>
          <w:szCs w:val="24"/>
        </w:rPr>
        <w:t xml:space="preserve"> </w:t>
      </w:r>
      <w:r w:rsidRPr="00AA4BFB">
        <w:rPr>
          <w:i/>
          <w:spacing w:val="-5"/>
        </w:rPr>
        <w:t xml:space="preserve">A 4ª Rodada-AM é orientada pela Resolução ANP 18/2015 e a principal inovação trazida por esse regulamento decorre da inversão das fases de qualificação e julgamento das ofertas, que consiste na </w:t>
      </w:r>
      <w:r w:rsidRPr="00AA4BFB">
        <w:rPr>
          <w:i/>
          <w:spacing w:val="-5"/>
        </w:rPr>
        <w:lastRenderedPageBreak/>
        <w:t>realização da qualificação apenas das licitantes vencedoras posteriormente à sessão pública de apresentação de ofertas.</w:t>
      </w:r>
    </w:p>
    <w:p w14:paraId="7C1DA2FE" w14:textId="77777777" w:rsidR="00AA4BFB" w:rsidRPr="00AA4BFB" w:rsidRDefault="00AA4BFB" w:rsidP="00AA4BFB">
      <w:pPr>
        <w:tabs>
          <w:tab w:val="left" w:pos="1134"/>
        </w:tabs>
        <w:jc w:val="both"/>
        <w:rPr>
          <w:i/>
          <w:spacing w:val="-5"/>
        </w:rPr>
      </w:pPr>
      <w:r w:rsidRPr="00AA4BFB">
        <w:rPr>
          <w:i/>
          <w:spacing w:val="-22"/>
          <w:szCs w:val="24"/>
        </w:rPr>
        <w:t>10.</w:t>
      </w:r>
      <w:r w:rsidR="001A636B">
        <w:rPr>
          <w:i/>
          <w:spacing w:val="-22"/>
          <w:szCs w:val="24"/>
        </w:rPr>
        <w:t xml:space="preserve"> </w:t>
      </w:r>
      <w:r w:rsidRPr="00AA4BFB">
        <w:rPr>
          <w:i/>
          <w:spacing w:val="-5"/>
        </w:rPr>
        <w:t>Com a inversão de fases, a partir da publicação do pré-edital, a rodada de licitações passou a ser constituída das seguintes etapas: audiência pública (que foi precedida de consulta pública); publicação do edital; inscrição e pagamento da taxa de participação; aporte de garantias de oferta; apresentação e julgamento de ofertas; qualificação das licitantes vencedoras da sessão pública de apresentação de ofertas; adjudicação do objeto e homologação da licitação; e assinatura dos contratos de concessão.</w:t>
      </w:r>
    </w:p>
    <w:p w14:paraId="1802D9B2" w14:textId="77777777" w:rsidR="00AA4BFB" w:rsidRPr="00AA4BFB" w:rsidRDefault="00AA4BFB" w:rsidP="00AA4BFB">
      <w:pPr>
        <w:tabs>
          <w:tab w:val="left" w:pos="1134"/>
        </w:tabs>
        <w:jc w:val="both"/>
        <w:rPr>
          <w:i/>
          <w:spacing w:val="-5"/>
        </w:rPr>
      </w:pPr>
      <w:r w:rsidRPr="00AA4BFB">
        <w:rPr>
          <w:i/>
          <w:spacing w:val="-22"/>
          <w:szCs w:val="24"/>
        </w:rPr>
        <w:t>11.</w:t>
      </w:r>
      <w:r w:rsidR="001A636B">
        <w:rPr>
          <w:i/>
          <w:spacing w:val="-22"/>
          <w:szCs w:val="24"/>
        </w:rPr>
        <w:t xml:space="preserve"> </w:t>
      </w:r>
      <w:r w:rsidRPr="00AA4BFB">
        <w:rPr>
          <w:i/>
          <w:spacing w:val="-5"/>
        </w:rPr>
        <w:t xml:space="preserve">Como o edital de licitação da 4ª Rodada-AM não dispôs sobre pré-qualificação, submetendo apenas as licitantes vencedoras à verificação de qualificação, as etapas previstas nos itens ‘a’, ‘b’, ‘c’ e ‘d’ do inciso II, do art. 7° da IN TCU 27/1998, acima dispostas, ficaram suprimidas, sendo a etapa de habilitação avaliada no Terceiro Estágio. </w:t>
      </w:r>
    </w:p>
    <w:p w14:paraId="40663909" w14:textId="77777777" w:rsidR="00AA4BFB" w:rsidRPr="00AA4BFB" w:rsidRDefault="00AA4BFB" w:rsidP="00AA4BFB">
      <w:pPr>
        <w:tabs>
          <w:tab w:val="left" w:pos="1134"/>
        </w:tabs>
        <w:jc w:val="both"/>
        <w:rPr>
          <w:i/>
          <w:spacing w:val="-5"/>
        </w:rPr>
      </w:pPr>
      <w:r w:rsidRPr="00AA4BFB">
        <w:rPr>
          <w:i/>
          <w:spacing w:val="-22"/>
          <w:szCs w:val="24"/>
        </w:rPr>
        <w:t>12.</w:t>
      </w:r>
      <w:r w:rsidR="001A636B">
        <w:rPr>
          <w:i/>
          <w:spacing w:val="-22"/>
          <w:szCs w:val="24"/>
        </w:rPr>
        <w:t xml:space="preserve"> </w:t>
      </w:r>
      <w:r w:rsidRPr="00AA4BFB">
        <w:rPr>
          <w:i/>
          <w:spacing w:val="-5"/>
        </w:rPr>
        <w:t xml:space="preserve">Conforme procedimento adotado na análise de rodadas anteriores, neste Segundo Estágio, os documentos a serem analisados são compostos estritamente pelo pré-edital, edital de licitação, minuta de contrato, comunicações e esclarecimentos encaminhados às empresas, impugnações e respectivas respostas. </w:t>
      </w:r>
    </w:p>
    <w:p w14:paraId="2CA6F107" w14:textId="77777777" w:rsidR="00AA4BFB" w:rsidRPr="00FC2C70" w:rsidRDefault="00AA4BFB" w:rsidP="00AA4BFB">
      <w:pPr>
        <w:tabs>
          <w:tab w:val="left" w:pos="1134"/>
        </w:tabs>
        <w:ind w:left="1134" w:hanging="1134"/>
        <w:jc w:val="both"/>
        <w:rPr>
          <w:i/>
        </w:rPr>
      </w:pPr>
      <w:r w:rsidRPr="00AA4BFB">
        <w:rPr>
          <w:i/>
        </w:rPr>
        <w:t>III.1</w:t>
      </w:r>
      <w:r w:rsidR="001A636B">
        <w:rPr>
          <w:i/>
        </w:rPr>
        <w:t xml:space="preserve"> </w:t>
      </w:r>
      <w:r w:rsidRPr="00FC2C70">
        <w:rPr>
          <w:i/>
        </w:rPr>
        <w:t>Pré-edital</w:t>
      </w:r>
    </w:p>
    <w:p w14:paraId="1B795C75" w14:textId="77777777" w:rsidR="00AA4BFB" w:rsidRPr="00FC2C70" w:rsidRDefault="00AA4BFB" w:rsidP="00AA4BFB">
      <w:pPr>
        <w:tabs>
          <w:tab w:val="left" w:pos="1134"/>
        </w:tabs>
        <w:jc w:val="both"/>
        <w:rPr>
          <w:i/>
          <w:spacing w:val="-5"/>
        </w:rPr>
      </w:pPr>
      <w:r w:rsidRPr="00FC2C70">
        <w:rPr>
          <w:i/>
          <w:spacing w:val="-22"/>
          <w:szCs w:val="24"/>
        </w:rPr>
        <w:t>13.</w:t>
      </w:r>
      <w:r w:rsidR="001A636B" w:rsidRPr="00FC2C70">
        <w:rPr>
          <w:i/>
          <w:spacing w:val="-22"/>
          <w:szCs w:val="24"/>
        </w:rPr>
        <w:t xml:space="preserve"> </w:t>
      </w:r>
      <w:r w:rsidRPr="00FC2C70">
        <w:rPr>
          <w:i/>
          <w:spacing w:val="-5"/>
        </w:rPr>
        <w:t>O pré-edital (peça 1, itens não digitalizáveis) apresenta, preliminarmente, as normas que deverão ser obedecidas pelas empresas interessadas em participar do certame e as regras da licitação, que devem ser colocadas em consulta e audiência públicas para comentários e sugestões.</w:t>
      </w:r>
    </w:p>
    <w:p w14:paraId="19DCAFDA" w14:textId="77777777" w:rsidR="00AA4BFB" w:rsidRPr="00AA4BFB" w:rsidRDefault="00AA4BFB" w:rsidP="00AA4BFB">
      <w:pPr>
        <w:tabs>
          <w:tab w:val="left" w:pos="1134"/>
        </w:tabs>
        <w:jc w:val="both"/>
        <w:rPr>
          <w:i/>
          <w:spacing w:val="-5"/>
        </w:rPr>
      </w:pPr>
      <w:r w:rsidRPr="00FC2C70">
        <w:rPr>
          <w:i/>
          <w:spacing w:val="-22"/>
          <w:szCs w:val="24"/>
        </w:rPr>
        <w:t>14.</w:t>
      </w:r>
      <w:r w:rsidR="001A636B" w:rsidRPr="00FC2C70">
        <w:rPr>
          <w:i/>
          <w:spacing w:val="-22"/>
          <w:szCs w:val="24"/>
        </w:rPr>
        <w:t xml:space="preserve"> </w:t>
      </w:r>
      <w:r w:rsidRPr="00FC2C70">
        <w:rPr>
          <w:i/>
          <w:spacing w:val="-5"/>
        </w:rPr>
        <w:t>O pré-edital de licitação e a minuta do contrato de concessão foram publicados em 29/9/2016 e encaminhados ao TCU no dia 11/10/2016 (peça 1), extrapolando o prazo previsto no art. 8º da IN/TCU 27/1998 (cinco dias, no máximo, após a publicação).</w:t>
      </w:r>
    </w:p>
    <w:p w14:paraId="4252EC47" w14:textId="77777777" w:rsidR="00AA4BFB" w:rsidRPr="00AA4BFB" w:rsidRDefault="00AA4BFB" w:rsidP="00AA4BFB">
      <w:pPr>
        <w:tabs>
          <w:tab w:val="left" w:pos="1134"/>
        </w:tabs>
        <w:jc w:val="both"/>
        <w:rPr>
          <w:i/>
          <w:spacing w:val="-5"/>
        </w:rPr>
      </w:pPr>
      <w:r w:rsidRPr="00AA4BFB">
        <w:rPr>
          <w:i/>
          <w:spacing w:val="-22"/>
          <w:szCs w:val="24"/>
        </w:rPr>
        <w:t>15.</w:t>
      </w:r>
      <w:r w:rsidR="001A636B">
        <w:rPr>
          <w:i/>
          <w:spacing w:val="-22"/>
          <w:szCs w:val="24"/>
        </w:rPr>
        <w:t xml:space="preserve"> </w:t>
      </w:r>
      <w:r w:rsidRPr="00AA4BFB">
        <w:rPr>
          <w:i/>
          <w:spacing w:val="-5"/>
        </w:rPr>
        <w:t>Em seguida, foi realizada, pela ANP, a consulta pública, cujo prazo terminou em 14/11/2016, e a Audiência Pública 18/2016, em 21/11/2016, para aperfeiçoamento do edital de licitação.</w:t>
      </w:r>
    </w:p>
    <w:p w14:paraId="023F2E79" w14:textId="77777777" w:rsidR="00AA4BFB" w:rsidRPr="00AA4BFB" w:rsidRDefault="00AA4BFB" w:rsidP="00AA4BFB">
      <w:pPr>
        <w:tabs>
          <w:tab w:val="left" w:pos="1134"/>
        </w:tabs>
        <w:jc w:val="both"/>
        <w:rPr>
          <w:i/>
          <w:spacing w:val="-5"/>
        </w:rPr>
      </w:pPr>
      <w:r w:rsidRPr="00AA4BFB">
        <w:rPr>
          <w:i/>
          <w:spacing w:val="-22"/>
          <w:szCs w:val="24"/>
        </w:rPr>
        <w:t>16.</w:t>
      </w:r>
      <w:r w:rsidR="001A636B">
        <w:rPr>
          <w:i/>
          <w:spacing w:val="-22"/>
          <w:szCs w:val="24"/>
        </w:rPr>
        <w:t xml:space="preserve"> </w:t>
      </w:r>
      <w:r w:rsidRPr="00AA4BFB">
        <w:rPr>
          <w:i/>
          <w:spacing w:val="-5"/>
        </w:rPr>
        <w:t>O art. 7º do Regulamento anexo à Resolução ANP 18/2015 (peça 1, itens não digitalizáveis), estabelece elementos essenciais que devem estar contidos no pré-edital.</w:t>
      </w:r>
    </w:p>
    <w:p w14:paraId="4CE680CB" w14:textId="77777777" w:rsidR="00AA4BFB" w:rsidRPr="00AA4BFB" w:rsidRDefault="00AA4BFB" w:rsidP="00AA4BFB">
      <w:pPr>
        <w:tabs>
          <w:tab w:val="left" w:pos="1134"/>
        </w:tabs>
        <w:jc w:val="both"/>
        <w:rPr>
          <w:i/>
          <w:spacing w:val="-5"/>
        </w:rPr>
      </w:pPr>
      <w:r w:rsidRPr="00AA4BFB">
        <w:rPr>
          <w:i/>
          <w:spacing w:val="-22"/>
          <w:szCs w:val="24"/>
        </w:rPr>
        <w:t>17.</w:t>
      </w:r>
      <w:r w:rsidR="001A636B">
        <w:rPr>
          <w:i/>
          <w:spacing w:val="-22"/>
          <w:szCs w:val="24"/>
        </w:rPr>
        <w:t xml:space="preserve"> </w:t>
      </w:r>
      <w:r w:rsidRPr="00AA4BFB">
        <w:rPr>
          <w:i/>
          <w:spacing w:val="-5"/>
        </w:rPr>
        <w:t xml:space="preserve">Salienta-se que os documentos atenderam às exigências mínimas estabelecidas pela legislação. A verificação de cada um dos elementos essenciais consta no quadro I, a seguir: </w:t>
      </w:r>
    </w:p>
    <w:p w14:paraId="41E7C55D" w14:textId="77777777" w:rsidR="00AA4BFB" w:rsidRPr="00AA4BFB" w:rsidRDefault="00AA4BFB" w:rsidP="00AA4BFB">
      <w:pPr>
        <w:pStyle w:val="Ttulo1"/>
        <w:ind w:right="2"/>
        <w:jc w:val="center"/>
        <w:rPr>
          <w:i/>
          <w:color w:val="auto"/>
        </w:rPr>
      </w:pPr>
      <w:r w:rsidRPr="00AA4BFB">
        <w:rPr>
          <w:i/>
          <w:color w:val="auto"/>
        </w:rPr>
        <w:t>Quadro I - Verificação de itens constantes do Pré-Edital</w:t>
      </w:r>
    </w:p>
    <w:tbl>
      <w:tblPr>
        <w:tblStyle w:val="TableNormal0"/>
        <w:tblW w:w="0" w:type="auto"/>
        <w:tblInd w:w="1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3"/>
        <w:gridCol w:w="1487"/>
        <w:gridCol w:w="1456"/>
      </w:tblGrid>
      <w:tr w:rsidR="00AA4BFB" w:rsidRPr="00AA4BFB" w14:paraId="1D70802D" w14:textId="77777777">
        <w:trPr>
          <w:trHeight w:hRule="exact" w:val="255"/>
          <w:tblHeader/>
        </w:trPr>
        <w:tc>
          <w:tcPr>
            <w:tcW w:w="6773" w:type="dxa"/>
            <w:shd w:val="clear" w:color="auto" w:fill="BEBEBE"/>
            <w:tcMar>
              <w:top w:w="0" w:type="dxa"/>
              <w:left w:w="0" w:type="dxa"/>
              <w:bottom w:w="0" w:type="dxa"/>
              <w:right w:w="0" w:type="dxa"/>
            </w:tcMar>
          </w:tcPr>
          <w:p w14:paraId="738B548D" w14:textId="77777777" w:rsidR="00AA4BFB" w:rsidRPr="00AA4BFB" w:rsidRDefault="00AA4BFB" w:rsidP="00AA4BFB">
            <w:pPr>
              <w:pStyle w:val="TableParagraph"/>
              <w:spacing w:line="243" w:lineRule="exact"/>
              <w:jc w:val="center"/>
              <w:rPr>
                <w:b/>
                <w:i/>
                <w:sz w:val="24"/>
                <w:szCs w:val="24"/>
              </w:rPr>
            </w:pPr>
            <w:r w:rsidRPr="00AA4BFB">
              <w:rPr>
                <w:b/>
                <w:i/>
                <w:sz w:val="24"/>
                <w:szCs w:val="24"/>
              </w:rPr>
              <w:t>Itens  de verificação</w:t>
            </w:r>
          </w:p>
        </w:tc>
        <w:tc>
          <w:tcPr>
            <w:tcW w:w="1487" w:type="dxa"/>
            <w:shd w:val="clear" w:color="auto" w:fill="BEBEBE"/>
            <w:tcMar>
              <w:top w:w="0" w:type="dxa"/>
              <w:left w:w="0" w:type="dxa"/>
              <w:bottom w:w="0" w:type="dxa"/>
              <w:right w:w="0" w:type="dxa"/>
            </w:tcMar>
          </w:tcPr>
          <w:p w14:paraId="4337A846" w14:textId="77777777" w:rsidR="00AA4BFB" w:rsidRPr="00AA4BFB" w:rsidRDefault="00AA4BFB" w:rsidP="00AA4BFB">
            <w:pPr>
              <w:pStyle w:val="TableParagraph"/>
              <w:spacing w:line="243" w:lineRule="exact"/>
              <w:ind w:left="46" w:right="40"/>
              <w:jc w:val="center"/>
              <w:rPr>
                <w:b/>
                <w:i/>
                <w:sz w:val="24"/>
                <w:szCs w:val="24"/>
              </w:rPr>
            </w:pPr>
            <w:r w:rsidRPr="00AA4BFB">
              <w:rPr>
                <w:b/>
                <w:i/>
                <w:sz w:val="24"/>
                <w:szCs w:val="24"/>
              </w:rPr>
              <w:t>Seção</w:t>
            </w:r>
          </w:p>
        </w:tc>
        <w:tc>
          <w:tcPr>
            <w:tcW w:w="1456" w:type="dxa"/>
            <w:shd w:val="clear" w:color="auto" w:fill="BEBEBE"/>
            <w:tcMar>
              <w:top w:w="0" w:type="dxa"/>
              <w:left w:w="0" w:type="dxa"/>
              <w:bottom w:w="0" w:type="dxa"/>
              <w:right w:w="0" w:type="dxa"/>
            </w:tcMar>
          </w:tcPr>
          <w:p w14:paraId="493F536E" w14:textId="77777777" w:rsidR="00AA4BFB" w:rsidRPr="00AA4BFB" w:rsidRDefault="00AA4BFB" w:rsidP="00AA4BFB">
            <w:pPr>
              <w:pStyle w:val="TableParagraph"/>
              <w:spacing w:line="243" w:lineRule="exact"/>
              <w:ind w:left="529" w:right="519"/>
              <w:jc w:val="center"/>
              <w:rPr>
                <w:b/>
                <w:i/>
                <w:sz w:val="24"/>
                <w:szCs w:val="24"/>
              </w:rPr>
            </w:pPr>
            <w:r w:rsidRPr="00AA4BFB">
              <w:rPr>
                <w:b/>
                <w:i/>
                <w:sz w:val="24"/>
                <w:szCs w:val="24"/>
              </w:rPr>
              <w:t>fls.</w:t>
            </w:r>
          </w:p>
        </w:tc>
      </w:tr>
      <w:tr w:rsidR="00AA4BFB" w:rsidRPr="00AA4BFB" w14:paraId="4DCC487B" w14:textId="77777777">
        <w:trPr>
          <w:trHeight w:hRule="exact" w:val="271"/>
        </w:trPr>
        <w:tc>
          <w:tcPr>
            <w:tcW w:w="6773" w:type="dxa"/>
            <w:tcMar>
              <w:top w:w="0" w:type="dxa"/>
              <w:left w:w="0" w:type="dxa"/>
              <w:bottom w:w="0" w:type="dxa"/>
              <w:right w:w="0" w:type="dxa"/>
            </w:tcMar>
          </w:tcPr>
          <w:p w14:paraId="7FF1F052" w14:textId="77777777" w:rsidR="00AA4BFB" w:rsidRPr="00AA4BFB" w:rsidRDefault="00AA4BFB" w:rsidP="00AA4BFB">
            <w:pPr>
              <w:pStyle w:val="TableParagraph"/>
              <w:spacing w:line="228" w:lineRule="exact"/>
              <w:ind w:left="45"/>
              <w:jc w:val="both"/>
              <w:rPr>
                <w:i/>
                <w:sz w:val="24"/>
                <w:szCs w:val="24"/>
              </w:rPr>
            </w:pPr>
            <w:r w:rsidRPr="00AA4BFB">
              <w:rPr>
                <w:i/>
                <w:sz w:val="24"/>
                <w:szCs w:val="24"/>
              </w:rPr>
              <w:t>1. Objeto da licitação.</w:t>
            </w:r>
          </w:p>
        </w:tc>
        <w:tc>
          <w:tcPr>
            <w:tcW w:w="1487" w:type="dxa"/>
            <w:tcMar>
              <w:top w:w="0" w:type="dxa"/>
              <w:left w:w="0" w:type="dxa"/>
              <w:bottom w:w="0" w:type="dxa"/>
              <w:right w:w="0" w:type="dxa"/>
            </w:tcMar>
          </w:tcPr>
          <w:p w14:paraId="7F9D7FE8" w14:textId="77777777" w:rsidR="00AA4BFB" w:rsidRPr="00AA4BFB" w:rsidRDefault="00AA4BFB" w:rsidP="00AA4BFB">
            <w:pPr>
              <w:pStyle w:val="TableParagraph"/>
              <w:spacing w:line="228" w:lineRule="exact"/>
              <w:ind w:left="22"/>
              <w:jc w:val="center"/>
              <w:rPr>
                <w:i/>
                <w:sz w:val="24"/>
                <w:szCs w:val="24"/>
              </w:rPr>
            </w:pPr>
            <w:r w:rsidRPr="00AA4BFB">
              <w:rPr>
                <w:i/>
                <w:w w:val="102"/>
                <w:sz w:val="24"/>
                <w:szCs w:val="24"/>
              </w:rPr>
              <w:t>2</w:t>
            </w:r>
          </w:p>
        </w:tc>
        <w:tc>
          <w:tcPr>
            <w:tcW w:w="1456" w:type="dxa"/>
            <w:tcMar>
              <w:top w:w="0" w:type="dxa"/>
              <w:left w:w="0" w:type="dxa"/>
              <w:bottom w:w="0" w:type="dxa"/>
              <w:right w:w="0" w:type="dxa"/>
            </w:tcMar>
          </w:tcPr>
          <w:p w14:paraId="5840ECE1" w14:textId="77777777" w:rsidR="00AA4BFB" w:rsidRPr="00AA4BFB" w:rsidRDefault="00AA4BFB" w:rsidP="00AA4BFB">
            <w:pPr>
              <w:pStyle w:val="TableParagraph"/>
              <w:spacing w:line="228" w:lineRule="exact"/>
              <w:jc w:val="center"/>
              <w:rPr>
                <w:i/>
                <w:sz w:val="24"/>
                <w:szCs w:val="24"/>
              </w:rPr>
            </w:pPr>
            <w:r w:rsidRPr="00AA4BFB">
              <w:rPr>
                <w:i/>
                <w:sz w:val="24"/>
                <w:szCs w:val="24"/>
              </w:rPr>
              <w:t>11-13</w:t>
            </w:r>
          </w:p>
        </w:tc>
      </w:tr>
      <w:tr w:rsidR="00AA4BFB" w:rsidRPr="00AA4BFB" w14:paraId="711CFB6E" w14:textId="77777777">
        <w:trPr>
          <w:trHeight w:hRule="exact" w:val="257"/>
        </w:trPr>
        <w:tc>
          <w:tcPr>
            <w:tcW w:w="6773" w:type="dxa"/>
            <w:tcMar>
              <w:top w:w="0" w:type="dxa"/>
              <w:left w:w="0" w:type="dxa"/>
              <w:bottom w:w="0" w:type="dxa"/>
              <w:right w:w="0" w:type="dxa"/>
            </w:tcMar>
          </w:tcPr>
          <w:p w14:paraId="3105813C" w14:textId="77777777" w:rsidR="00AA4BFB" w:rsidRPr="00AA4BFB" w:rsidRDefault="00AA4BFB" w:rsidP="00AA4BFB">
            <w:pPr>
              <w:pStyle w:val="TableParagraph"/>
              <w:spacing w:line="213" w:lineRule="exact"/>
              <w:ind w:left="45"/>
              <w:jc w:val="both"/>
              <w:rPr>
                <w:i/>
                <w:sz w:val="24"/>
                <w:szCs w:val="24"/>
                <w:lang w:val="pt-BR"/>
              </w:rPr>
            </w:pPr>
            <w:r w:rsidRPr="00AA4BFB">
              <w:rPr>
                <w:i/>
                <w:sz w:val="24"/>
                <w:szCs w:val="24"/>
                <w:lang w:val="pt-BR"/>
              </w:rPr>
              <w:t>2. Cronograma da licitação.</w:t>
            </w:r>
          </w:p>
        </w:tc>
        <w:tc>
          <w:tcPr>
            <w:tcW w:w="1487" w:type="dxa"/>
            <w:tcMar>
              <w:top w:w="0" w:type="dxa"/>
              <w:left w:w="0" w:type="dxa"/>
              <w:bottom w:w="0" w:type="dxa"/>
              <w:right w:w="0" w:type="dxa"/>
            </w:tcMar>
          </w:tcPr>
          <w:p w14:paraId="3B3B9983" w14:textId="77777777" w:rsidR="00AA4BFB" w:rsidRPr="00AA4BFB" w:rsidRDefault="00AA4BFB" w:rsidP="00AA4BFB">
            <w:pPr>
              <w:pStyle w:val="TableParagraph"/>
              <w:spacing w:line="228" w:lineRule="exact"/>
              <w:ind w:left="22"/>
              <w:jc w:val="center"/>
              <w:rPr>
                <w:i/>
                <w:sz w:val="24"/>
                <w:szCs w:val="24"/>
                <w:lang w:val="pt-BR"/>
              </w:rPr>
            </w:pPr>
            <w:r w:rsidRPr="00AA4BFB">
              <w:rPr>
                <w:i/>
                <w:sz w:val="24"/>
                <w:szCs w:val="24"/>
                <w:lang w:val="pt-BR"/>
              </w:rPr>
              <w:t>1.4</w:t>
            </w:r>
          </w:p>
        </w:tc>
        <w:tc>
          <w:tcPr>
            <w:tcW w:w="1456" w:type="dxa"/>
            <w:tcMar>
              <w:top w:w="0" w:type="dxa"/>
              <w:left w:w="0" w:type="dxa"/>
              <w:bottom w:w="0" w:type="dxa"/>
              <w:right w:w="0" w:type="dxa"/>
            </w:tcMar>
          </w:tcPr>
          <w:p w14:paraId="787D11B3" w14:textId="77777777" w:rsidR="00AA4BFB" w:rsidRPr="00AA4BFB" w:rsidRDefault="00AA4BFB" w:rsidP="00AA4BFB">
            <w:pPr>
              <w:pStyle w:val="TableParagraph"/>
              <w:ind w:right="6"/>
              <w:jc w:val="center"/>
              <w:rPr>
                <w:i/>
                <w:sz w:val="24"/>
                <w:szCs w:val="24"/>
                <w:lang w:val="pt-BR"/>
              </w:rPr>
            </w:pPr>
            <w:r w:rsidRPr="00AA4BFB">
              <w:rPr>
                <w:i/>
                <w:w w:val="102"/>
                <w:sz w:val="24"/>
                <w:szCs w:val="24"/>
                <w:lang w:val="pt-BR"/>
              </w:rPr>
              <w:t>8</w:t>
            </w:r>
          </w:p>
        </w:tc>
      </w:tr>
      <w:tr w:rsidR="00AA4BFB" w:rsidRPr="00AA4BFB" w14:paraId="1A58FE37" w14:textId="77777777">
        <w:trPr>
          <w:trHeight w:hRule="exact" w:val="255"/>
        </w:trPr>
        <w:tc>
          <w:tcPr>
            <w:tcW w:w="6773" w:type="dxa"/>
            <w:tcMar>
              <w:top w:w="0" w:type="dxa"/>
              <w:left w:w="0" w:type="dxa"/>
              <w:bottom w:w="0" w:type="dxa"/>
              <w:right w:w="0" w:type="dxa"/>
            </w:tcMar>
          </w:tcPr>
          <w:p w14:paraId="7FE6B174" w14:textId="77777777" w:rsidR="00AA4BFB" w:rsidRPr="00AA4BFB" w:rsidRDefault="00AA4BFB" w:rsidP="00AA4BFB">
            <w:pPr>
              <w:pStyle w:val="TableParagraph"/>
              <w:spacing w:line="213" w:lineRule="exact"/>
              <w:ind w:left="45"/>
              <w:jc w:val="both"/>
              <w:rPr>
                <w:i/>
                <w:sz w:val="24"/>
                <w:szCs w:val="24"/>
                <w:lang w:val="pt-BR"/>
              </w:rPr>
            </w:pPr>
            <w:r w:rsidRPr="00AA4BFB">
              <w:rPr>
                <w:i/>
                <w:sz w:val="24"/>
                <w:szCs w:val="24"/>
                <w:lang w:val="pt-BR"/>
              </w:rPr>
              <w:t>3. Documentos necessários para a inscrição na licitação.</w:t>
            </w:r>
          </w:p>
        </w:tc>
        <w:tc>
          <w:tcPr>
            <w:tcW w:w="1487" w:type="dxa"/>
            <w:tcMar>
              <w:top w:w="0" w:type="dxa"/>
              <w:left w:w="0" w:type="dxa"/>
              <w:bottom w:w="0" w:type="dxa"/>
              <w:right w:w="0" w:type="dxa"/>
            </w:tcMar>
          </w:tcPr>
          <w:p w14:paraId="5032B124" w14:textId="77777777" w:rsidR="00AA4BFB" w:rsidRPr="00AA4BFB" w:rsidRDefault="00AA4BFB" w:rsidP="00AA4BFB">
            <w:pPr>
              <w:pStyle w:val="TableParagraph"/>
              <w:spacing w:line="228" w:lineRule="exact"/>
              <w:ind w:left="22"/>
              <w:jc w:val="center"/>
              <w:rPr>
                <w:i/>
                <w:sz w:val="24"/>
                <w:szCs w:val="24"/>
                <w:lang w:val="pt-BR"/>
              </w:rPr>
            </w:pPr>
            <w:r w:rsidRPr="00AA4BFB">
              <w:rPr>
                <w:i/>
                <w:sz w:val="24"/>
                <w:szCs w:val="24"/>
                <w:lang w:val="pt-BR"/>
              </w:rPr>
              <w:t>4.2</w:t>
            </w:r>
          </w:p>
        </w:tc>
        <w:tc>
          <w:tcPr>
            <w:tcW w:w="1456" w:type="dxa"/>
            <w:tcMar>
              <w:top w:w="0" w:type="dxa"/>
              <w:left w:w="0" w:type="dxa"/>
              <w:bottom w:w="0" w:type="dxa"/>
              <w:right w:w="0" w:type="dxa"/>
            </w:tcMar>
          </w:tcPr>
          <w:p w14:paraId="43C2919D" w14:textId="77777777" w:rsidR="00AA4BFB" w:rsidRPr="00AA4BFB" w:rsidRDefault="00AA4BFB" w:rsidP="00AA4BFB">
            <w:pPr>
              <w:pStyle w:val="TableParagraph"/>
              <w:spacing w:line="213" w:lineRule="exact"/>
              <w:ind w:left="514" w:right="542"/>
              <w:jc w:val="center"/>
              <w:rPr>
                <w:i/>
                <w:sz w:val="24"/>
                <w:szCs w:val="24"/>
                <w:lang w:val="pt-BR"/>
              </w:rPr>
            </w:pPr>
            <w:r w:rsidRPr="00AA4BFB">
              <w:rPr>
                <w:i/>
                <w:sz w:val="24"/>
                <w:szCs w:val="24"/>
                <w:lang w:val="pt-BR"/>
              </w:rPr>
              <w:t>20</w:t>
            </w:r>
          </w:p>
        </w:tc>
      </w:tr>
      <w:tr w:rsidR="00AA4BFB" w:rsidRPr="00AA4BFB" w14:paraId="3A4DEE87" w14:textId="77777777">
        <w:trPr>
          <w:trHeight w:hRule="exact" w:val="270"/>
        </w:trPr>
        <w:tc>
          <w:tcPr>
            <w:tcW w:w="6773" w:type="dxa"/>
            <w:tcMar>
              <w:top w:w="0" w:type="dxa"/>
              <w:left w:w="0" w:type="dxa"/>
              <w:bottom w:w="0" w:type="dxa"/>
              <w:right w:w="0" w:type="dxa"/>
            </w:tcMar>
          </w:tcPr>
          <w:p w14:paraId="631D5713" w14:textId="77777777" w:rsidR="00AA4BFB" w:rsidRPr="00AA4BFB" w:rsidRDefault="00AA4BFB" w:rsidP="00AA4BFB">
            <w:pPr>
              <w:pStyle w:val="TableParagraph"/>
              <w:spacing w:line="228" w:lineRule="exact"/>
              <w:ind w:left="45"/>
              <w:jc w:val="both"/>
              <w:rPr>
                <w:i/>
                <w:sz w:val="24"/>
                <w:szCs w:val="24"/>
                <w:lang w:val="pt-BR"/>
              </w:rPr>
            </w:pPr>
            <w:r w:rsidRPr="00AA4BFB">
              <w:rPr>
                <w:i/>
                <w:sz w:val="24"/>
                <w:szCs w:val="24"/>
                <w:lang w:val="pt-BR"/>
              </w:rPr>
              <w:t>4. Valores das taxas de participação.</w:t>
            </w:r>
          </w:p>
        </w:tc>
        <w:tc>
          <w:tcPr>
            <w:tcW w:w="1487" w:type="dxa"/>
            <w:tcMar>
              <w:top w:w="0" w:type="dxa"/>
              <w:left w:w="0" w:type="dxa"/>
              <w:bottom w:w="0" w:type="dxa"/>
              <w:right w:w="0" w:type="dxa"/>
            </w:tcMar>
          </w:tcPr>
          <w:p w14:paraId="77A25E99" w14:textId="77777777" w:rsidR="00AA4BFB" w:rsidRPr="00AA4BFB" w:rsidRDefault="00AA4BFB" w:rsidP="00AA4BFB">
            <w:pPr>
              <w:pStyle w:val="TableParagraph"/>
              <w:spacing w:line="228" w:lineRule="exact"/>
              <w:ind w:left="47" w:right="40"/>
              <w:jc w:val="center"/>
              <w:rPr>
                <w:i/>
                <w:sz w:val="24"/>
                <w:szCs w:val="24"/>
                <w:lang w:val="pt-BR"/>
              </w:rPr>
            </w:pPr>
            <w:r w:rsidRPr="00AA4BFB">
              <w:rPr>
                <w:i/>
                <w:sz w:val="24"/>
                <w:szCs w:val="24"/>
                <w:lang w:val="pt-BR"/>
              </w:rPr>
              <w:t>4.3</w:t>
            </w:r>
          </w:p>
        </w:tc>
        <w:tc>
          <w:tcPr>
            <w:tcW w:w="1456" w:type="dxa"/>
            <w:tcMar>
              <w:top w:w="0" w:type="dxa"/>
              <w:left w:w="0" w:type="dxa"/>
              <w:bottom w:w="0" w:type="dxa"/>
              <w:right w:w="0" w:type="dxa"/>
            </w:tcMar>
          </w:tcPr>
          <w:p w14:paraId="2B140699" w14:textId="77777777" w:rsidR="00AA4BFB" w:rsidRPr="00AA4BFB" w:rsidRDefault="00AA4BFB" w:rsidP="00AA4BFB">
            <w:pPr>
              <w:pStyle w:val="TableParagraph"/>
              <w:spacing w:line="228" w:lineRule="exact"/>
              <w:ind w:left="521" w:right="542"/>
              <w:jc w:val="center"/>
              <w:rPr>
                <w:i/>
                <w:sz w:val="24"/>
                <w:szCs w:val="24"/>
                <w:lang w:val="pt-BR"/>
              </w:rPr>
            </w:pPr>
            <w:r w:rsidRPr="00AA4BFB">
              <w:rPr>
                <w:i/>
                <w:sz w:val="24"/>
                <w:szCs w:val="24"/>
                <w:lang w:val="pt-BR"/>
              </w:rPr>
              <w:t>26</w:t>
            </w:r>
          </w:p>
        </w:tc>
      </w:tr>
      <w:tr w:rsidR="00AA4BFB" w:rsidRPr="00AA4BFB" w14:paraId="4E6B6E99" w14:textId="77777777">
        <w:trPr>
          <w:trHeight w:hRule="exact" w:val="511"/>
        </w:trPr>
        <w:tc>
          <w:tcPr>
            <w:tcW w:w="6773" w:type="dxa"/>
            <w:tcMar>
              <w:top w:w="0" w:type="dxa"/>
              <w:left w:w="0" w:type="dxa"/>
              <w:bottom w:w="0" w:type="dxa"/>
              <w:right w:w="0" w:type="dxa"/>
            </w:tcMar>
          </w:tcPr>
          <w:p w14:paraId="5AC48DCE" w14:textId="77777777" w:rsidR="00AA4BFB" w:rsidRPr="00AA4BFB" w:rsidRDefault="00AA4BFB" w:rsidP="00AA4BFB">
            <w:pPr>
              <w:pStyle w:val="TableParagraph"/>
              <w:spacing w:line="213" w:lineRule="exact"/>
              <w:ind w:left="45"/>
              <w:jc w:val="both"/>
              <w:rPr>
                <w:i/>
                <w:sz w:val="24"/>
                <w:szCs w:val="24"/>
                <w:lang w:val="pt-BR"/>
              </w:rPr>
            </w:pPr>
            <w:r w:rsidRPr="00AA4BFB">
              <w:rPr>
                <w:i/>
                <w:spacing w:val="-4"/>
                <w:sz w:val="24"/>
                <w:szCs w:val="24"/>
                <w:lang w:val="pt-BR"/>
              </w:rPr>
              <w:t xml:space="preserve">5. </w:t>
            </w:r>
            <w:r w:rsidRPr="00AA4BFB">
              <w:rPr>
                <w:i/>
                <w:sz w:val="24"/>
                <w:szCs w:val="24"/>
                <w:lang w:val="pt-BR"/>
              </w:rPr>
              <w:t xml:space="preserve">Prazo, o </w:t>
            </w:r>
            <w:r w:rsidRPr="00AA4BFB">
              <w:rPr>
                <w:i/>
                <w:spacing w:val="-4"/>
                <w:sz w:val="24"/>
                <w:szCs w:val="24"/>
                <w:lang w:val="pt-BR"/>
              </w:rPr>
              <w:t xml:space="preserve">local, </w:t>
            </w:r>
            <w:r w:rsidRPr="00AA4BFB">
              <w:rPr>
                <w:i/>
                <w:sz w:val="24"/>
                <w:szCs w:val="24"/>
                <w:lang w:val="pt-BR"/>
              </w:rPr>
              <w:t xml:space="preserve">o horário e </w:t>
            </w:r>
            <w:r w:rsidRPr="00AA4BFB">
              <w:rPr>
                <w:i/>
                <w:spacing w:val="-4"/>
                <w:sz w:val="24"/>
                <w:szCs w:val="24"/>
                <w:lang w:val="pt-BR"/>
              </w:rPr>
              <w:t xml:space="preserve">os </w:t>
            </w:r>
            <w:r w:rsidRPr="00AA4BFB">
              <w:rPr>
                <w:i/>
                <w:spacing w:val="-5"/>
                <w:sz w:val="24"/>
                <w:szCs w:val="24"/>
                <w:lang w:val="pt-BR"/>
              </w:rPr>
              <w:t xml:space="preserve">documentos </w:t>
            </w:r>
            <w:r w:rsidRPr="00AA4BFB">
              <w:rPr>
                <w:i/>
                <w:sz w:val="24"/>
                <w:szCs w:val="24"/>
                <w:lang w:val="pt-BR"/>
              </w:rPr>
              <w:t xml:space="preserve">necessários para a </w:t>
            </w:r>
            <w:r w:rsidRPr="00AA4BFB">
              <w:rPr>
                <w:i/>
                <w:spacing w:val="-3"/>
                <w:sz w:val="24"/>
                <w:szCs w:val="24"/>
                <w:lang w:val="pt-BR"/>
              </w:rPr>
              <w:t xml:space="preserve">retirada </w:t>
            </w:r>
            <w:r w:rsidRPr="00AA4BFB">
              <w:rPr>
                <w:i/>
                <w:spacing w:val="-6"/>
                <w:sz w:val="24"/>
                <w:szCs w:val="24"/>
                <w:lang w:val="pt-BR"/>
              </w:rPr>
              <w:t>dos</w:t>
            </w:r>
          </w:p>
          <w:p w14:paraId="4180ECBB" w14:textId="77777777" w:rsidR="00AA4BFB" w:rsidRPr="00AA4BFB" w:rsidRDefault="00AA4BFB" w:rsidP="00AA4BFB">
            <w:pPr>
              <w:pStyle w:val="TableParagraph"/>
              <w:ind w:left="45"/>
              <w:jc w:val="both"/>
              <w:rPr>
                <w:i/>
                <w:sz w:val="24"/>
                <w:szCs w:val="24"/>
              </w:rPr>
            </w:pPr>
            <w:r w:rsidRPr="00AA4BFB">
              <w:rPr>
                <w:i/>
                <w:sz w:val="24"/>
                <w:szCs w:val="24"/>
              </w:rPr>
              <w:t>pacotes de dados.</w:t>
            </w:r>
          </w:p>
        </w:tc>
        <w:tc>
          <w:tcPr>
            <w:tcW w:w="1487" w:type="dxa"/>
            <w:tcMar>
              <w:top w:w="0" w:type="dxa"/>
              <w:left w:w="0" w:type="dxa"/>
              <w:bottom w:w="0" w:type="dxa"/>
              <w:right w:w="0" w:type="dxa"/>
            </w:tcMar>
          </w:tcPr>
          <w:p w14:paraId="0A06940F" w14:textId="77777777" w:rsidR="00AA4BFB" w:rsidRPr="00AA4BFB" w:rsidRDefault="00AA4BFB" w:rsidP="00AA4BFB">
            <w:pPr>
              <w:pStyle w:val="TableParagraph"/>
              <w:ind w:left="46" w:right="40"/>
              <w:jc w:val="center"/>
              <w:rPr>
                <w:i/>
                <w:sz w:val="24"/>
                <w:szCs w:val="24"/>
              </w:rPr>
            </w:pPr>
            <w:r w:rsidRPr="00AA4BFB">
              <w:rPr>
                <w:i/>
                <w:sz w:val="24"/>
                <w:szCs w:val="24"/>
              </w:rPr>
              <w:t>4.3</w:t>
            </w:r>
          </w:p>
        </w:tc>
        <w:tc>
          <w:tcPr>
            <w:tcW w:w="1456" w:type="dxa"/>
            <w:tcMar>
              <w:top w:w="0" w:type="dxa"/>
              <w:left w:w="0" w:type="dxa"/>
              <w:bottom w:w="0" w:type="dxa"/>
              <w:right w:w="0" w:type="dxa"/>
            </w:tcMar>
          </w:tcPr>
          <w:p w14:paraId="396AB9EC" w14:textId="77777777" w:rsidR="00AA4BFB" w:rsidRPr="00AA4BFB" w:rsidRDefault="00AA4BFB" w:rsidP="00AA4BFB">
            <w:pPr>
              <w:pStyle w:val="TableParagraph"/>
              <w:ind w:left="514" w:right="542"/>
              <w:jc w:val="center"/>
              <w:rPr>
                <w:i/>
                <w:sz w:val="24"/>
                <w:szCs w:val="24"/>
              </w:rPr>
            </w:pPr>
            <w:r w:rsidRPr="00AA4BFB">
              <w:rPr>
                <w:i/>
                <w:sz w:val="24"/>
                <w:szCs w:val="24"/>
              </w:rPr>
              <w:t>30</w:t>
            </w:r>
          </w:p>
        </w:tc>
      </w:tr>
      <w:tr w:rsidR="00AA4BFB" w:rsidRPr="00AA4BFB" w14:paraId="358DCEAC" w14:textId="77777777">
        <w:trPr>
          <w:trHeight w:hRule="exact" w:val="270"/>
        </w:trPr>
        <w:tc>
          <w:tcPr>
            <w:tcW w:w="6773" w:type="dxa"/>
            <w:tcMar>
              <w:top w:w="0" w:type="dxa"/>
              <w:left w:w="0" w:type="dxa"/>
              <w:bottom w:w="0" w:type="dxa"/>
              <w:right w:w="0" w:type="dxa"/>
            </w:tcMar>
          </w:tcPr>
          <w:p w14:paraId="0A7EB196" w14:textId="77777777" w:rsidR="00AA4BFB" w:rsidRPr="00AA4BFB" w:rsidRDefault="00AA4BFB" w:rsidP="00AA4BFB">
            <w:pPr>
              <w:pStyle w:val="TableParagraph"/>
              <w:spacing w:line="228" w:lineRule="exact"/>
              <w:ind w:left="45"/>
              <w:jc w:val="both"/>
              <w:rPr>
                <w:i/>
                <w:sz w:val="24"/>
                <w:szCs w:val="24"/>
                <w:lang w:val="pt-BR"/>
              </w:rPr>
            </w:pPr>
            <w:r w:rsidRPr="00AA4BFB">
              <w:rPr>
                <w:i/>
                <w:sz w:val="24"/>
                <w:szCs w:val="24"/>
                <w:lang w:val="pt-BR"/>
              </w:rPr>
              <w:t>6. Valores e o prazo para aporte das garantias de oferta.</w:t>
            </w:r>
          </w:p>
        </w:tc>
        <w:tc>
          <w:tcPr>
            <w:tcW w:w="1487" w:type="dxa"/>
            <w:tcMar>
              <w:top w:w="0" w:type="dxa"/>
              <w:left w:w="0" w:type="dxa"/>
              <w:bottom w:w="0" w:type="dxa"/>
              <w:right w:w="0" w:type="dxa"/>
            </w:tcMar>
          </w:tcPr>
          <w:p w14:paraId="396F7E57" w14:textId="77777777" w:rsidR="00AA4BFB" w:rsidRPr="00AA4BFB" w:rsidRDefault="00AA4BFB" w:rsidP="00AA4BFB">
            <w:pPr>
              <w:pStyle w:val="TableParagraph"/>
              <w:spacing w:line="228" w:lineRule="exact"/>
              <w:ind w:left="22"/>
              <w:jc w:val="center"/>
              <w:rPr>
                <w:i/>
                <w:sz w:val="24"/>
                <w:szCs w:val="24"/>
              </w:rPr>
            </w:pPr>
            <w:r w:rsidRPr="00AA4BFB">
              <w:rPr>
                <w:i/>
                <w:w w:val="102"/>
                <w:sz w:val="24"/>
                <w:szCs w:val="24"/>
              </w:rPr>
              <w:t>5</w:t>
            </w:r>
          </w:p>
        </w:tc>
        <w:tc>
          <w:tcPr>
            <w:tcW w:w="1456" w:type="dxa"/>
            <w:tcMar>
              <w:top w:w="0" w:type="dxa"/>
              <w:left w:w="0" w:type="dxa"/>
              <w:bottom w:w="0" w:type="dxa"/>
              <w:right w:w="0" w:type="dxa"/>
            </w:tcMar>
          </w:tcPr>
          <w:p w14:paraId="054EA7F3" w14:textId="77777777" w:rsidR="00AA4BFB" w:rsidRPr="00AA4BFB" w:rsidRDefault="00AA4BFB" w:rsidP="00AA4BFB">
            <w:pPr>
              <w:pStyle w:val="TableParagraph"/>
              <w:spacing w:line="228" w:lineRule="exact"/>
              <w:ind w:left="521" w:right="542"/>
              <w:jc w:val="center"/>
              <w:rPr>
                <w:i/>
                <w:sz w:val="24"/>
                <w:szCs w:val="24"/>
              </w:rPr>
            </w:pPr>
            <w:r w:rsidRPr="00AA4BFB">
              <w:rPr>
                <w:i/>
                <w:sz w:val="24"/>
                <w:szCs w:val="24"/>
              </w:rPr>
              <w:t>32</w:t>
            </w:r>
          </w:p>
        </w:tc>
      </w:tr>
      <w:tr w:rsidR="00AA4BFB" w:rsidRPr="00AA4BFB" w14:paraId="011D516B" w14:textId="77777777">
        <w:trPr>
          <w:trHeight w:hRule="exact" w:val="255"/>
        </w:trPr>
        <w:tc>
          <w:tcPr>
            <w:tcW w:w="6773" w:type="dxa"/>
            <w:tcMar>
              <w:top w:w="0" w:type="dxa"/>
              <w:left w:w="0" w:type="dxa"/>
              <w:bottom w:w="0" w:type="dxa"/>
              <w:right w:w="0" w:type="dxa"/>
            </w:tcMar>
          </w:tcPr>
          <w:p w14:paraId="1C3E7B92" w14:textId="77777777" w:rsidR="00AA4BFB" w:rsidRPr="00AA4BFB" w:rsidRDefault="00AA4BFB" w:rsidP="00AA4BFB">
            <w:pPr>
              <w:pStyle w:val="TableParagraph"/>
              <w:spacing w:line="213" w:lineRule="exact"/>
              <w:ind w:left="45"/>
              <w:jc w:val="both"/>
              <w:rPr>
                <w:i/>
                <w:sz w:val="24"/>
                <w:szCs w:val="24"/>
                <w:lang w:val="pt-BR"/>
              </w:rPr>
            </w:pPr>
            <w:r w:rsidRPr="00AA4BFB">
              <w:rPr>
                <w:i/>
                <w:sz w:val="24"/>
                <w:szCs w:val="24"/>
                <w:lang w:val="pt-BR"/>
              </w:rPr>
              <w:t>7. Condições para participação de licitantes em consórcio.</w:t>
            </w:r>
          </w:p>
        </w:tc>
        <w:tc>
          <w:tcPr>
            <w:tcW w:w="1487" w:type="dxa"/>
            <w:tcMar>
              <w:top w:w="0" w:type="dxa"/>
              <w:left w:w="0" w:type="dxa"/>
              <w:bottom w:w="0" w:type="dxa"/>
              <w:right w:w="0" w:type="dxa"/>
            </w:tcMar>
          </w:tcPr>
          <w:p w14:paraId="241756C6" w14:textId="77777777" w:rsidR="00AA4BFB" w:rsidRPr="00AA4BFB" w:rsidRDefault="00AA4BFB" w:rsidP="00AA4BFB">
            <w:pPr>
              <w:pStyle w:val="TableParagraph"/>
              <w:spacing w:line="213" w:lineRule="exact"/>
              <w:ind w:left="22"/>
              <w:jc w:val="center"/>
              <w:rPr>
                <w:i/>
                <w:sz w:val="24"/>
                <w:szCs w:val="24"/>
              </w:rPr>
            </w:pPr>
            <w:r w:rsidRPr="00AA4BFB">
              <w:rPr>
                <w:i/>
                <w:w w:val="102"/>
                <w:sz w:val="24"/>
                <w:szCs w:val="24"/>
              </w:rPr>
              <w:t>4</w:t>
            </w:r>
          </w:p>
        </w:tc>
        <w:tc>
          <w:tcPr>
            <w:tcW w:w="1456" w:type="dxa"/>
            <w:tcMar>
              <w:top w:w="0" w:type="dxa"/>
              <w:left w:w="0" w:type="dxa"/>
              <w:bottom w:w="0" w:type="dxa"/>
              <w:right w:w="0" w:type="dxa"/>
            </w:tcMar>
          </w:tcPr>
          <w:p w14:paraId="2E68AF64" w14:textId="77777777" w:rsidR="00AA4BFB" w:rsidRPr="00AA4BFB" w:rsidRDefault="00AA4BFB" w:rsidP="00AA4BFB">
            <w:pPr>
              <w:pStyle w:val="TableParagraph"/>
              <w:spacing w:line="213" w:lineRule="exact"/>
              <w:ind w:left="514" w:right="542"/>
              <w:jc w:val="center"/>
              <w:rPr>
                <w:i/>
                <w:sz w:val="24"/>
                <w:szCs w:val="24"/>
              </w:rPr>
            </w:pPr>
            <w:r w:rsidRPr="00AA4BFB">
              <w:rPr>
                <w:i/>
                <w:sz w:val="24"/>
                <w:szCs w:val="24"/>
              </w:rPr>
              <w:t>19</w:t>
            </w:r>
          </w:p>
        </w:tc>
      </w:tr>
      <w:tr w:rsidR="00AA4BFB" w:rsidRPr="00AA4BFB" w14:paraId="24691B74" w14:textId="77777777">
        <w:trPr>
          <w:trHeight w:hRule="exact" w:val="999"/>
        </w:trPr>
        <w:tc>
          <w:tcPr>
            <w:tcW w:w="6773" w:type="dxa"/>
            <w:tcMar>
              <w:top w:w="0" w:type="dxa"/>
              <w:left w:w="0" w:type="dxa"/>
              <w:bottom w:w="0" w:type="dxa"/>
              <w:right w:w="0" w:type="dxa"/>
            </w:tcMar>
          </w:tcPr>
          <w:p w14:paraId="5CC9314A" w14:textId="77777777" w:rsidR="00AA4BFB" w:rsidRPr="00AA4BFB" w:rsidRDefault="00AA4BFB" w:rsidP="00AA4BFB">
            <w:pPr>
              <w:pStyle w:val="TableParagraph"/>
              <w:spacing w:line="228" w:lineRule="exact"/>
              <w:ind w:left="45"/>
              <w:jc w:val="both"/>
              <w:rPr>
                <w:i/>
                <w:sz w:val="24"/>
                <w:szCs w:val="24"/>
                <w:lang w:val="pt-BR"/>
              </w:rPr>
            </w:pPr>
            <w:r w:rsidRPr="00AA4BFB">
              <w:rPr>
                <w:i/>
                <w:spacing w:val="-4"/>
                <w:sz w:val="24"/>
                <w:szCs w:val="24"/>
                <w:lang w:val="pt-BR"/>
              </w:rPr>
              <w:t xml:space="preserve">8. </w:t>
            </w:r>
            <w:r w:rsidRPr="00AA4BFB">
              <w:rPr>
                <w:i/>
                <w:spacing w:val="-3"/>
                <w:sz w:val="24"/>
                <w:szCs w:val="24"/>
                <w:lang w:val="pt-BR"/>
              </w:rPr>
              <w:t xml:space="preserve">Nome, </w:t>
            </w:r>
            <w:r w:rsidRPr="00AA4BFB">
              <w:rPr>
                <w:i/>
                <w:sz w:val="24"/>
                <w:szCs w:val="24"/>
                <w:lang w:val="pt-BR"/>
              </w:rPr>
              <w:t xml:space="preserve">mapa, </w:t>
            </w:r>
            <w:r w:rsidRPr="00AA4BFB">
              <w:rPr>
                <w:i/>
                <w:spacing w:val="-3"/>
                <w:sz w:val="24"/>
                <w:szCs w:val="24"/>
                <w:lang w:val="pt-BR"/>
              </w:rPr>
              <w:t xml:space="preserve">localização, </w:t>
            </w:r>
            <w:r w:rsidRPr="00AA4BFB">
              <w:rPr>
                <w:i/>
                <w:spacing w:val="3"/>
                <w:sz w:val="24"/>
                <w:szCs w:val="24"/>
                <w:lang w:val="pt-BR"/>
              </w:rPr>
              <w:t xml:space="preserve">área, </w:t>
            </w:r>
            <w:r w:rsidRPr="00AA4BFB">
              <w:rPr>
                <w:i/>
                <w:sz w:val="24"/>
                <w:szCs w:val="24"/>
                <w:lang w:val="pt-BR"/>
              </w:rPr>
              <w:t xml:space="preserve">coordenadas, </w:t>
            </w:r>
            <w:r w:rsidRPr="00AA4BFB">
              <w:rPr>
                <w:i/>
                <w:spacing w:val="-4"/>
                <w:sz w:val="24"/>
                <w:szCs w:val="24"/>
                <w:lang w:val="pt-BR"/>
              </w:rPr>
              <w:t xml:space="preserve">período de </w:t>
            </w:r>
            <w:r w:rsidRPr="00AA4BFB">
              <w:rPr>
                <w:i/>
                <w:sz w:val="24"/>
                <w:szCs w:val="24"/>
                <w:lang w:val="pt-BR"/>
              </w:rPr>
              <w:t>exploração, programas exploratórios mínimos, critérios de devolução e outras informações pertinentes sobre cada bloco que será objeto da licitação.</w:t>
            </w:r>
          </w:p>
        </w:tc>
        <w:tc>
          <w:tcPr>
            <w:tcW w:w="1487" w:type="dxa"/>
            <w:tcMar>
              <w:top w:w="0" w:type="dxa"/>
              <w:left w:w="0" w:type="dxa"/>
              <w:bottom w:w="0" w:type="dxa"/>
              <w:right w:w="0" w:type="dxa"/>
            </w:tcMar>
          </w:tcPr>
          <w:p w14:paraId="2D74BF4C" w14:textId="77777777" w:rsidR="00AA4BFB" w:rsidRPr="00AA4BFB" w:rsidRDefault="00AA4BFB" w:rsidP="00AA4BFB">
            <w:pPr>
              <w:pStyle w:val="TableParagraph"/>
              <w:spacing w:line="242" w:lineRule="auto"/>
              <w:ind w:left="-78"/>
              <w:jc w:val="center"/>
              <w:rPr>
                <w:i/>
                <w:sz w:val="24"/>
                <w:szCs w:val="24"/>
              </w:rPr>
            </w:pPr>
            <w:r w:rsidRPr="00AA4BFB">
              <w:rPr>
                <w:i/>
                <w:sz w:val="24"/>
                <w:szCs w:val="24"/>
              </w:rPr>
              <w:t xml:space="preserve">Anexo I </w:t>
            </w:r>
          </w:p>
          <w:p w14:paraId="72DB9CA0" w14:textId="77777777" w:rsidR="00AA4BFB" w:rsidRPr="00AA4BFB" w:rsidRDefault="00AA4BFB" w:rsidP="00AA4BFB">
            <w:pPr>
              <w:pStyle w:val="TableParagraph"/>
              <w:spacing w:line="242" w:lineRule="auto"/>
              <w:ind w:left="-78"/>
              <w:jc w:val="center"/>
              <w:rPr>
                <w:i/>
                <w:sz w:val="24"/>
                <w:szCs w:val="24"/>
              </w:rPr>
            </w:pPr>
            <w:r w:rsidRPr="00AA4BFB">
              <w:rPr>
                <w:i/>
                <w:sz w:val="24"/>
                <w:szCs w:val="24"/>
              </w:rPr>
              <w:t>Anexo XIV</w:t>
            </w:r>
          </w:p>
        </w:tc>
        <w:tc>
          <w:tcPr>
            <w:tcW w:w="1456" w:type="dxa"/>
            <w:tcMar>
              <w:top w:w="0" w:type="dxa"/>
              <w:left w:w="0" w:type="dxa"/>
              <w:bottom w:w="0" w:type="dxa"/>
              <w:right w:w="0" w:type="dxa"/>
            </w:tcMar>
          </w:tcPr>
          <w:p w14:paraId="6E14940B" w14:textId="77777777" w:rsidR="00AA4BFB" w:rsidRPr="00AA4BFB" w:rsidRDefault="00AA4BFB" w:rsidP="00AA4BFB">
            <w:pPr>
              <w:pStyle w:val="TableParagraph"/>
              <w:ind w:left="521" w:right="542"/>
              <w:jc w:val="center"/>
              <w:rPr>
                <w:i/>
                <w:sz w:val="24"/>
                <w:szCs w:val="24"/>
              </w:rPr>
            </w:pPr>
            <w:r w:rsidRPr="00AA4BFB">
              <w:rPr>
                <w:i/>
                <w:sz w:val="24"/>
                <w:szCs w:val="24"/>
              </w:rPr>
              <w:t>80</w:t>
            </w:r>
          </w:p>
          <w:p w14:paraId="268055D2" w14:textId="77777777" w:rsidR="00AA4BFB" w:rsidRPr="00AA4BFB" w:rsidRDefault="00AA4BFB" w:rsidP="00AA4BFB">
            <w:pPr>
              <w:pStyle w:val="TableParagraph"/>
              <w:ind w:left="529" w:right="542"/>
              <w:jc w:val="center"/>
              <w:rPr>
                <w:i/>
                <w:sz w:val="24"/>
                <w:szCs w:val="24"/>
              </w:rPr>
            </w:pPr>
            <w:r w:rsidRPr="00AA4BFB">
              <w:rPr>
                <w:i/>
                <w:sz w:val="24"/>
                <w:szCs w:val="24"/>
              </w:rPr>
              <w:t>140</w:t>
            </w:r>
          </w:p>
        </w:tc>
      </w:tr>
      <w:tr w:rsidR="00AA4BFB" w:rsidRPr="00AA4BFB" w14:paraId="0BE25AE9" w14:textId="77777777">
        <w:trPr>
          <w:trHeight w:hRule="exact" w:val="270"/>
        </w:trPr>
        <w:tc>
          <w:tcPr>
            <w:tcW w:w="6773" w:type="dxa"/>
            <w:tcMar>
              <w:top w:w="0" w:type="dxa"/>
              <w:left w:w="0" w:type="dxa"/>
              <w:bottom w:w="0" w:type="dxa"/>
              <w:right w:w="0" w:type="dxa"/>
            </w:tcMar>
          </w:tcPr>
          <w:p w14:paraId="6F4EF386" w14:textId="77777777" w:rsidR="00AA4BFB" w:rsidRPr="00AA4BFB" w:rsidRDefault="00AA4BFB" w:rsidP="00AA4BFB">
            <w:pPr>
              <w:pStyle w:val="TableParagraph"/>
              <w:spacing w:line="228" w:lineRule="exact"/>
              <w:ind w:left="45"/>
              <w:jc w:val="both"/>
              <w:rPr>
                <w:i/>
                <w:sz w:val="24"/>
                <w:szCs w:val="24"/>
                <w:lang w:val="pt-BR"/>
              </w:rPr>
            </w:pPr>
            <w:r w:rsidRPr="00AA4BFB">
              <w:rPr>
                <w:i/>
                <w:sz w:val="24"/>
                <w:szCs w:val="24"/>
                <w:lang w:val="pt-BR"/>
              </w:rPr>
              <w:t>9. Valor do bônus de assinatura mínimo a ser ofertado por bloco.</w:t>
            </w:r>
          </w:p>
        </w:tc>
        <w:tc>
          <w:tcPr>
            <w:tcW w:w="1487" w:type="dxa"/>
            <w:tcMar>
              <w:top w:w="0" w:type="dxa"/>
              <w:left w:w="0" w:type="dxa"/>
              <w:bottom w:w="0" w:type="dxa"/>
              <w:right w:w="0" w:type="dxa"/>
            </w:tcMar>
          </w:tcPr>
          <w:p w14:paraId="42E15956" w14:textId="77777777" w:rsidR="00AA4BFB" w:rsidRPr="00AA4BFB" w:rsidRDefault="00AA4BFB" w:rsidP="00AA4BFB">
            <w:pPr>
              <w:pStyle w:val="TableParagraph"/>
              <w:spacing w:line="228" w:lineRule="exact"/>
              <w:ind w:left="40" w:right="40"/>
              <w:jc w:val="center"/>
              <w:rPr>
                <w:i/>
                <w:sz w:val="24"/>
                <w:szCs w:val="24"/>
              </w:rPr>
            </w:pPr>
            <w:r w:rsidRPr="00AA4BFB">
              <w:rPr>
                <w:i/>
                <w:sz w:val="24"/>
                <w:szCs w:val="24"/>
              </w:rPr>
              <w:t>Anexo XIII</w:t>
            </w:r>
          </w:p>
        </w:tc>
        <w:tc>
          <w:tcPr>
            <w:tcW w:w="1456" w:type="dxa"/>
            <w:tcMar>
              <w:top w:w="0" w:type="dxa"/>
              <w:left w:w="0" w:type="dxa"/>
              <w:bottom w:w="0" w:type="dxa"/>
              <w:right w:w="0" w:type="dxa"/>
            </w:tcMar>
          </w:tcPr>
          <w:p w14:paraId="5A2D033E" w14:textId="77777777" w:rsidR="00AA4BFB" w:rsidRPr="00AA4BFB" w:rsidRDefault="00AA4BFB" w:rsidP="00AA4BFB">
            <w:pPr>
              <w:pStyle w:val="TableParagraph"/>
              <w:spacing w:line="228" w:lineRule="exact"/>
              <w:ind w:left="529" w:right="542"/>
              <w:jc w:val="center"/>
              <w:rPr>
                <w:i/>
                <w:sz w:val="24"/>
                <w:szCs w:val="24"/>
              </w:rPr>
            </w:pPr>
            <w:r w:rsidRPr="00AA4BFB">
              <w:rPr>
                <w:i/>
                <w:sz w:val="24"/>
                <w:szCs w:val="24"/>
              </w:rPr>
              <w:t>139</w:t>
            </w:r>
          </w:p>
        </w:tc>
      </w:tr>
      <w:tr w:rsidR="00AA4BFB" w:rsidRPr="00AA4BFB" w14:paraId="128B5EF9" w14:textId="77777777">
        <w:trPr>
          <w:trHeight w:hRule="exact" w:val="255"/>
        </w:trPr>
        <w:tc>
          <w:tcPr>
            <w:tcW w:w="6773" w:type="dxa"/>
            <w:tcMar>
              <w:top w:w="0" w:type="dxa"/>
              <w:left w:w="0" w:type="dxa"/>
              <w:bottom w:w="0" w:type="dxa"/>
              <w:right w:w="0" w:type="dxa"/>
            </w:tcMar>
          </w:tcPr>
          <w:p w14:paraId="05C65A04" w14:textId="77777777" w:rsidR="00AA4BFB" w:rsidRPr="00AA4BFB" w:rsidRDefault="00AA4BFB" w:rsidP="00AA4BFB">
            <w:pPr>
              <w:pStyle w:val="TableParagraph"/>
              <w:spacing w:line="228" w:lineRule="exact"/>
              <w:ind w:left="45"/>
              <w:jc w:val="both"/>
              <w:rPr>
                <w:i/>
                <w:sz w:val="24"/>
                <w:szCs w:val="24"/>
                <w:lang w:val="pt-BR"/>
              </w:rPr>
            </w:pPr>
            <w:r w:rsidRPr="00AA4BFB">
              <w:rPr>
                <w:i/>
                <w:sz w:val="24"/>
                <w:szCs w:val="24"/>
                <w:lang w:val="pt-BR"/>
              </w:rPr>
              <w:t>10. Forma para apresentação e os critérios de julgamento de ofertas.</w:t>
            </w:r>
          </w:p>
        </w:tc>
        <w:tc>
          <w:tcPr>
            <w:tcW w:w="1487" w:type="dxa"/>
            <w:tcMar>
              <w:top w:w="0" w:type="dxa"/>
              <w:left w:w="0" w:type="dxa"/>
              <w:bottom w:w="0" w:type="dxa"/>
              <w:right w:w="0" w:type="dxa"/>
            </w:tcMar>
          </w:tcPr>
          <w:p w14:paraId="2577F5DD" w14:textId="77777777" w:rsidR="00AA4BFB" w:rsidRPr="00AA4BFB" w:rsidRDefault="00AA4BFB" w:rsidP="00AA4BFB">
            <w:pPr>
              <w:pStyle w:val="TableParagraph"/>
              <w:spacing w:line="228" w:lineRule="exact"/>
              <w:ind w:left="47" w:right="40"/>
              <w:jc w:val="center"/>
              <w:rPr>
                <w:i/>
                <w:sz w:val="24"/>
                <w:szCs w:val="24"/>
              </w:rPr>
            </w:pPr>
            <w:r w:rsidRPr="00AA4BFB">
              <w:rPr>
                <w:i/>
                <w:sz w:val="24"/>
                <w:szCs w:val="24"/>
              </w:rPr>
              <w:t>6.6</w:t>
            </w:r>
          </w:p>
        </w:tc>
        <w:tc>
          <w:tcPr>
            <w:tcW w:w="1456" w:type="dxa"/>
            <w:tcMar>
              <w:top w:w="0" w:type="dxa"/>
              <w:left w:w="0" w:type="dxa"/>
              <w:bottom w:w="0" w:type="dxa"/>
              <w:right w:w="0" w:type="dxa"/>
            </w:tcMar>
          </w:tcPr>
          <w:p w14:paraId="061FF1C9" w14:textId="77777777" w:rsidR="00AA4BFB" w:rsidRPr="00AA4BFB" w:rsidRDefault="00AA4BFB" w:rsidP="00AA4BFB">
            <w:pPr>
              <w:pStyle w:val="TableParagraph"/>
              <w:spacing w:line="228" w:lineRule="exact"/>
              <w:ind w:left="514" w:right="542"/>
              <w:jc w:val="center"/>
              <w:rPr>
                <w:i/>
                <w:sz w:val="24"/>
                <w:szCs w:val="24"/>
              </w:rPr>
            </w:pPr>
            <w:r w:rsidRPr="00AA4BFB">
              <w:rPr>
                <w:i/>
                <w:sz w:val="24"/>
                <w:szCs w:val="24"/>
              </w:rPr>
              <w:t>40</w:t>
            </w:r>
          </w:p>
        </w:tc>
      </w:tr>
      <w:tr w:rsidR="00AA4BFB" w:rsidRPr="00AA4BFB" w14:paraId="40837ACD" w14:textId="77777777">
        <w:trPr>
          <w:trHeight w:hRule="exact" w:val="271"/>
        </w:trPr>
        <w:tc>
          <w:tcPr>
            <w:tcW w:w="6773" w:type="dxa"/>
            <w:tcMar>
              <w:top w:w="0" w:type="dxa"/>
              <w:left w:w="0" w:type="dxa"/>
              <w:bottom w:w="0" w:type="dxa"/>
              <w:right w:w="0" w:type="dxa"/>
            </w:tcMar>
          </w:tcPr>
          <w:p w14:paraId="07C73DB8" w14:textId="77777777" w:rsidR="00AA4BFB" w:rsidRPr="00AA4BFB" w:rsidRDefault="00AA4BFB" w:rsidP="00AA4BFB">
            <w:pPr>
              <w:pStyle w:val="TableParagraph"/>
              <w:spacing w:line="213" w:lineRule="exact"/>
              <w:ind w:left="45"/>
              <w:jc w:val="both"/>
              <w:rPr>
                <w:i/>
                <w:sz w:val="24"/>
                <w:szCs w:val="24"/>
                <w:lang w:val="pt-BR"/>
              </w:rPr>
            </w:pPr>
            <w:r w:rsidRPr="00AA4BFB">
              <w:rPr>
                <w:i/>
                <w:sz w:val="24"/>
                <w:szCs w:val="24"/>
                <w:lang w:val="pt-BR"/>
              </w:rPr>
              <w:t>11. Critérios de conteúdo local.</w:t>
            </w:r>
          </w:p>
        </w:tc>
        <w:tc>
          <w:tcPr>
            <w:tcW w:w="1487" w:type="dxa"/>
            <w:tcMar>
              <w:top w:w="0" w:type="dxa"/>
              <w:left w:w="0" w:type="dxa"/>
              <w:bottom w:w="0" w:type="dxa"/>
              <w:right w:w="0" w:type="dxa"/>
            </w:tcMar>
          </w:tcPr>
          <w:p w14:paraId="0197655C" w14:textId="77777777" w:rsidR="00AA4BFB" w:rsidRPr="00AA4BFB" w:rsidRDefault="00AA4BFB" w:rsidP="00AA4BFB">
            <w:pPr>
              <w:pStyle w:val="TableParagraph"/>
              <w:ind w:left="46" w:right="40"/>
              <w:jc w:val="center"/>
              <w:rPr>
                <w:i/>
                <w:sz w:val="24"/>
                <w:szCs w:val="24"/>
                <w:lang w:val="pt-BR"/>
              </w:rPr>
            </w:pPr>
            <w:r w:rsidRPr="00AA4BFB">
              <w:rPr>
                <w:i/>
                <w:sz w:val="24"/>
                <w:szCs w:val="24"/>
                <w:lang w:val="pt-BR"/>
              </w:rPr>
              <w:t>6.5</w:t>
            </w:r>
          </w:p>
        </w:tc>
        <w:tc>
          <w:tcPr>
            <w:tcW w:w="1456" w:type="dxa"/>
            <w:tcMar>
              <w:top w:w="0" w:type="dxa"/>
              <w:left w:w="0" w:type="dxa"/>
              <w:bottom w:w="0" w:type="dxa"/>
              <w:right w:w="0" w:type="dxa"/>
            </w:tcMar>
          </w:tcPr>
          <w:p w14:paraId="28181FAA" w14:textId="77777777" w:rsidR="00AA4BFB" w:rsidRPr="00AA4BFB" w:rsidRDefault="00AA4BFB" w:rsidP="00AA4BFB">
            <w:pPr>
              <w:pStyle w:val="TableParagraph"/>
              <w:ind w:left="514" w:right="542"/>
              <w:jc w:val="center"/>
              <w:rPr>
                <w:i/>
                <w:sz w:val="24"/>
                <w:szCs w:val="24"/>
                <w:lang w:val="pt-BR"/>
              </w:rPr>
            </w:pPr>
            <w:r w:rsidRPr="00AA4BFB">
              <w:rPr>
                <w:i/>
                <w:sz w:val="24"/>
                <w:szCs w:val="24"/>
                <w:lang w:val="pt-BR"/>
              </w:rPr>
              <w:t>40</w:t>
            </w:r>
          </w:p>
        </w:tc>
      </w:tr>
      <w:tr w:rsidR="00AA4BFB" w:rsidRPr="00AA4BFB" w14:paraId="0B46FEC9" w14:textId="77777777">
        <w:trPr>
          <w:trHeight w:hRule="exact" w:val="766"/>
        </w:trPr>
        <w:tc>
          <w:tcPr>
            <w:tcW w:w="6773" w:type="dxa"/>
            <w:tcMar>
              <w:top w:w="0" w:type="dxa"/>
              <w:left w:w="0" w:type="dxa"/>
              <w:bottom w:w="0" w:type="dxa"/>
              <w:right w:w="0" w:type="dxa"/>
            </w:tcMar>
          </w:tcPr>
          <w:p w14:paraId="0F0AD8BD" w14:textId="77777777" w:rsidR="00AA4BFB" w:rsidRPr="00AA4BFB" w:rsidRDefault="00AA4BFB" w:rsidP="00AA4BFB">
            <w:pPr>
              <w:pStyle w:val="TableParagraph"/>
              <w:spacing w:line="228" w:lineRule="exact"/>
              <w:ind w:left="45"/>
              <w:jc w:val="both"/>
              <w:rPr>
                <w:i/>
                <w:sz w:val="24"/>
                <w:szCs w:val="24"/>
                <w:lang w:val="pt-BR"/>
              </w:rPr>
            </w:pPr>
            <w:r w:rsidRPr="00AA4BFB">
              <w:rPr>
                <w:i/>
                <w:sz w:val="24"/>
                <w:szCs w:val="24"/>
                <w:lang w:val="pt-BR"/>
              </w:rPr>
              <w:t>12. Critérios, os   parâmetros   e   os   documentos   necessários   para    a qualificação das licitantes vencedoras da sessão pública de apresentação de ofertas.</w:t>
            </w:r>
          </w:p>
        </w:tc>
        <w:tc>
          <w:tcPr>
            <w:tcW w:w="1487" w:type="dxa"/>
            <w:tcMar>
              <w:top w:w="0" w:type="dxa"/>
              <w:left w:w="0" w:type="dxa"/>
              <w:bottom w:w="0" w:type="dxa"/>
              <w:right w:w="0" w:type="dxa"/>
            </w:tcMar>
          </w:tcPr>
          <w:p w14:paraId="2E2986C1" w14:textId="77777777" w:rsidR="00AA4BFB" w:rsidRPr="00AA4BFB" w:rsidRDefault="00AA4BFB" w:rsidP="00AA4BFB">
            <w:pPr>
              <w:pStyle w:val="TableParagraph"/>
              <w:ind w:left="22"/>
              <w:jc w:val="center"/>
              <w:rPr>
                <w:i/>
                <w:sz w:val="24"/>
                <w:szCs w:val="24"/>
                <w:lang w:val="pt-BR"/>
              </w:rPr>
            </w:pPr>
            <w:r w:rsidRPr="00AA4BFB">
              <w:rPr>
                <w:i/>
                <w:w w:val="102"/>
                <w:sz w:val="24"/>
                <w:szCs w:val="24"/>
                <w:lang w:val="pt-BR"/>
              </w:rPr>
              <w:t>7</w:t>
            </w:r>
          </w:p>
        </w:tc>
        <w:tc>
          <w:tcPr>
            <w:tcW w:w="1456" w:type="dxa"/>
            <w:tcMar>
              <w:top w:w="0" w:type="dxa"/>
              <w:left w:w="0" w:type="dxa"/>
              <w:bottom w:w="0" w:type="dxa"/>
              <w:right w:w="0" w:type="dxa"/>
            </w:tcMar>
          </w:tcPr>
          <w:p w14:paraId="0A236785" w14:textId="77777777" w:rsidR="00AA4BFB" w:rsidRPr="00AA4BFB" w:rsidRDefault="00AA4BFB" w:rsidP="00AA4BFB">
            <w:pPr>
              <w:pStyle w:val="TableParagraph"/>
              <w:ind w:left="514" w:right="542"/>
              <w:jc w:val="center"/>
              <w:rPr>
                <w:i/>
                <w:sz w:val="24"/>
                <w:szCs w:val="24"/>
                <w:lang w:val="pt-BR"/>
              </w:rPr>
            </w:pPr>
            <w:r w:rsidRPr="00AA4BFB">
              <w:rPr>
                <w:i/>
                <w:sz w:val="24"/>
                <w:szCs w:val="24"/>
                <w:lang w:val="pt-BR"/>
              </w:rPr>
              <w:t>43</w:t>
            </w:r>
          </w:p>
        </w:tc>
      </w:tr>
      <w:tr w:rsidR="00AA4BFB" w:rsidRPr="00AA4BFB" w14:paraId="1ADE1B6E" w14:textId="77777777">
        <w:trPr>
          <w:trHeight w:hRule="exact" w:val="270"/>
        </w:trPr>
        <w:tc>
          <w:tcPr>
            <w:tcW w:w="6773" w:type="dxa"/>
            <w:tcMar>
              <w:top w:w="0" w:type="dxa"/>
              <w:left w:w="0" w:type="dxa"/>
              <w:bottom w:w="0" w:type="dxa"/>
              <w:right w:w="0" w:type="dxa"/>
            </w:tcMar>
          </w:tcPr>
          <w:p w14:paraId="3DA9119A" w14:textId="77777777" w:rsidR="00AA4BFB" w:rsidRPr="00AA4BFB" w:rsidRDefault="00AA4BFB" w:rsidP="00AA4BFB">
            <w:pPr>
              <w:pStyle w:val="TableParagraph"/>
              <w:spacing w:line="228" w:lineRule="exact"/>
              <w:ind w:left="45"/>
              <w:jc w:val="both"/>
              <w:rPr>
                <w:i/>
                <w:sz w:val="24"/>
                <w:szCs w:val="24"/>
                <w:lang w:val="pt-BR"/>
              </w:rPr>
            </w:pPr>
            <w:r w:rsidRPr="00AA4BFB">
              <w:rPr>
                <w:i/>
                <w:sz w:val="24"/>
                <w:szCs w:val="24"/>
                <w:lang w:val="pt-BR"/>
              </w:rPr>
              <w:t>13. Penalidades aplicáveis.</w:t>
            </w:r>
          </w:p>
        </w:tc>
        <w:tc>
          <w:tcPr>
            <w:tcW w:w="1487" w:type="dxa"/>
            <w:tcMar>
              <w:top w:w="0" w:type="dxa"/>
              <w:left w:w="0" w:type="dxa"/>
              <w:bottom w:w="0" w:type="dxa"/>
              <w:right w:w="0" w:type="dxa"/>
            </w:tcMar>
          </w:tcPr>
          <w:p w14:paraId="1A151DB6" w14:textId="77777777" w:rsidR="00AA4BFB" w:rsidRPr="00AA4BFB" w:rsidRDefault="00AA4BFB" w:rsidP="00AA4BFB">
            <w:pPr>
              <w:pStyle w:val="TableParagraph"/>
              <w:spacing w:line="228" w:lineRule="exact"/>
              <w:ind w:left="40" w:right="40"/>
              <w:jc w:val="center"/>
              <w:rPr>
                <w:i/>
                <w:sz w:val="24"/>
                <w:szCs w:val="24"/>
                <w:lang w:val="pt-BR"/>
              </w:rPr>
            </w:pPr>
            <w:r w:rsidRPr="00AA4BFB">
              <w:rPr>
                <w:i/>
                <w:sz w:val="24"/>
                <w:szCs w:val="24"/>
                <w:lang w:val="pt-BR"/>
              </w:rPr>
              <w:t>10</w:t>
            </w:r>
          </w:p>
        </w:tc>
        <w:tc>
          <w:tcPr>
            <w:tcW w:w="1456" w:type="dxa"/>
            <w:tcMar>
              <w:top w:w="0" w:type="dxa"/>
              <w:left w:w="0" w:type="dxa"/>
              <w:bottom w:w="0" w:type="dxa"/>
              <w:right w:w="0" w:type="dxa"/>
            </w:tcMar>
          </w:tcPr>
          <w:p w14:paraId="37217DA6" w14:textId="77777777" w:rsidR="00AA4BFB" w:rsidRPr="00AA4BFB" w:rsidRDefault="00AA4BFB" w:rsidP="00AA4BFB">
            <w:pPr>
              <w:pStyle w:val="TableParagraph"/>
              <w:spacing w:line="228" w:lineRule="exact"/>
              <w:ind w:left="514" w:right="542"/>
              <w:jc w:val="center"/>
              <w:rPr>
                <w:i/>
                <w:sz w:val="24"/>
                <w:szCs w:val="24"/>
                <w:lang w:val="pt-BR"/>
              </w:rPr>
            </w:pPr>
            <w:r w:rsidRPr="00AA4BFB">
              <w:rPr>
                <w:i/>
                <w:sz w:val="24"/>
                <w:szCs w:val="24"/>
                <w:lang w:val="pt-BR"/>
              </w:rPr>
              <w:t>73</w:t>
            </w:r>
          </w:p>
        </w:tc>
      </w:tr>
      <w:tr w:rsidR="00AA4BFB" w:rsidRPr="00AA4BFB" w14:paraId="343C3BE7" w14:textId="77777777">
        <w:trPr>
          <w:trHeight w:hRule="exact" w:val="255"/>
        </w:trPr>
        <w:tc>
          <w:tcPr>
            <w:tcW w:w="6773" w:type="dxa"/>
            <w:tcMar>
              <w:top w:w="0" w:type="dxa"/>
              <w:left w:w="0" w:type="dxa"/>
              <w:bottom w:w="0" w:type="dxa"/>
              <w:right w:w="0" w:type="dxa"/>
            </w:tcMar>
          </w:tcPr>
          <w:p w14:paraId="55CF016F" w14:textId="77777777" w:rsidR="00AA4BFB" w:rsidRPr="00AA4BFB" w:rsidRDefault="00AA4BFB" w:rsidP="00AA4BFB">
            <w:pPr>
              <w:pStyle w:val="TableParagraph"/>
              <w:spacing w:line="213" w:lineRule="exact"/>
              <w:ind w:left="45"/>
              <w:jc w:val="both"/>
              <w:rPr>
                <w:i/>
                <w:sz w:val="24"/>
                <w:szCs w:val="24"/>
                <w:lang w:val="pt-BR"/>
              </w:rPr>
            </w:pPr>
            <w:r w:rsidRPr="00AA4BFB">
              <w:rPr>
                <w:i/>
                <w:sz w:val="24"/>
                <w:szCs w:val="24"/>
                <w:lang w:val="pt-BR"/>
              </w:rPr>
              <w:t>14. Participações governamentais.</w:t>
            </w:r>
          </w:p>
        </w:tc>
        <w:tc>
          <w:tcPr>
            <w:tcW w:w="1487" w:type="dxa"/>
            <w:tcMar>
              <w:top w:w="0" w:type="dxa"/>
              <w:left w:w="0" w:type="dxa"/>
              <w:bottom w:w="0" w:type="dxa"/>
              <w:right w:w="0" w:type="dxa"/>
            </w:tcMar>
          </w:tcPr>
          <w:p w14:paraId="0176DB31" w14:textId="77777777" w:rsidR="00AA4BFB" w:rsidRPr="00AA4BFB" w:rsidRDefault="00AA4BFB" w:rsidP="00AA4BFB">
            <w:pPr>
              <w:pStyle w:val="TableParagraph"/>
              <w:spacing w:line="213" w:lineRule="exact"/>
              <w:ind w:left="22"/>
              <w:jc w:val="center"/>
              <w:rPr>
                <w:i/>
                <w:sz w:val="24"/>
                <w:szCs w:val="24"/>
                <w:lang w:val="pt-BR"/>
              </w:rPr>
            </w:pPr>
            <w:r w:rsidRPr="00AA4BFB">
              <w:rPr>
                <w:i/>
                <w:w w:val="102"/>
                <w:sz w:val="24"/>
                <w:szCs w:val="24"/>
                <w:lang w:val="pt-BR"/>
              </w:rPr>
              <w:t>2</w:t>
            </w:r>
          </w:p>
        </w:tc>
        <w:tc>
          <w:tcPr>
            <w:tcW w:w="1456" w:type="dxa"/>
            <w:tcMar>
              <w:top w:w="0" w:type="dxa"/>
              <w:left w:w="0" w:type="dxa"/>
              <w:bottom w:w="0" w:type="dxa"/>
              <w:right w:w="0" w:type="dxa"/>
            </w:tcMar>
          </w:tcPr>
          <w:p w14:paraId="47C38E70" w14:textId="77777777" w:rsidR="00AA4BFB" w:rsidRPr="00AA4BFB" w:rsidRDefault="00AA4BFB" w:rsidP="00AA4BFB">
            <w:pPr>
              <w:pStyle w:val="TableParagraph"/>
              <w:spacing w:line="213" w:lineRule="exact"/>
              <w:ind w:left="514" w:right="542"/>
              <w:jc w:val="center"/>
              <w:rPr>
                <w:i/>
                <w:sz w:val="24"/>
                <w:szCs w:val="24"/>
                <w:lang w:val="pt-BR"/>
              </w:rPr>
            </w:pPr>
            <w:r w:rsidRPr="00AA4BFB">
              <w:rPr>
                <w:i/>
                <w:sz w:val="24"/>
                <w:szCs w:val="24"/>
                <w:lang w:val="pt-BR"/>
              </w:rPr>
              <w:t>11</w:t>
            </w:r>
          </w:p>
        </w:tc>
      </w:tr>
      <w:tr w:rsidR="00AA4BFB" w:rsidRPr="00AA4BFB" w14:paraId="10FB795E" w14:textId="77777777">
        <w:trPr>
          <w:trHeight w:hRule="exact" w:val="766"/>
        </w:trPr>
        <w:tc>
          <w:tcPr>
            <w:tcW w:w="6773" w:type="dxa"/>
            <w:tcMar>
              <w:top w:w="0" w:type="dxa"/>
              <w:left w:w="0" w:type="dxa"/>
              <w:bottom w:w="0" w:type="dxa"/>
              <w:right w:w="0" w:type="dxa"/>
            </w:tcMar>
          </w:tcPr>
          <w:p w14:paraId="05D2CA5D" w14:textId="77777777" w:rsidR="00AA4BFB" w:rsidRPr="00AA4BFB" w:rsidRDefault="00AA4BFB" w:rsidP="00AA4BFB">
            <w:pPr>
              <w:pStyle w:val="TableParagraph"/>
              <w:spacing w:line="228" w:lineRule="exact"/>
              <w:ind w:left="45"/>
              <w:jc w:val="both"/>
              <w:rPr>
                <w:i/>
                <w:sz w:val="24"/>
                <w:szCs w:val="24"/>
                <w:lang w:val="pt-BR"/>
              </w:rPr>
            </w:pPr>
            <w:r w:rsidRPr="00AA4BFB">
              <w:rPr>
                <w:i/>
                <w:spacing w:val="-6"/>
                <w:sz w:val="24"/>
                <w:szCs w:val="24"/>
                <w:lang w:val="pt-BR"/>
              </w:rPr>
              <w:lastRenderedPageBreak/>
              <w:t xml:space="preserve">15. </w:t>
            </w:r>
            <w:r w:rsidRPr="00AA4BFB">
              <w:rPr>
                <w:i/>
                <w:sz w:val="24"/>
                <w:szCs w:val="24"/>
                <w:lang w:val="pt-BR"/>
              </w:rPr>
              <w:t xml:space="preserve">Indicação </w:t>
            </w:r>
            <w:r w:rsidRPr="00AA4BFB">
              <w:rPr>
                <w:i/>
                <w:spacing w:val="-3"/>
                <w:sz w:val="24"/>
                <w:szCs w:val="24"/>
                <w:lang w:val="pt-BR"/>
              </w:rPr>
              <w:t xml:space="preserve">expressa </w:t>
            </w:r>
            <w:r w:rsidRPr="00AA4BFB">
              <w:rPr>
                <w:i/>
                <w:spacing w:val="-4"/>
                <w:sz w:val="24"/>
                <w:szCs w:val="24"/>
                <w:lang w:val="pt-BR"/>
              </w:rPr>
              <w:t xml:space="preserve">de </w:t>
            </w:r>
            <w:r w:rsidRPr="00AA4BFB">
              <w:rPr>
                <w:i/>
                <w:spacing w:val="-6"/>
                <w:sz w:val="24"/>
                <w:szCs w:val="24"/>
                <w:lang w:val="pt-BR"/>
              </w:rPr>
              <w:t xml:space="preserve">que </w:t>
            </w:r>
            <w:r w:rsidRPr="00AA4BFB">
              <w:rPr>
                <w:i/>
                <w:sz w:val="24"/>
                <w:szCs w:val="24"/>
                <w:lang w:val="pt-BR"/>
              </w:rPr>
              <w:t xml:space="preserve">caberá </w:t>
            </w:r>
            <w:r w:rsidRPr="00AA4BFB">
              <w:rPr>
                <w:i/>
                <w:spacing w:val="2"/>
                <w:sz w:val="24"/>
                <w:szCs w:val="24"/>
                <w:lang w:val="pt-BR"/>
              </w:rPr>
              <w:t xml:space="preserve">ao </w:t>
            </w:r>
            <w:r w:rsidRPr="00AA4BFB">
              <w:rPr>
                <w:i/>
                <w:spacing w:val="-4"/>
                <w:sz w:val="24"/>
                <w:szCs w:val="24"/>
                <w:lang w:val="pt-BR"/>
              </w:rPr>
              <w:t xml:space="preserve">concessionário </w:t>
            </w:r>
            <w:r w:rsidRPr="00AA4BFB">
              <w:rPr>
                <w:i/>
                <w:sz w:val="24"/>
                <w:szCs w:val="24"/>
                <w:lang w:val="pt-BR"/>
              </w:rPr>
              <w:t xml:space="preserve">o </w:t>
            </w:r>
            <w:r w:rsidRPr="00AA4BFB">
              <w:rPr>
                <w:i/>
                <w:spacing w:val="-3"/>
                <w:sz w:val="24"/>
                <w:szCs w:val="24"/>
                <w:lang w:val="pt-BR"/>
              </w:rPr>
              <w:t xml:space="preserve">pagamento </w:t>
            </w:r>
            <w:r w:rsidRPr="00AA4BFB">
              <w:rPr>
                <w:i/>
                <w:sz w:val="24"/>
                <w:szCs w:val="24"/>
                <w:lang w:val="pt-BR"/>
              </w:rPr>
              <w:t>das indenizações devidas por desapropriações ou servidões necessárias ao cumprimento do contrato.</w:t>
            </w:r>
          </w:p>
        </w:tc>
        <w:tc>
          <w:tcPr>
            <w:tcW w:w="1487" w:type="dxa"/>
            <w:tcMar>
              <w:top w:w="0" w:type="dxa"/>
              <w:left w:w="0" w:type="dxa"/>
              <w:bottom w:w="0" w:type="dxa"/>
              <w:right w:w="0" w:type="dxa"/>
            </w:tcMar>
          </w:tcPr>
          <w:p w14:paraId="02AA032B" w14:textId="77777777" w:rsidR="00AA4BFB" w:rsidRPr="00AA4BFB" w:rsidRDefault="00AA4BFB" w:rsidP="00AA4BFB">
            <w:pPr>
              <w:pStyle w:val="TableParagraph"/>
              <w:rPr>
                <w:b/>
                <w:i/>
                <w:sz w:val="24"/>
                <w:szCs w:val="24"/>
                <w:lang w:val="pt-BR"/>
              </w:rPr>
            </w:pPr>
          </w:p>
          <w:p w14:paraId="4F4830A2" w14:textId="77777777" w:rsidR="00AA4BFB" w:rsidRPr="00AA4BFB" w:rsidRDefault="00AA4BFB" w:rsidP="00AA4BFB">
            <w:pPr>
              <w:pStyle w:val="TableParagraph"/>
              <w:ind w:left="22"/>
              <w:jc w:val="center"/>
              <w:rPr>
                <w:i/>
                <w:sz w:val="24"/>
                <w:szCs w:val="24"/>
              </w:rPr>
            </w:pPr>
            <w:r w:rsidRPr="00AA4BFB">
              <w:rPr>
                <w:i/>
                <w:w w:val="102"/>
                <w:sz w:val="24"/>
                <w:szCs w:val="24"/>
              </w:rPr>
              <w:t>2</w:t>
            </w:r>
          </w:p>
        </w:tc>
        <w:tc>
          <w:tcPr>
            <w:tcW w:w="1456" w:type="dxa"/>
            <w:tcMar>
              <w:top w:w="0" w:type="dxa"/>
              <w:left w:w="0" w:type="dxa"/>
              <w:bottom w:w="0" w:type="dxa"/>
              <w:right w:w="0" w:type="dxa"/>
            </w:tcMar>
          </w:tcPr>
          <w:p w14:paraId="1F7E908C" w14:textId="77777777" w:rsidR="00AA4BFB" w:rsidRPr="00AA4BFB" w:rsidRDefault="00AA4BFB" w:rsidP="00AA4BFB">
            <w:pPr>
              <w:pStyle w:val="TableParagraph"/>
              <w:rPr>
                <w:b/>
                <w:i/>
                <w:sz w:val="24"/>
                <w:szCs w:val="24"/>
              </w:rPr>
            </w:pPr>
          </w:p>
          <w:p w14:paraId="557BFF3C" w14:textId="77777777" w:rsidR="00AA4BFB" w:rsidRPr="00AA4BFB" w:rsidRDefault="00AA4BFB" w:rsidP="00AA4BFB">
            <w:pPr>
              <w:pStyle w:val="TableParagraph"/>
              <w:ind w:left="514" w:right="542"/>
              <w:jc w:val="center"/>
              <w:rPr>
                <w:i/>
                <w:sz w:val="24"/>
                <w:szCs w:val="24"/>
              </w:rPr>
            </w:pPr>
            <w:r w:rsidRPr="00AA4BFB">
              <w:rPr>
                <w:i/>
                <w:sz w:val="24"/>
                <w:szCs w:val="24"/>
              </w:rPr>
              <w:t>11</w:t>
            </w:r>
          </w:p>
        </w:tc>
      </w:tr>
      <w:tr w:rsidR="00AA4BFB" w:rsidRPr="00AA4BFB" w14:paraId="292CB580" w14:textId="77777777">
        <w:trPr>
          <w:trHeight w:hRule="exact" w:val="270"/>
        </w:trPr>
        <w:tc>
          <w:tcPr>
            <w:tcW w:w="6773" w:type="dxa"/>
            <w:tcMar>
              <w:top w:w="0" w:type="dxa"/>
              <w:left w:w="0" w:type="dxa"/>
              <w:bottom w:w="0" w:type="dxa"/>
              <w:right w:w="0" w:type="dxa"/>
            </w:tcMar>
          </w:tcPr>
          <w:p w14:paraId="1A6BB316" w14:textId="77777777" w:rsidR="00AA4BFB" w:rsidRPr="00AA4BFB" w:rsidRDefault="00AA4BFB" w:rsidP="00AA4BFB">
            <w:pPr>
              <w:pStyle w:val="TableParagraph"/>
              <w:spacing w:line="228" w:lineRule="exact"/>
              <w:ind w:left="45"/>
              <w:jc w:val="both"/>
              <w:rPr>
                <w:i/>
                <w:sz w:val="24"/>
                <w:szCs w:val="24"/>
                <w:lang w:val="pt-BR"/>
              </w:rPr>
            </w:pPr>
            <w:r w:rsidRPr="00AA4BFB">
              <w:rPr>
                <w:i/>
                <w:sz w:val="24"/>
                <w:szCs w:val="24"/>
                <w:lang w:val="pt-BR"/>
              </w:rPr>
              <w:t>16. Minuta do Contrato de Concessão.</w:t>
            </w:r>
          </w:p>
        </w:tc>
        <w:tc>
          <w:tcPr>
            <w:tcW w:w="1487" w:type="dxa"/>
            <w:tcMar>
              <w:top w:w="0" w:type="dxa"/>
              <w:left w:w="0" w:type="dxa"/>
              <w:bottom w:w="0" w:type="dxa"/>
              <w:right w:w="0" w:type="dxa"/>
            </w:tcMar>
          </w:tcPr>
          <w:p w14:paraId="30C225B7" w14:textId="77777777" w:rsidR="00AA4BFB" w:rsidRPr="00AA4BFB" w:rsidRDefault="00AA4BFB" w:rsidP="00AA4BFB">
            <w:pPr>
              <w:pStyle w:val="TableParagraph"/>
              <w:spacing w:line="228" w:lineRule="exact"/>
              <w:ind w:left="54" w:right="40"/>
              <w:jc w:val="center"/>
              <w:rPr>
                <w:i/>
                <w:sz w:val="24"/>
                <w:szCs w:val="24"/>
                <w:lang w:val="pt-BR"/>
              </w:rPr>
            </w:pPr>
            <w:r w:rsidRPr="00AA4BFB">
              <w:rPr>
                <w:i/>
                <w:sz w:val="24"/>
                <w:szCs w:val="24"/>
                <w:lang w:val="pt-BR"/>
              </w:rPr>
              <w:t>Anexo XXIX</w:t>
            </w:r>
          </w:p>
        </w:tc>
        <w:tc>
          <w:tcPr>
            <w:tcW w:w="1456" w:type="dxa"/>
            <w:tcMar>
              <w:top w:w="0" w:type="dxa"/>
              <w:left w:w="0" w:type="dxa"/>
              <w:bottom w:w="0" w:type="dxa"/>
              <w:right w:w="0" w:type="dxa"/>
            </w:tcMar>
          </w:tcPr>
          <w:p w14:paraId="232DA557" w14:textId="77777777" w:rsidR="00AA4BFB" w:rsidRPr="00AA4BFB" w:rsidRDefault="00AA4BFB" w:rsidP="00AA4BFB">
            <w:pPr>
              <w:rPr>
                <w:i/>
                <w:szCs w:val="24"/>
                <w:lang w:val="pt-BR"/>
              </w:rPr>
            </w:pPr>
          </w:p>
        </w:tc>
      </w:tr>
      <w:tr w:rsidR="00AA4BFB" w:rsidRPr="00AA4BFB" w14:paraId="0D2C2A60" w14:textId="77777777">
        <w:trPr>
          <w:trHeight w:hRule="exact" w:val="256"/>
        </w:trPr>
        <w:tc>
          <w:tcPr>
            <w:tcW w:w="6773" w:type="dxa"/>
            <w:tcMar>
              <w:top w:w="0" w:type="dxa"/>
              <w:left w:w="0" w:type="dxa"/>
              <w:bottom w:w="0" w:type="dxa"/>
              <w:right w:w="0" w:type="dxa"/>
            </w:tcMar>
          </w:tcPr>
          <w:p w14:paraId="333BC080" w14:textId="77777777" w:rsidR="00AA4BFB" w:rsidRPr="00AA4BFB" w:rsidRDefault="00AA4BFB" w:rsidP="00AA4BFB">
            <w:pPr>
              <w:pStyle w:val="TableParagraph"/>
              <w:spacing w:line="228" w:lineRule="exact"/>
              <w:ind w:left="45"/>
              <w:jc w:val="both"/>
              <w:rPr>
                <w:i/>
                <w:sz w:val="24"/>
                <w:szCs w:val="24"/>
                <w:lang w:val="pt-BR"/>
              </w:rPr>
            </w:pPr>
            <w:r w:rsidRPr="00AA4BFB">
              <w:rPr>
                <w:i/>
                <w:sz w:val="24"/>
                <w:szCs w:val="24"/>
                <w:lang w:val="pt-BR"/>
              </w:rPr>
              <w:t>17. Prazo e condições para assinatura do contrato de concessão.</w:t>
            </w:r>
          </w:p>
        </w:tc>
        <w:tc>
          <w:tcPr>
            <w:tcW w:w="1487" w:type="dxa"/>
            <w:tcMar>
              <w:top w:w="0" w:type="dxa"/>
              <w:left w:w="0" w:type="dxa"/>
              <w:bottom w:w="0" w:type="dxa"/>
              <w:right w:w="0" w:type="dxa"/>
            </w:tcMar>
          </w:tcPr>
          <w:p w14:paraId="1654AF8A" w14:textId="77777777" w:rsidR="00AA4BFB" w:rsidRPr="00AA4BFB" w:rsidRDefault="00AA4BFB" w:rsidP="00AA4BFB">
            <w:pPr>
              <w:pStyle w:val="TableParagraph"/>
              <w:spacing w:line="228" w:lineRule="exact"/>
              <w:ind w:left="22"/>
              <w:jc w:val="center"/>
              <w:rPr>
                <w:i/>
                <w:sz w:val="24"/>
                <w:szCs w:val="24"/>
                <w:lang w:val="pt-BR"/>
              </w:rPr>
            </w:pPr>
            <w:r w:rsidRPr="00AA4BFB">
              <w:rPr>
                <w:i/>
                <w:w w:val="102"/>
                <w:sz w:val="24"/>
                <w:szCs w:val="24"/>
                <w:lang w:val="pt-BR"/>
              </w:rPr>
              <w:t>9</w:t>
            </w:r>
          </w:p>
        </w:tc>
        <w:tc>
          <w:tcPr>
            <w:tcW w:w="1456" w:type="dxa"/>
            <w:tcMar>
              <w:top w:w="0" w:type="dxa"/>
              <w:left w:w="0" w:type="dxa"/>
              <w:bottom w:w="0" w:type="dxa"/>
              <w:right w:w="0" w:type="dxa"/>
            </w:tcMar>
          </w:tcPr>
          <w:p w14:paraId="49DF0E15" w14:textId="77777777" w:rsidR="00AA4BFB" w:rsidRPr="00AA4BFB" w:rsidRDefault="00AA4BFB" w:rsidP="00AA4BFB">
            <w:pPr>
              <w:pStyle w:val="TableParagraph"/>
              <w:spacing w:line="228" w:lineRule="exact"/>
              <w:ind w:left="514" w:right="542"/>
              <w:jc w:val="center"/>
              <w:rPr>
                <w:i/>
                <w:sz w:val="24"/>
                <w:szCs w:val="24"/>
                <w:lang w:val="pt-BR"/>
              </w:rPr>
            </w:pPr>
            <w:r w:rsidRPr="00AA4BFB">
              <w:rPr>
                <w:i/>
                <w:sz w:val="24"/>
                <w:szCs w:val="24"/>
                <w:lang w:val="pt-BR"/>
              </w:rPr>
              <w:t>62</w:t>
            </w:r>
          </w:p>
        </w:tc>
      </w:tr>
    </w:tbl>
    <w:p w14:paraId="72626A2E" w14:textId="77777777" w:rsidR="00AA4BFB" w:rsidRPr="00AA4BFB" w:rsidRDefault="00AA4BFB" w:rsidP="00AA4BFB">
      <w:pPr>
        <w:tabs>
          <w:tab w:val="left" w:pos="1134"/>
        </w:tabs>
        <w:jc w:val="both"/>
        <w:rPr>
          <w:i/>
          <w:spacing w:val="-5"/>
        </w:rPr>
      </w:pPr>
      <w:r w:rsidRPr="00AA4BFB">
        <w:rPr>
          <w:i/>
          <w:spacing w:val="-22"/>
          <w:szCs w:val="24"/>
        </w:rPr>
        <w:t>18.</w:t>
      </w:r>
      <w:r w:rsidR="001A636B">
        <w:rPr>
          <w:i/>
          <w:spacing w:val="-22"/>
          <w:szCs w:val="24"/>
        </w:rPr>
        <w:t xml:space="preserve"> </w:t>
      </w:r>
      <w:r w:rsidRPr="00AA4BFB">
        <w:rPr>
          <w:i/>
          <w:spacing w:val="-5"/>
        </w:rPr>
        <w:t>Registre-se que durante as análises do Primeiro Estágio a SeinfraPetróleo discorreu sobre as principais alterações ocorridas no Pré-Edital, bem como na minuta de contrato, em relação à rodada anterior (peça 11). De forma geral, as alterações promovidas pela ANP, segundo a própria Agência, visaram simplificar os procedimentos, inibir exploração de recursos não convencionais, permitir somente a entrada de licitantes que possuam saúde financeira comprovada por meio de demonstrativos auditados, conferir maior segurança aos contratos de concessão e facilitar a participação de empresas de pequeno e médio porte, além de otimizar a atuação da Agência no processamento da licitação.</w:t>
      </w:r>
    </w:p>
    <w:p w14:paraId="44906796" w14:textId="77777777" w:rsidR="00AA4BFB" w:rsidRPr="00FC2C70" w:rsidRDefault="00AA4BFB" w:rsidP="00AA4BFB">
      <w:pPr>
        <w:tabs>
          <w:tab w:val="left" w:pos="1134"/>
        </w:tabs>
        <w:ind w:left="1134" w:hanging="1134"/>
        <w:jc w:val="both"/>
        <w:rPr>
          <w:i/>
        </w:rPr>
      </w:pPr>
      <w:r w:rsidRPr="00AA4BFB">
        <w:rPr>
          <w:i/>
        </w:rPr>
        <w:t>III.2</w:t>
      </w:r>
      <w:r w:rsidR="001A636B">
        <w:rPr>
          <w:i/>
        </w:rPr>
        <w:t xml:space="preserve"> </w:t>
      </w:r>
      <w:r w:rsidRPr="00FC2C70">
        <w:rPr>
          <w:i/>
        </w:rPr>
        <w:t>Edital de licitação e minuta de</w:t>
      </w:r>
      <w:r w:rsidRPr="00FC2C70">
        <w:rPr>
          <w:i/>
          <w:spacing w:val="-17"/>
        </w:rPr>
        <w:t xml:space="preserve"> </w:t>
      </w:r>
      <w:r w:rsidRPr="00FC2C70">
        <w:rPr>
          <w:i/>
        </w:rPr>
        <w:t>contrato</w:t>
      </w:r>
    </w:p>
    <w:p w14:paraId="72E2CF83" w14:textId="77777777" w:rsidR="00AA4BFB" w:rsidRPr="00AA4BFB" w:rsidRDefault="00AA4BFB" w:rsidP="00AA4BFB">
      <w:pPr>
        <w:tabs>
          <w:tab w:val="left" w:pos="1134"/>
        </w:tabs>
        <w:jc w:val="both"/>
        <w:rPr>
          <w:i/>
          <w:spacing w:val="-5"/>
        </w:rPr>
      </w:pPr>
      <w:r w:rsidRPr="00FC2C70">
        <w:rPr>
          <w:i/>
          <w:spacing w:val="-22"/>
          <w:szCs w:val="24"/>
        </w:rPr>
        <w:t>19.</w:t>
      </w:r>
      <w:r w:rsidR="001A636B" w:rsidRPr="00FC2C70">
        <w:rPr>
          <w:i/>
          <w:spacing w:val="-22"/>
          <w:szCs w:val="24"/>
        </w:rPr>
        <w:t xml:space="preserve"> </w:t>
      </w:r>
      <w:r w:rsidRPr="00FC2C70">
        <w:rPr>
          <w:i/>
          <w:spacing w:val="-5"/>
        </w:rPr>
        <w:t>O art. 8°, inciso II, alínea ‘c’, da IN TCU 27/1998 determina que o edital de licitação, acompanhado da minuta do contrato, deve ser encaminhado ao Tribunal no prazo de 5 dias, no máximo, após a sua publicação. O edital acompanhado da minuta de contrato foi publicado no dia 19/1/2017 e até a conclusão desta análise não havia sido enviado ao TCU, configurando, portanto, descumprimento do prazo. De forma análoga ao envio do pré-edital ao TCU, o encaminhamento intempestivo não prejudicou as análises efetuadas. Tais documentos são públicos, foram acessados tempestivamente pela equipe da SeinfraPetróleo no sítio eletrônico http://www.brasil-rounds.gov.br/ (acessado em 6/2/2017) e encontram-se anexados nas peças 1 (pré-edital) e 23 (edital).</w:t>
      </w:r>
    </w:p>
    <w:p w14:paraId="023FD59F" w14:textId="77777777" w:rsidR="009D0DEC" w:rsidRDefault="00AA4BFB" w:rsidP="00AA4BFB">
      <w:pPr>
        <w:tabs>
          <w:tab w:val="left" w:pos="1134"/>
        </w:tabs>
        <w:jc w:val="both"/>
        <w:rPr>
          <w:i/>
          <w:spacing w:val="-5"/>
        </w:rPr>
      </w:pPr>
      <w:r w:rsidRPr="00AA4BFB">
        <w:rPr>
          <w:i/>
          <w:spacing w:val="-22"/>
          <w:szCs w:val="24"/>
        </w:rPr>
        <w:t>20.</w:t>
      </w:r>
      <w:r w:rsidR="001A636B">
        <w:rPr>
          <w:i/>
          <w:spacing w:val="-22"/>
          <w:szCs w:val="24"/>
        </w:rPr>
        <w:t xml:space="preserve"> </w:t>
      </w:r>
      <w:r w:rsidRPr="00AA4BFB">
        <w:rPr>
          <w:i/>
          <w:spacing w:val="-5"/>
        </w:rPr>
        <w:t xml:space="preserve">O edital de licitação, que substitui o pré-edital, e a minuta de contrato (peça 24) que o acompanha devem atender às exigências específicas contidas na Lei 9.478/1997, na Resolução ANP 18/2015 e se ater às decisões do TCU (Decisões do Plenário 351/1999, 493/1999 e 232/2002). </w:t>
      </w:r>
    </w:p>
    <w:p w14:paraId="65F2E025" w14:textId="77777777" w:rsidR="00AA4BFB" w:rsidRPr="00AA4BFB" w:rsidRDefault="00AA4BFB" w:rsidP="00AA4BFB">
      <w:pPr>
        <w:tabs>
          <w:tab w:val="left" w:pos="1134"/>
        </w:tabs>
        <w:jc w:val="both"/>
        <w:rPr>
          <w:i/>
          <w:spacing w:val="-5"/>
        </w:rPr>
      </w:pPr>
      <w:r w:rsidRPr="00AA4BFB">
        <w:rPr>
          <w:i/>
          <w:spacing w:val="-22"/>
          <w:szCs w:val="24"/>
        </w:rPr>
        <w:t>21.</w:t>
      </w:r>
      <w:r w:rsidR="001A636B">
        <w:rPr>
          <w:i/>
          <w:spacing w:val="-22"/>
          <w:szCs w:val="24"/>
        </w:rPr>
        <w:t xml:space="preserve"> </w:t>
      </w:r>
      <w:r w:rsidRPr="00AA4BFB">
        <w:rPr>
          <w:i/>
          <w:spacing w:val="-5"/>
        </w:rPr>
        <w:t>Destaca-se aqui, que os documentos atenderam às exigências mínimas estabelecidas pela legislação. Os requisitos do Edital estão relacionados no art. 10º do regulamento anexo à Resolução ANP 18/ 2015, já os requisitos essenciais da Minuta de Contrato de Concessão estão relacionados nos arts. 43 e 44 da Lei 9.478/1997. A verificação de cada um dos elementos essenciais consta no quadro II, a seguir:</w:t>
      </w:r>
    </w:p>
    <w:p w14:paraId="318DCBCE" w14:textId="77777777" w:rsidR="00AA4BFB" w:rsidRPr="00AA4BFB" w:rsidRDefault="00AA4BFB" w:rsidP="00AA4BFB">
      <w:pPr>
        <w:pStyle w:val="PargrafodaLista"/>
        <w:tabs>
          <w:tab w:val="left" w:pos="1134"/>
        </w:tabs>
        <w:spacing w:before="0"/>
        <w:ind w:left="0"/>
        <w:rPr>
          <w:b/>
          <w:i/>
          <w:spacing w:val="-5"/>
          <w:sz w:val="24"/>
          <w:lang w:val="pt-BR"/>
        </w:rPr>
      </w:pPr>
      <w:r w:rsidRPr="00AA4BFB">
        <w:rPr>
          <w:i/>
          <w:spacing w:val="-5"/>
          <w:sz w:val="24"/>
          <w:lang w:val="pt-BR"/>
        </w:rPr>
        <w:tab/>
      </w:r>
      <w:r w:rsidRPr="00AA4BFB">
        <w:rPr>
          <w:b/>
          <w:i/>
          <w:spacing w:val="-5"/>
          <w:sz w:val="24"/>
          <w:lang w:val="pt-BR"/>
        </w:rPr>
        <w:t>Quadro II – Verificação de itens constantes do Edital** e da minuta de contrato***</w:t>
      </w:r>
    </w:p>
    <w:tbl>
      <w:tblPr>
        <w:tblW w:w="9930" w:type="dxa"/>
        <w:jc w:val="center"/>
        <w:tblLayout w:type="fixed"/>
        <w:tblCellMar>
          <w:left w:w="70" w:type="dxa"/>
          <w:right w:w="70" w:type="dxa"/>
        </w:tblCellMar>
        <w:tblLook w:val="04A0" w:firstRow="1" w:lastRow="0" w:firstColumn="1" w:lastColumn="0" w:noHBand="0" w:noVBand="1"/>
      </w:tblPr>
      <w:tblGrid>
        <w:gridCol w:w="7894"/>
        <w:gridCol w:w="1520"/>
        <w:gridCol w:w="516"/>
      </w:tblGrid>
      <w:tr w:rsidR="00AA4BFB" w:rsidRPr="00AA4BFB" w14:paraId="619FB5FB" w14:textId="77777777">
        <w:trPr>
          <w:trHeight w:val="315"/>
          <w:tblHeader/>
          <w:jc w:val="center"/>
        </w:trPr>
        <w:tc>
          <w:tcPr>
            <w:tcW w:w="7894" w:type="dxa"/>
            <w:tcBorders>
              <w:top w:val="single" w:sz="8" w:space="0" w:color="000000"/>
              <w:left w:val="single" w:sz="8" w:space="0" w:color="000000"/>
              <w:bottom w:val="single" w:sz="8" w:space="0" w:color="000000"/>
              <w:right w:val="single" w:sz="8" w:space="0" w:color="000000"/>
            </w:tcBorders>
            <w:shd w:val="clear" w:color="000000" w:fill="BEBEBE"/>
            <w:tcMar>
              <w:top w:w="0" w:type="dxa"/>
              <w:left w:w="70" w:type="dxa"/>
              <w:bottom w:w="0" w:type="dxa"/>
              <w:right w:w="70" w:type="dxa"/>
            </w:tcMar>
            <w:vAlign w:val="center"/>
            <w:hideMark/>
          </w:tcPr>
          <w:p w14:paraId="27D05895" w14:textId="77777777" w:rsidR="00AA4BFB" w:rsidRPr="00AA4BFB" w:rsidRDefault="00AA4BFB" w:rsidP="00AA4BFB">
            <w:pPr>
              <w:jc w:val="center"/>
              <w:rPr>
                <w:b/>
                <w:bCs/>
                <w:i/>
                <w:color w:val="000000"/>
                <w:lang w:eastAsia="pt-BR"/>
              </w:rPr>
            </w:pPr>
            <w:r w:rsidRPr="00AA4BFB">
              <w:rPr>
                <w:b/>
                <w:bCs/>
                <w:i/>
                <w:color w:val="000000"/>
                <w:lang w:eastAsia="pt-BR"/>
              </w:rPr>
              <w:t>Itens  de verificação</w:t>
            </w:r>
          </w:p>
        </w:tc>
        <w:tc>
          <w:tcPr>
            <w:tcW w:w="1520" w:type="dxa"/>
            <w:tcBorders>
              <w:top w:val="single" w:sz="8" w:space="0" w:color="000000"/>
              <w:left w:val="nil"/>
              <w:bottom w:val="single" w:sz="8" w:space="0" w:color="000000"/>
              <w:right w:val="single" w:sz="8" w:space="0" w:color="000000"/>
            </w:tcBorders>
            <w:shd w:val="clear" w:color="000000" w:fill="BEBEBE"/>
            <w:tcMar>
              <w:top w:w="0" w:type="dxa"/>
              <w:left w:w="70" w:type="dxa"/>
              <w:bottom w:w="0" w:type="dxa"/>
              <w:right w:w="70" w:type="dxa"/>
            </w:tcMar>
            <w:vAlign w:val="center"/>
            <w:hideMark/>
          </w:tcPr>
          <w:p w14:paraId="7EE30F30" w14:textId="77777777" w:rsidR="00AA4BFB" w:rsidRPr="00AA4BFB" w:rsidRDefault="00AA4BFB" w:rsidP="00AA4BFB">
            <w:pPr>
              <w:ind w:leftChars="-16" w:left="1" w:hangingChars="16" w:hanging="39"/>
              <w:jc w:val="center"/>
              <w:rPr>
                <w:b/>
                <w:bCs/>
                <w:i/>
                <w:color w:val="000000"/>
                <w:lang w:eastAsia="pt-BR"/>
              </w:rPr>
            </w:pPr>
            <w:r w:rsidRPr="00AA4BFB">
              <w:rPr>
                <w:b/>
                <w:bCs/>
                <w:i/>
                <w:color w:val="000000"/>
                <w:lang w:eastAsia="pt-BR"/>
              </w:rPr>
              <w:t>Cláusula</w:t>
            </w:r>
          </w:p>
        </w:tc>
        <w:tc>
          <w:tcPr>
            <w:tcW w:w="516" w:type="dxa"/>
            <w:tcBorders>
              <w:top w:val="single" w:sz="8" w:space="0" w:color="000000"/>
              <w:left w:val="nil"/>
              <w:bottom w:val="single" w:sz="8" w:space="0" w:color="000000"/>
              <w:right w:val="single" w:sz="8" w:space="0" w:color="000000"/>
            </w:tcBorders>
            <w:shd w:val="clear" w:color="000000" w:fill="BEBEBE"/>
            <w:tcMar>
              <w:top w:w="0" w:type="dxa"/>
              <w:left w:w="70" w:type="dxa"/>
              <w:bottom w:w="0" w:type="dxa"/>
              <w:right w:w="70" w:type="dxa"/>
            </w:tcMar>
            <w:vAlign w:val="center"/>
            <w:hideMark/>
          </w:tcPr>
          <w:p w14:paraId="67CA9414" w14:textId="77777777" w:rsidR="00AA4BFB" w:rsidRPr="00AA4BFB" w:rsidRDefault="00AA4BFB" w:rsidP="00AA4BFB">
            <w:pPr>
              <w:jc w:val="center"/>
              <w:rPr>
                <w:b/>
                <w:bCs/>
                <w:i/>
                <w:color w:val="000000"/>
                <w:lang w:eastAsia="pt-BR"/>
              </w:rPr>
            </w:pPr>
            <w:r w:rsidRPr="00AA4BFB">
              <w:rPr>
                <w:b/>
                <w:bCs/>
                <w:i/>
                <w:color w:val="000000"/>
                <w:lang w:eastAsia="pt-BR"/>
              </w:rPr>
              <w:t>fls.</w:t>
            </w:r>
          </w:p>
        </w:tc>
      </w:tr>
      <w:tr w:rsidR="00AA4BFB" w:rsidRPr="00AA4BFB" w14:paraId="5D50BD3F" w14:textId="77777777">
        <w:trPr>
          <w:trHeigh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7153B8B" w14:textId="77777777" w:rsidR="00AA4BFB" w:rsidRPr="00AA4BFB" w:rsidRDefault="00AA4BFB" w:rsidP="00AA4BFB">
            <w:pPr>
              <w:jc w:val="both"/>
              <w:rPr>
                <w:i/>
                <w:color w:val="000000"/>
                <w:lang w:eastAsia="pt-BR"/>
              </w:rPr>
            </w:pPr>
            <w:r w:rsidRPr="00AA4BFB">
              <w:rPr>
                <w:i/>
                <w:color w:val="000000"/>
                <w:lang w:eastAsia="pt-BR"/>
              </w:rPr>
              <w:t>1.    Edital de licitação.</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49A29C7" w14:textId="77777777" w:rsidR="00AA4BFB" w:rsidRPr="00AA4BFB" w:rsidRDefault="00AA4BFB" w:rsidP="00AA4BFB">
            <w:pPr>
              <w:rPr>
                <w:i/>
                <w:color w:val="000000"/>
                <w:lang w:eastAsia="pt-BR"/>
              </w:rPr>
            </w:pPr>
            <w:r w:rsidRPr="00AA4BFB">
              <w:rPr>
                <w:i/>
                <w:color w:val="000000"/>
                <w:lang w:eastAsia="pt-BR"/>
              </w:rPr>
              <w:t> </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9416871" w14:textId="77777777" w:rsidR="00AA4BFB" w:rsidRPr="00AA4BFB" w:rsidRDefault="00AA4BFB" w:rsidP="00AA4BFB">
            <w:pPr>
              <w:rPr>
                <w:i/>
                <w:color w:val="000000"/>
                <w:lang w:eastAsia="pt-BR"/>
              </w:rPr>
            </w:pPr>
            <w:r w:rsidRPr="00AA4BFB">
              <w:rPr>
                <w:i/>
                <w:color w:val="000000"/>
                <w:lang w:eastAsia="pt-BR"/>
              </w:rPr>
              <w:t> </w:t>
            </w:r>
          </w:p>
        </w:tc>
      </w:tr>
      <w:tr w:rsidR="00AA4BFB" w:rsidRPr="00AA4BFB" w14:paraId="7F2A6F39" w14:textId="77777777">
        <w:trPr>
          <w:trHeight w:hRule="exact" w:val="34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D790003" w14:textId="77777777" w:rsidR="00AA4BFB" w:rsidRPr="00AA4BFB" w:rsidRDefault="00AA4BFB" w:rsidP="00AA4BFB">
            <w:pPr>
              <w:jc w:val="both"/>
              <w:rPr>
                <w:i/>
                <w:color w:val="000000"/>
                <w:lang w:eastAsia="pt-BR"/>
              </w:rPr>
            </w:pPr>
            <w:r w:rsidRPr="00AA4BFB">
              <w:rPr>
                <w:i/>
                <w:color w:val="000000"/>
                <w:lang w:eastAsia="pt-BR"/>
              </w:rPr>
              <w:t>1.1 Os blocos objeto da concessão, o prazo estimado para a duração da fase de exploração, os investimentos e programas exploratórios mínimos.</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6026309" w14:textId="77777777" w:rsidR="00AA4BFB" w:rsidRPr="00AA4BFB" w:rsidRDefault="00AA4BFB" w:rsidP="00AA4BFB">
            <w:pPr>
              <w:jc w:val="center"/>
              <w:rPr>
                <w:i/>
                <w:color w:val="000000"/>
                <w:lang w:eastAsia="pt-BR"/>
              </w:rPr>
            </w:pPr>
            <w:r w:rsidRPr="00AA4BFB">
              <w:rPr>
                <w:i/>
                <w:color w:val="000000"/>
                <w:lang w:eastAsia="pt-BR"/>
              </w:rPr>
              <w:t>2</w:t>
            </w:r>
            <w:r w:rsidRPr="00AA4BFB">
              <w:rPr>
                <w:i/>
                <w:color w:val="000000"/>
                <w:lang w:eastAsia="pt-BR"/>
              </w:rPr>
              <w:br/>
              <w:t>Anexo XIV</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49E1222" w14:textId="77777777" w:rsidR="00AA4BFB" w:rsidRPr="00AA4BFB" w:rsidRDefault="00AA4BFB" w:rsidP="00AA4BFB">
            <w:pPr>
              <w:jc w:val="center"/>
              <w:rPr>
                <w:i/>
                <w:color w:val="000000"/>
                <w:lang w:eastAsia="pt-BR"/>
              </w:rPr>
            </w:pPr>
            <w:r w:rsidRPr="00AA4BFB">
              <w:rPr>
                <w:i/>
                <w:color w:val="000000"/>
                <w:lang w:eastAsia="pt-BR"/>
              </w:rPr>
              <w:t>12</w:t>
            </w:r>
            <w:r w:rsidRPr="00AA4BFB">
              <w:rPr>
                <w:i/>
                <w:color w:val="000000"/>
                <w:lang w:eastAsia="pt-BR"/>
              </w:rPr>
              <w:br/>
              <w:t>138</w:t>
            </w:r>
          </w:p>
        </w:tc>
      </w:tr>
      <w:tr w:rsidR="00AA4BFB" w:rsidRPr="00AA4BFB" w14:paraId="343048C2"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9F9EBD9"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3D9AD57"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0DB9D59" w14:textId="77777777" w:rsidR="00AA4BFB" w:rsidRPr="00AA4BFB" w:rsidRDefault="00AA4BFB" w:rsidP="00AA4BFB">
            <w:pPr>
              <w:rPr>
                <w:i/>
                <w:color w:val="000000"/>
                <w:lang w:eastAsia="pt-BR"/>
              </w:rPr>
            </w:pPr>
          </w:p>
        </w:tc>
      </w:tr>
      <w:tr w:rsidR="00AA4BFB" w:rsidRPr="00AA4BFB" w14:paraId="642EFC92" w14:textId="77777777">
        <w:trPr>
          <w:trHeight w:hRule="exact" w:val="6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B6403D5" w14:textId="77777777" w:rsidR="00AA4BFB" w:rsidRPr="00AA4BFB" w:rsidRDefault="00AA4BFB" w:rsidP="00AA4BFB">
            <w:pPr>
              <w:jc w:val="both"/>
              <w:rPr>
                <w:i/>
                <w:color w:val="000000"/>
                <w:lang w:eastAsia="pt-BR"/>
              </w:rPr>
            </w:pPr>
            <w:r w:rsidRPr="00AA4BFB">
              <w:rPr>
                <w:i/>
                <w:color w:val="000000"/>
                <w:lang w:eastAsia="pt-BR"/>
              </w:rPr>
              <w:t>1.2 Os requisitos exigidos dos concorrentes bem como a relação de documentos exigidos e os critérios a serem seguidos para aferição, em relação aos interessados:</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6F3D58E" w14:textId="77777777" w:rsidR="00AA4BFB" w:rsidRPr="00AA4BFB" w:rsidRDefault="00AA4BFB" w:rsidP="00AA4BFB">
            <w:pPr>
              <w:jc w:val="center"/>
              <w:rPr>
                <w:i/>
                <w:color w:val="000000"/>
                <w:lang w:eastAsia="pt-BR"/>
              </w:rPr>
            </w:pPr>
            <w:r w:rsidRPr="00AA4BFB">
              <w:rPr>
                <w:i/>
                <w:color w:val="000000"/>
                <w:lang w:eastAsia="pt-BR"/>
              </w:rPr>
              <w:t>4.2</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3544D86" w14:textId="77777777" w:rsidR="00AA4BFB" w:rsidRPr="00AA4BFB" w:rsidRDefault="00AA4BFB" w:rsidP="00AA4BFB">
            <w:pPr>
              <w:jc w:val="center"/>
              <w:rPr>
                <w:i/>
                <w:color w:val="000000"/>
                <w:lang w:eastAsia="pt-BR"/>
              </w:rPr>
            </w:pPr>
            <w:r w:rsidRPr="00AA4BFB">
              <w:rPr>
                <w:i/>
                <w:color w:val="000000"/>
                <w:lang w:eastAsia="pt-BR"/>
              </w:rPr>
              <w:t>20</w:t>
            </w:r>
          </w:p>
        </w:tc>
      </w:tr>
      <w:tr w:rsidR="00AA4BFB" w:rsidRPr="00AA4BFB" w14:paraId="3B77FBB6"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99C66A5" w14:textId="77777777" w:rsidR="00AA4BFB" w:rsidRPr="00AA4BFB" w:rsidRDefault="00AA4BFB" w:rsidP="00AA4BFB">
            <w:pPr>
              <w:jc w:val="both"/>
              <w:rPr>
                <w:i/>
                <w:color w:val="000000"/>
                <w:lang w:eastAsia="pt-BR"/>
              </w:rPr>
            </w:pPr>
            <w:r w:rsidRPr="00AA4BFB">
              <w:rPr>
                <w:i/>
                <w:color w:val="000000"/>
                <w:lang w:eastAsia="pt-BR"/>
              </w:rPr>
              <w:t>1.2.1 Da capacidade técnica.</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1AC095" w14:textId="77777777" w:rsidR="00AA4BFB" w:rsidRPr="00AA4BFB" w:rsidRDefault="00AA4BFB" w:rsidP="00AA4BFB">
            <w:pPr>
              <w:jc w:val="center"/>
              <w:rPr>
                <w:i/>
                <w:color w:val="000000"/>
                <w:lang w:eastAsia="pt-BR"/>
              </w:rPr>
            </w:pPr>
            <w:r w:rsidRPr="00AA4BFB">
              <w:rPr>
                <w:i/>
                <w:color w:val="000000"/>
                <w:lang w:eastAsia="pt-BR"/>
              </w:rPr>
              <w:t>7.2</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5AB254" w14:textId="77777777" w:rsidR="00AA4BFB" w:rsidRPr="00AA4BFB" w:rsidRDefault="00AA4BFB" w:rsidP="00AA4BFB">
            <w:pPr>
              <w:jc w:val="center"/>
              <w:rPr>
                <w:i/>
                <w:color w:val="000000"/>
                <w:lang w:eastAsia="pt-BR"/>
              </w:rPr>
            </w:pPr>
            <w:r w:rsidRPr="00AA4BFB">
              <w:rPr>
                <w:i/>
                <w:color w:val="000000"/>
                <w:lang w:eastAsia="pt-BR"/>
              </w:rPr>
              <w:t>44</w:t>
            </w:r>
          </w:p>
        </w:tc>
      </w:tr>
      <w:tr w:rsidR="00AA4BFB" w:rsidRPr="00AA4BFB" w14:paraId="63208113"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5004A04" w14:textId="77777777" w:rsidR="00AA4BFB" w:rsidRPr="00AA4BFB" w:rsidRDefault="00AA4BFB" w:rsidP="00AA4BFB">
            <w:pPr>
              <w:jc w:val="both"/>
              <w:rPr>
                <w:i/>
                <w:color w:val="000000"/>
                <w:lang w:eastAsia="pt-BR"/>
              </w:rPr>
            </w:pPr>
            <w:r w:rsidRPr="00AA4BFB">
              <w:rPr>
                <w:i/>
                <w:color w:val="000000"/>
                <w:lang w:eastAsia="pt-BR"/>
              </w:rPr>
              <w:t>1.2.2 Da idoneidade financeira.</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7242735" w14:textId="77777777" w:rsidR="00AA4BFB" w:rsidRPr="00AA4BFB" w:rsidRDefault="00AA4BFB" w:rsidP="00AA4BFB">
            <w:pPr>
              <w:jc w:val="center"/>
              <w:rPr>
                <w:i/>
                <w:color w:val="000000"/>
                <w:lang w:eastAsia="pt-BR"/>
              </w:rPr>
            </w:pPr>
            <w:r w:rsidRPr="00AA4BFB">
              <w:rPr>
                <w:i/>
                <w:color w:val="000000"/>
                <w:lang w:eastAsia="pt-BR"/>
              </w:rPr>
              <w:t>7.1</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1011F74" w14:textId="77777777" w:rsidR="00AA4BFB" w:rsidRPr="00AA4BFB" w:rsidRDefault="00AA4BFB" w:rsidP="00AA4BFB">
            <w:pPr>
              <w:jc w:val="center"/>
              <w:rPr>
                <w:i/>
                <w:color w:val="000000"/>
                <w:lang w:eastAsia="pt-BR"/>
              </w:rPr>
            </w:pPr>
            <w:r w:rsidRPr="00AA4BFB">
              <w:rPr>
                <w:i/>
                <w:color w:val="000000"/>
                <w:lang w:eastAsia="pt-BR"/>
              </w:rPr>
              <w:t>43</w:t>
            </w:r>
          </w:p>
        </w:tc>
      </w:tr>
      <w:tr w:rsidR="00AA4BFB" w:rsidRPr="00AA4BFB" w14:paraId="3F6D64D2"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104B13B" w14:textId="77777777" w:rsidR="00AA4BFB" w:rsidRPr="00AA4BFB" w:rsidRDefault="00AA4BFB" w:rsidP="00AA4BFB">
            <w:pPr>
              <w:jc w:val="both"/>
              <w:rPr>
                <w:i/>
                <w:color w:val="000000"/>
                <w:lang w:eastAsia="pt-BR"/>
              </w:rPr>
            </w:pPr>
            <w:r w:rsidRPr="00AA4BFB">
              <w:rPr>
                <w:i/>
                <w:color w:val="000000"/>
                <w:lang w:eastAsia="pt-BR"/>
              </w:rPr>
              <w:t>1.2.3 Da regularidade jurídica.</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C1023E3" w14:textId="77777777" w:rsidR="00AA4BFB" w:rsidRPr="00AA4BFB" w:rsidRDefault="00AA4BFB" w:rsidP="00AA4BFB">
            <w:pPr>
              <w:jc w:val="center"/>
              <w:rPr>
                <w:i/>
                <w:color w:val="000000"/>
                <w:lang w:eastAsia="pt-BR"/>
              </w:rPr>
            </w:pPr>
            <w:r w:rsidRPr="00AA4BFB">
              <w:rPr>
                <w:i/>
                <w:color w:val="000000"/>
                <w:lang w:eastAsia="pt-BR"/>
              </w:rPr>
              <w:t>7.1</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23D9441" w14:textId="77777777" w:rsidR="00AA4BFB" w:rsidRPr="00AA4BFB" w:rsidRDefault="00AA4BFB" w:rsidP="00AA4BFB">
            <w:pPr>
              <w:jc w:val="center"/>
              <w:rPr>
                <w:i/>
                <w:color w:val="000000"/>
                <w:lang w:eastAsia="pt-BR"/>
              </w:rPr>
            </w:pPr>
            <w:r w:rsidRPr="00AA4BFB">
              <w:rPr>
                <w:i/>
                <w:color w:val="000000"/>
                <w:lang w:eastAsia="pt-BR"/>
              </w:rPr>
              <w:t>43</w:t>
            </w:r>
          </w:p>
        </w:tc>
      </w:tr>
      <w:tr w:rsidR="00AA4BFB" w:rsidRPr="00AA4BFB" w14:paraId="2D70CD87"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2C192A5" w14:textId="77777777" w:rsidR="00AA4BFB" w:rsidRPr="00AA4BFB" w:rsidRDefault="00AA4BFB" w:rsidP="00AA4BFB">
            <w:pPr>
              <w:jc w:val="both"/>
              <w:rPr>
                <w:i/>
                <w:color w:val="000000"/>
                <w:lang w:eastAsia="pt-BR"/>
              </w:rPr>
            </w:pPr>
            <w:r w:rsidRPr="00AA4BFB">
              <w:rPr>
                <w:i/>
                <w:color w:val="000000"/>
                <w:lang w:eastAsia="pt-BR"/>
              </w:rPr>
              <w:t>1.3  As  participações  governamentais mínimas:</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723B349" w14:textId="77777777" w:rsidR="00AA4BFB" w:rsidRPr="00AA4BFB" w:rsidRDefault="00AA4BFB" w:rsidP="00AA4BFB">
            <w:pPr>
              <w:jc w:val="center"/>
              <w:rPr>
                <w:i/>
                <w:color w:val="000000"/>
                <w:lang w:eastAsia="pt-BR"/>
              </w:rPr>
            </w:pPr>
            <w:r w:rsidRPr="00AA4BFB">
              <w:rPr>
                <w:i/>
                <w:color w:val="000000"/>
                <w:lang w:eastAsia="pt-BR"/>
              </w:rPr>
              <w:t>Contrato, Anexo V</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FA1CE35" w14:textId="77777777" w:rsidR="00AA4BFB" w:rsidRPr="00AA4BFB" w:rsidRDefault="00AA4BFB" w:rsidP="00AA4BFB">
            <w:pPr>
              <w:jc w:val="center"/>
              <w:rPr>
                <w:i/>
                <w:color w:val="000000"/>
                <w:lang w:eastAsia="pt-BR"/>
              </w:rPr>
            </w:pPr>
            <w:r w:rsidRPr="00AA4BFB">
              <w:rPr>
                <w:i/>
                <w:color w:val="000000"/>
                <w:lang w:eastAsia="pt-BR"/>
              </w:rPr>
              <w:t>61</w:t>
            </w:r>
          </w:p>
        </w:tc>
      </w:tr>
      <w:tr w:rsidR="00AA4BFB" w:rsidRPr="00AA4BFB" w14:paraId="53AB5D1B"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B897AB3"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43509E2"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1C8E94F" w14:textId="77777777" w:rsidR="00AA4BFB" w:rsidRPr="00AA4BFB" w:rsidRDefault="00AA4BFB" w:rsidP="00AA4BFB">
            <w:pPr>
              <w:rPr>
                <w:i/>
                <w:color w:val="000000"/>
                <w:lang w:eastAsia="pt-BR"/>
              </w:rPr>
            </w:pPr>
          </w:p>
        </w:tc>
      </w:tr>
      <w:tr w:rsidR="00AA4BFB" w:rsidRPr="00AA4BFB" w14:paraId="625A625F"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01FB3BD" w14:textId="77777777" w:rsidR="00AA4BFB" w:rsidRPr="00AA4BFB" w:rsidRDefault="00AA4BFB" w:rsidP="00AA4BFB">
            <w:pPr>
              <w:jc w:val="both"/>
              <w:rPr>
                <w:i/>
                <w:color w:val="000000"/>
                <w:lang w:eastAsia="pt-BR"/>
              </w:rPr>
            </w:pPr>
            <w:r w:rsidRPr="00AA4BFB">
              <w:rPr>
                <w:i/>
                <w:color w:val="000000"/>
                <w:lang w:eastAsia="pt-BR"/>
              </w:rPr>
              <w:t>1.3.1 Valor mínimo do bônus de assinatura.</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3F5F30" w14:textId="77777777" w:rsidR="00AA4BFB" w:rsidRPr="00AA4BFB" w:rsidRDefault="00AA4BFB" w:rsidP="00AA4BFB">
            <w:pPr>
              <w:jc w:val="center"/>
              <w:rPr>
                <w:i/>
                <w:color w:val="000000"/>
                <w:lang w:eastAsia="pt-BR"/>
              </w:rPr>
            </w:pPr>
            <w:r w:rsidRPr="00AA4BFB">
              <w:rPr>
                <w:i/>
                <w:color w:val="000000"/>
                <w:lang w:eastAsia="pt-BR"/>
              </w:rPr>
              <w:t>Anexo XIII</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9335BED" w14:textId="77777777" w:rsidR="00AA4BFB" w:rsidRPr="00AA4BFB" w:rsidRDefault="00AA4BFB" w:rsidP="00AA4BFB">
            <w:pPr>
              <w:jc w:val="center"/>
              <w:rPr>
                <w:i/>
                <w:color w:val="000000"/>
                <w:lang w:eastAsia="pt-BR"/>
              </w:rPr>
            </w:pPr>
            <w:r w:rsidRPr="00AA4BFB">
              <w:rPr>
                <w:i/>
                <w:color w:val="000000"/>
                <w:lang w:eastAsia="pt-BR"/>
              </w:rPr>
              <w:t>137</w:t>
            </w:r>
          </w:p>
        </w:tc>
      </w:tr>
      <w:tr w:rsidR="00AA4BFB" w:rsidRPr="00AA4BFB" w14:paraId="3D652F9B"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07CB718" w14:textId="77777777" w:rsidR="00AA4BFB" w:rsidRPr="00AA4BFB" w:rsidRDefault="00AA4BFB" w:rsidP="00AA4BFB">
            <w:pPr>
              <w:jc w:val="both"/>
              <w:rPr>
                <w:i/>
                <w:color w:val="000000"/>
                <w:lang w:eastAsia="pt-BR"/>
              </w:rPr>
            </w:pPr>
            <w:r w:rsidRPr="00AA4BFB">
              <w:rPr>
                <w:i/>
                <w:color w:val="000000"/>
                <w:lang w:eastAsia="pt-BR"/>
              </w:rPr>
              <w:t>1.3.2 Royalties.</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B88F2BB" w14:textId="77777777" w:rsidR="00AA4BFB" w:rsidRPr="00AA4BFB" w:rsidRDefault="00AA4BFB" w:rsidP="00AA4BFB">
            <w:pPr>
              <w:jc w:val="center"/>
              <w:rPr>
                <w:i/>
                <w:color w:val="000000"/>
                <w:lang w:eastAsia="pt-BR"/>
              </w:rPr>
            </w:pPr>
            <w:r w:rsidRPr="00AA4BFB">
              <w:rPr>
                <w:i/>
                <w:color w:val="000000"/>
                <w:lang w:eastAsia="pt-BR"/>
              </w:rPr>
              <w:t>Contrato, Anexo V</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FD4AFB3" w14:textId="77777777" w:rsidR="00AA4BFB" w:rsidRPr="00AA4BFB" w:rsidRDefault="00AA4BFB" w:rsidP="00AA4BFB">
            <w:pPr>
              <w:jc w:val="center"/>
              <w:rPr>
                <w:i/>
                <w:color w:val="000000"/>
                <w:lang w:eastAsia="pt-BR"/>
              </w:rPr>
            </w:pPr>
            <w:r w:rsidRPr="00AA4BFB">
              <w:rPr>
                <w:i/>
                <w:color w:val="000000"/>
                <w:lang w:eastAsia="pt-BR"/>
              </w:rPr>
              <w:t>61</w:t>
            </w:r>
          </w:p>
        </w:tc>
      </w:tr>
      <w:tr w:rsidR="00AA4BFB" w:rsidRPr="00AA4BFB" w14:paraId="191935DF"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DE03562"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D6CD5E7"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356EEEF" w14:textId="77777777" w:rsidR="00AA4BFB" w:rsidRPr="00AA4BFB" w:rsidRDefault="00AA4BFB" w:rsidP="00AA4BFB">
            <w:pPr>
              <w:rPr>
                <w:i/>
                <w:color w:val="000000"/>
                <w:lang w:eastAsia="pt-BR"/>
              </w:rPr>
            </w:pPr>
          </w:p>
        </w:tc>
      </w:tr>
      <w:tr w:rsidR="00AA4BFB" w:rsidRPr="00AA4BFB" w14:paraId="680A74E9"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73466D4" w14:textId="77777777" w:rsidR="00AA4BFB" w:rsidRPr="00AA4BFB" w:rsidRDefault="00AA4BFB" w:rsidP="00AA4BFB">
            <w:pPr>
              <w:jc w:val="both"/>
              <w:rPr>
                <w:i/>
                <w:color w:val="000000"/>
                <w:lang w:eastAsia="pt-BR"/>
              </w:rPr>
            </w:pPr>
            <w:r w:rsidRPr="00AA4BFB">
              <w:rPr>
                <w:i/>
                <w:color w:val="000000"/>
                <w:lang w:eastAsia="pt-BR"/>
              </w:rPr>
              <w:t>1.3.3 Participação especial (cláusula facultativa).</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059C369" w14:textId="77777777" w:rsidR="00AA4BFB" w:rsidRPr="00AA4BFB" w:rsidRDefault="00AA4BFB" w:rsidP="00AA4BFB">
            <w:pPr>
              <w:rPr>
                <w:i/>
                <w:color w:val="000000"/>
                <w:lang w:eastAsia="pt-BR"/>
              </w:rPr>
            </w:pPr>
            <w:r w:rsidRPr="00AA4BFB">
              <w:rPr>
                <w:i/>
                <w:color w:val="000000"/>
                <w:lang w:eastAsia="pt-BR"/>
              </w:rPr>
              <w:t> </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AA584D" w14:textId="77777777" w:rsidR="00AA4BFB" w:rsidRPr="00AA4BFB" w:rsidRDefault="00AA4BFB" w:rsidP="00AA4BFB">
            <w:pPr>
              <w:rPr>
                <w:i/>
                <w:color w:val="000000"/>
                <w:lang w:eastAsia="pt-BR"/>
              </w:rPr>
            </w:pPr>
            <w:r w:rsidRPr="00AA4BFB">
              <w:rPr>
                <w:i/>
                <w:color w:val="000000"/>
                <w:lang w:eastAsia="pt-BR"/>
              </w:rPr>
              <w:t> </w:t>
            </w:r>
          </w:p>
        </w:tc>
      </w:tr>
      <w:tr w:rsidR="00AA4BFB" w:rsidRPr="00AA4BFB" w14:paraId="50D22845" w14:textId="77777777">
        <w:trPr>
          <w:trHeight w:hRule="exact" w:val="227"/>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434010F" w14:textId="77777777" w:rsidR="00AA4BFB" w:rsidRPr="00AA4BFB" w:rsidRDefault="00AA4BFB" w:rsidP="00AA4BFB">
            <w:pPr>
              <w:jc w:val="both"/>
              <w:rPr>
                <w:i/>
                <w:color w:val="000000"/>
                <w:lang w:eastAsia="pt-BR"/>
              </w:rPr>
            </w:pPr>
            <w:r w:rsidRPr="00AA4BFB">
              <w:rPr>
                <w:i/>
                <w:color w:val="000000"/>
                <w:lang w:eastAsia="pt-BR"/>
              </w:rPr>
              <w:t>1.3.4 Pagamento pela ocupação ou retenção de área.</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A19844E" w14:textId="77777777" w:rsidR="00AA4BFB" w:rsidRPr="00AA4BFB" w:rsidRDefault="00AA4BFB" w:rsidP="00AA4BFB">
            <w:pPr>
              <w:jc w:val="center"/>
              <w:rPr>
                <w:i/>
                <w:color w:val="000000"/>
                <w:lang w:eastAsia="pt-BR"/>
              </w:rPr>
            </w:pPr>
            <w:r w:rsidRPr="00AA4BFB">
              <w:rPr>
                <w:i/>
                <w:color w:val="000000"/>
                <w:lang w:eastAsia="pt-BR"/>
              </w:rPr>
              <w:t xml:space="preserve">Contrato, </w:t>
            </w:r>
            <w:r w:rsidRPr="00AA4BFB">
              <w:rPr>
                <w:i/>
                <w:color w:val="000000"/>
                <w:lang w:eastAsia="pt-BR"/>
              </w:rPr>
              <w:lastRenderedPageBreak/>
              <w:t>Anexo V</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FF54E86" w14:textId="77777777" w:rsidR="00AA4BFB" w:rsidRPr="00AA4BFB" w:rsidRDefault="00AA4BFB" w:rsidP="00AA4BFB">
            <w:pPr>
              <w:jc w:val="center"/>
              <w:rPr>
                <w:i/>
                <w:color w:val="000000"/>
                <w:lang w:eastAsia="pt-BR"/>
              </w:rPr>
            </w:pPr>
            <w:r w:rsidRPr="00AA4BFB">
              <w:rPr>
                <w:i/>
                <w:color w:val="000000"/>
                <w:lang w:eastAsia="pt-BR"/>
              </w:rPr>
              <w:lastRenderedPageBreak/>
              <w:t>61</w:t>
            </w:r>
          </w:p>
        </w:tc>
      </w:tr>
      <w:tr w:rsidR="00AA4BFB" w:rsidRPr="00AA4BFB" w14:paraId="3DD2982B"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95FC4BF"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A0B9985"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A0D5DC2" w14:textId="77777777" w:rsidR="00AA4BFB" w:rsidRPr="00AA4BFB" w:rsidRDefault="00AA4BFB" w:rsidP="00AA4BFB">
            <w:pPr>
              <w:rPr>
                <w:i/>
                <w:color w:val="000000"/>
                <w:lang w:eastAsia="pt-BR"/>
              </w:rPr>
            </w:pPr>
          </w:p>
        </w:tc>
      </w:tr>
      <w:tr w:rsidR="00AA4BFB" w:rsidRPr="00AA4BFB" w14:paraId="3886AA4A"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3248868" w14:textId="77777777" w:rsidR="00AA4BFB" w:rsidRPr="00AA4BFB" w:rsidRDefault="00AA4BFB" w:rsidP="00AA4BFB">
            <w:pPr>
              <w:jc w:val="both"/>
              <w:rPr>
                <w:i/>
                <w:color w:val="000000"/>
                <w:lang w:eastAsia="pt-BR"/>
              </w:rPr>
            </w:pPr>
            <w:r w:rsidRPr="00AA4BFB">
              <w:rPr>
                <w:i/>
                <w:color w:val="000000"/>
                <w:lang w:eastAsia="pt-BR"/>
              </w:rPr>
              <w:t>1.4 A participação dos superficiários.</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B91CF01" w14:textId="77777777" w:rsidR="00AA4BFB" w:rsidRPr="00AA4BFB" w:rsidRDefault="00AA4BFB" w:rsidP="00AA4BFB">
            <w:pPr>
              <w:jc w:val="center"/>
              <w:rPr>
                <w:i/>
                <w:color w:val="000000"/>
                <w:lang w:eastAsia="pt-BR"/>
              </w:rPr>
            </w:pPr>
            <w:r w:rsidRPr="00AA4BFB">
              <w:rPr>
                <w:i/>
                <w:color w:val="000000"/>
                <w:lang w:eastAsia="pt-BR"/>
              </w:rPr>
              <w:t>Contrato, Anexo V</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3BF2F4E" w14:textId="77777777" w:rsidR="00AA4BFB" w:rsidRPr="00AA4BFB" w:rsidRDefault="00AA4BFB" w:rsidP="00AA4BFB">
            <w:pPr>
              <w:jc w:val="center"/>
              <w:rPr>
                <w:i/>
                <w:color w:val="000000"/>
                <w:lang w:eastAsia="pt-BR"/>
              </w:rPr>
            </w:pPr>
            <w:r w:rsidRPr="00AA4BFB">
              <w:rPr>
                <w:i/>
                <w:color w:val="000000"/>
                <w:lang w:eastAsia="pt-BR"/>
              </w:rPr>
              <w:t>61</w:t>
            </w:r>
          </w:p>
        </w:tc>
      </w:tr>
      <w:tr w:rsidR="00AA4BFB" w:rsidRPr="00AA4BFB" w14:paraId="6B8AF502"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13FA264"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1459113"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DB48F8" w14:textId="77777777" w:rsidR="00AA4BFB" w:rsidRPr="00AA4BFB" w:rsidRDefault="00AA4BFB" w:rsidP="00AA4BFB">
            <w:pPr>
              <w:rPr>
                <w:i/>
                <w:color w:val="000000"/>
                <w:lang w:eastAsia="pt-BR"/>
              </w:rPr>
            </w:pPr>
          </w:p>
        </w:tc>
      </w:tr>
      <w:tr w:rsidR="00AA4BFB" w:rsidRPr="00AA4BFB" w14:paraId="3CBE163C" w14:textId="77777777">
        <w:trPr>
          <w:trHeight w:hRule="exact" w:val="6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CE6404B" w14:textId="77777777" w:rsidR="00AA4BFB" w:rsidRPr="00AA4BFB" w:rsidRDefault="00AA4BFB" w:rsidP="00AA4BFB">
            <w:pPr>
              <w:jc w:val="both"/>
              <w:rPr>
                <w:i/>
                <w:color w:val="000000"/>
                <w:lang w:eastAsia="pt-BR"/>
              </w:rPr>
            </w:pPr>
            <w:r w:rsidRPr="00AA4BFB">
              <w:rPr>
                <w:i/>
                <w:color w:val="000000"/>
                <w:lang w:eastAsia="pt-BR"/>
              </w:rPr>
              <w:t>1.5 A indicação clara e objetiva dos critérios utilizados para o julgamento técnico e econômico-financeiro da proposta.</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83D4CBF" w14:textId="77777777" w:rsidR="00AA4BFB" w:rsidRPr="00AA4BFB" w:rsidRDefault="00AA4BFB" w:rsidP="00AA4BFB">
            <w:pPr>
              <w:jc w:val="center"/>
              <w:rPr>
                <w:i/>
                <w:color w:val="000000"/>
                <w:lang w:eastAsia="pt-BR"/>
              </w:rPr>
            </w:pPr>
            <w:r w:rsidRPr="00AA4BFB">
              <w:rPr>
                <w:i/>
                <w:color w:val="000000"/>
                <w:lang w:eastAsia="pt-BR"/>
              </w:rPr>
              <w:t>6.6</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2B60A83" w14:textId="77777777" w:rsidR="00AA4BFB" w:rsidRPr="00AA4BFB" w:rsidRDefault="00AA4BFB" w:rsidP="00AA4BFB">
            <w:pPr>
              <w:jc w:val="center"/>
              <w:rPr>
                <w:i/>
                <w:color w:val="000000"/>
                <w:lang w:eastAsia="pt-BR"/>
              </w:rPr>
            </w:pPr>
            <w:r w:rsidRPr="00AA4BFB">
              <w:rPr>
                <w:i/>
                <w:color w:val="000000"/>
                <w:lang w:eastAsia="pt-BR"/>
              </w:rPr>
              <w:t>40</w:t>
            </w:r>
          </w:p>
        </w:tc>
      </w:tr>
      <w:tr w:rsidR="00AA4BFB" w:rsidRPr="00AA4BFB" w14:paraId="6DD0D414"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367E30C" w14:textId="77777777" w:rsidR="00AA4BFB" w:rsidRPr="00AA4BFB" w:rsidRDefault="00AA4BFB" w:rsidP="00AA4BFB">
            <w:pPr>
              <w:jc w:val="both"/>
              <w:rPr>
                <w:i/>
                <w:color w:val="000000"/>
                <w:lang w:eastAsia="pt-BR"/>
              </w:rPr>
            </w:pPr>
            <w:r w:rsidRPr="00AA4BFB">
              <w:rPr>
                <w:i/>
                <w:color w:val="000000"/>
                <w:lang w:eastAsia="pt-BR"/>
              </w:rPr>
              <w:t>1.6 A expressa indicação de que caberá ao concessionário o pagamento das indenizações devidas por desapropriações ou servidões necessárias ao cumprimento do contrato.</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37E28BD" w14:textId="77777777" w:rsidR="00AA4BFB" w:rsidRPr="00AA4BFB" w:rsidRDefault="00AA4BFB" w:rsidP="00AA4BFB">
            <w:pPr>
              <w:jc w:val="center"/>
              <w:rPr>
                <w:i/>
                <w:color w:val="000000"/>
                <w:lang w:eastAsia="pt-BR"/>
              </w:rPr>
            </w:pPr>
            <w:r w:rsidRPr="00AA4BFB">
              <w:rPr>
                <w:i/>
                <w:color w:val="000000"/>
                <w:w w:val="102"/>
                <w:lang w:eastAsia="pt-BR"/>
              </w:rPr>
              <w:t>2</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9EDAB49" w14:textId="77777777" w:rsidR="00AA4BFB" w:rsidRPr="00AA4BFB" w:rsidRDefault="00AA4BFB" w:rsidP="00AA4BFB">
            <w:pPr>
              <w:jc w:val="center"/>
              <w:rPr>
                <w:i/>
                <w:color w:val="000000"/>
                <w:lang w:eastAsia="pt-BR"/>
              </w:rPr>
            </w:pPr>
            <w:r w:rsidRPr="00AA4BFB">
              <w:rPr>
                <w:i/>
                <w:color w:val="000000"/>
                <w:lang w:eastAsia="pt-BR"/>
              </w:rPr>
              <w:t>11</w:t>
            </w:r>
          </w:p>
        </w:tc>
      </w:tr>
      <w:tr w:rsidR="00AA4BFB" w:rsidRPr="00AA4BFB" w14:paraId="51679DAA"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F64E4D2"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CAB394F"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C270A1" w14:textId="77777777" w:rsidR="00AA4BFB" w:rsidRPr="00AA4BFB" w:rsidRDefault="00AA4BFB" w:rsidP="00AA4BFB">
            <w:pPr>
              <w:rPr>
                <w:i/>
                <w:color w:val="000000"/>
                <w:lang w:eastAsia="pt-BR"/>
              </w:rPr>
            </w:pPr>
          </w:p>
        </w:tc>
      </w:tr>
      <w:tr w:rsidR="00AA4BFB" w:rsidRPr="00AA4BFB" w14:paraId="3FCFFBEA"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F18600C" w14:textId="77777777" w:rsidR="00AA4BFB" w:rsidRPr="00AA4BFB" w:rsidRDefault="00AA4BFB" w:rsidP="00AA4BFB">
            <w:pPr>
              <w:jc w:val="both"/>
              <w:rPr>
                <w:i/>
                <w:color w:val="000000"/>
                <w:lang w:eastAsia="pt-BR"/>
              </w:rPr>
            </w:pPr>
            <w:r w:rsidRPr="00AA4BFB">
              <w:rPr>
                <w:i/>
                <w:color w:val="000000"/>
                <w:lang w:eastAsia="pt-BR"/>
              </w:rPr>
              <w:t>1.7 O prazo, local e horário em que serão fornecidos, aos interessados, os dados, estudos e demais elementos e informações, necessários à elaboração das propostas, bem como o custo de sua aquisição.</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529654E" w14:textId="77777777" w:rsidR="00AA4BFB" w:rsidRPr="00AA4BFB" w:rsidRDefault="00AA4BFB" w:rsidP="00AA4BFB">
            <w:pPr>
              <w:jc w:val="center"/>
              <w:rPr>
                <w:i/>
                <w:color w:val="000000"/>
                <w:lang w:eastAsia="pt-BR"/>
              </w:rPr>
            </w:pPr>
            <w:r w:rsidRPr="00AA4BFB">
              <w:rPr>
                <w:i/>
                <w:color w:val="000000"/>
                <w:lang w:eastAsia="pt-BR"/>
              </w:rPr>
              <w:t>4.3.2.1</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0203CFA" w14:textId="77777777" w:rsidR="00AA4BFB" w:rsidRPr="00AA4BFB" w:rsidRDefault="00AA4BFB" w:rsidP="00AA4BFB">
            <w:pPr>
              <w:jc w:val="center"/>
              <w:rPr>
                <w:i/>
                <w:color w:val="000000"/>
                <w:lang w:eastAsia="pt-BR"/>
              </w:rPr>
            </w:pPr>
            <w:r w:rsidRPr="00AA4BFB">
              <w:rPr>
                <w:i/>
                <w:color w:val="000000"/>
                <w:lang w:eastAsia="pt-BR"/>
              </w:rPr>
              <w:t>30</w:t>
            </w:r>
          </w:p>
        </w:tc>
      </w:tr>
      <w:tr w:rsidR="00AA4BFB" w:rsidRPr="00AA4BFB" w14:paraId="65D40F6B"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9002995"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6481059"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5A7EA4B" w14:textId="77777777" w:rsidR="00AA4BFB" w:rsidRPr="00AA4BFB" w:rsidRDefault="00AA4BFB" w:rsidP="00AA4BFB">
            <w:pPr>
              <w:rPr>
                <w:i/>
                <w:color w:val="000000"/>
                <w:lang w:eastAsia="pt-BR"/>
              </w:rPr>
            </w:pPr>
          </w:p>
        </w:tc>
      </w:tr>
      <w:tr w:rsidR="00AA4BFB" w:rsidRPr="00AA4BFB" w14:paraId="7F481D21" w14:textId="77777777">
        <w:trPr>
          <w:trHeight w:hRule="exact" w:val="6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360635A" w14:textId="77777777" w:rsidR="00AA4BFB" w:rsidRPr="00AA4BFB" w:rsidRDefault="00AA4BFB" w:rsidP="00AA4BFB">
            <w:pPr>
              <w:jc w:val="both"/>
              <w:rPr>
                <w:i/>
                <w:color w:val="000000"/>
                <w:lang w:eastAsia="pt-BR"/>
              </w:rPr>
            </w:pPr>
            <w:r w:rsidRPr="00AA4BFB">
              <w:rPr>
                <w:i/>
                <w:color w:val="000000"/>
                <w:lang w:eastAsia="pt-BR"/>
              </w:rPr>
              <w:t xml:space="preserve">1.8 Quando permitida a participação de </w:t>
            </w:r>
            <w:r w:rsidRPr="00AA4BFB">
              <w:rPr>
                <w:b/>
                <w:bCs/>
                <w:i/>
                <w:color w:val="000000"/>
                <w:lang w:eastAsia="pt-BR"/>
              </w:rPr>
              <w:t>empresas em consórcio</w:t>
            </w:r>
            <w:r w:rsidRPr="00AA4BFB">
              <w:rPr>
                <w:i/>
                <w:color w:val="000000"/>
                <w:lang w:eastAsia="pt-BR"/>
              </w:rPr>
              <w:t>, o edital conterá as seguintes exigências:</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3D02140" w14:textId="77777777" w:rsidR="00AA4BFB" w:rsidRPr="00AA4BFB" w:rsidRDefault="00AA4BFB" w:rsidP="00AA4BFB">
            <w:pPr>
              <w:rPr>
                <w:i/>
                <w:color w:val="000000"/>
                <w:lang w:eastAsia="pt-BR"/>
              </w:rPr>
            </w:pPr>
            <w:r w:rsidRPr="00AA4BFB">
              <w:rPr>
                <w:i/>
                <w:color w:val="000000"/>
                <w:lang w:eastAsia="pt-BR"/>
              </w:rPr>
              <w:t> </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2987EE0" w14:textId="77777777" w:rsidR="00AA4BFB" w:rsidRPr="00AA4BFB" w:rsidRDefault="00AA4BFB" w:rsidP="00AA4BFB">
            <w:pPr>
              <w:rPr>
                <w:i/>
                <w:color w:val="000000"/>
                <w:lang w:eastAsia="pt-BR"/>
              </w:rPr>
            </w:pPr>
            <w:r w:rsidRPr="00AA4BFB">
              <w:rPr>
                <w:i/>
                <w:color w:val="000000"/>
                <w:lang w:eastAsia="pt-BR"/>
              </w:rPr>
              <w:t> </w:t>
            </w:r>
          </w:p>
        </w:tc>
      </w:tr>
      <w:tr w:rsidR="00AA4BFB" w:rsidRPr="00AA4BFB" w14:paraId="6C9CFAA3" w14:textId="77777777">
        <w:trPr>
          <w:trHeight w:hRule="exact" w:val="6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C927F51" w14:textId="77777777" w:rsidR="00AA4BFB" w:rsidRPr="00AA4BFB" w:rsidRDefault="00AA4BFB" w:rsidP="00AA4BFB">
            <w:pPr>
              <w:jc w:val="both"/>
              <w:rPr>
                <w:i/>
                <w:color w:val="000000"/>
                <w:lang w:eastAsia="pt-BR"/>
              </w:rPr>
            </w:pPr>
            <w:r w:rsidRPr="00AA4BFB">
              <w:rPr>
                <w:i/>
                <w:color w:val="000000"/>
                <w:lang w:eastAsia="pt-BR"/>
              </w:rPr>
              <w:t>1.8.1 Comprovação de compromisso, público ou particular, de constituição do consórcio, subscrito pelas consorciadas.</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B2AF182" w14:textId="77777777" w:rsidR="00AA4BFB" w:rsidRPr="00AA4BFB" w:rsidRDefault="00AA4BFB" w:rsidP="00AA4BFB">
            <w:pPr>
              <w:jc w:val="center"/>
              <w:rPr>
                <w:i/>
                <w:color w:val="000000"/>
                <w:lang w:eastAsia="pt-BR"/>
              </w:rPr>
            </w:pPr>
            <w:r w:rsidRPr="00AA4BFB">
              <w:rPr>
                <w:i/>
                <w:color w:val="000000"/>
                <w:lang w:eastAsia="pt-BR"/>
              </w:rPr>
              <w:t>6.5.1</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97FF312" w14:textId="77777777" w:rsidR="00AA4BFB" w:rsidRPr="00AA4BFB" w:rsidRDefault="00AA4BFB" w:rsidP="00AA4BFB">
            <w:pPr>
              <w:jc w:val="center"/>
              <w:rPr>
                <w:i/>
                <w:color w:val="000000"/>
                <w:lang w:eastAsia="pt-BR"/>
              </w:rPr>
            </w:pPr>
            <w:r w:rsidRPr="00AA4BFB">
              <w:rPr>
                <w:i/>
                <w:color w:val="000000"/>
                <w:lang w:eastAsia="pt-BR"/>
              </w:rPr>
              <w:t>40</w:t>
            </w:r>
          </w:p>
        </w:tc>
      </w:tr>
      <w:tr w:rsidR="00AA4BFB" w:rsidRPr="00AA4BFB" w14:paraId="07CE9107"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D483E24" w14:textId="77777777" w:rsidR="00AA4BFB" w:rsidRPr="00AA4BFB" w:rsidRDefault="00AA4BFB" w:rsidP="00AA4BFB">
            <w:pPr>
              <w:jc w:val="both"/>
              <w:rPr>
                <w:i/>
                <w:color w:val="000000"/>
                <w:lang w:eastAsia="pt-BR"/>
              </w:rPr>
            </w:pPr>
            <w:r w:rsidRPr="00AA4BFB">
              <w:rPr>
                <w:i/>
                <w:color w:val="000000"/>
                <w:lang w:eastAsia="pt-BR"/>
              </w:rPr>
              <w:t>1.8.2 Indicação da empresa líder, responsável pelo consórcio e pela condução das operações, sem prejuízo da responsabilidade solidária das demais consorciadas.</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784DFE4" w14:textId="77777777" w:rsidR="00AA4BFB" w:rsidRPr="00AA4BFB" w:rsidRDefault="00AA4BFB" w:rsidP="00AA4BFB">
            <w:pPr>
              <w:jc w:val="center"/>
              <w:rPr>
                <w:i/>
                <w:color w:val="000000"/>
                <w:lang w:eastAsia="pt-BR"/>
              </w:rPr>
            </w:pPr>
            <w:r w:rsidRPr="00AA4BFB">
              <w:rPr>
                <w:i/>
                <w:color w:val="000000"/>
                <w:lang w:eastAsia="pt-BR"/>
              </w:rPr>
              <w:t>9.1.5</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F8E0E7B" w14:textId="77777777" w:rsidR="00AA4BFB" w:rsidRPr="00AA4BFB" w:rsidRDefault="00AA4BFB" w:rsidP="00AA4BFB">
            <w:pPr>
              <w:jc w:val="center"/>
              <w:rPr>
                <w:i/>
                <w:color w:val="000000"/>
                <w:lang w:eastAsia="pt-BR"/>
              </w:rPr>
            </w:pPr>
            <w:r w:rsidRPr="00AA4BFB">
              <w:rPr>
                <w:i/>
                <w:color w:val="000000"/>
                <w:lang w:eastAsia="pt-BR"/>
              </w:rPr>
              <w:t>64</w:t>
            </w:r>
          </w:p>
        </w:tc>
      </w:tr>
      <w:tr w:rsidR="00AA4BFB" w:rsidRPr="00AA4BFB" w14:paraId="225ABB01"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A9E7543"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C055C43"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B156C7" w14:textId="77777777" w:rsidR="00AA4BFB" w:rsidRPr="00AA4BFB" w:rsidRDefault="00AA4BFB" w:rsidP="00AA4BFB">
            <w:pPr>
              <w:rPr>
                <w:i/>
                <w:color w:val="000000"/>
                <w:lang w:eastAsia="pt-BR"/>
              </w:rPr>
            </w:pPr>
          </w:p>
        </w:tc>
      </w:tr>
      <w:tr w:rsidR="00AA4BFB" w:rsidRPr="00AA4BFB" w14:paraId="7CCFF75B"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DC4DD5F" w14:textId="77777777" w:rsidR="00AA4BFB" w:rsidRPr="00AA4BFB" w:rsidRDefault="00AA4BFB" w:rsidP="00AA4BFB">
            <w:pPr>
              <w:jc w:val="both"/>
              <w:rPr>
                <w:i/>
                <w:color w:val="000000"/>
                <w:lang w:eastAsia="pt-BR"/>
              </w:rPr>
            </w:pPr>
            <w:r w:rsidRPr="00AA4BFB">
              <w:rPr>
                <w:i/>
                <w:color w:val="000000"/>
                <w:lang w:eastAsia="pt-BR"/>
              </w:rPr>
              <w:t>1.8.3 Apresentação, por parte de cada uma das empresas consorciadas, dos documentos exigidos para efeito de avaliação da qualificação técnica e econômico-financeira do consórcio.</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46D4E57" w14:textId="77777777" w:rsidR="00AA4BFB" w:rsidRPr="00AA4BFB" w:rsidRDefault="00AA4BFB" w:rsidP="00AA4BFB">
            <w:pPr>
              <w:jc w:val="center"/>
              <w:rPr>
                <w:i/>
                <w:color w:val="000000"/>
                <w:lang w:eastAsia="pt-BR"/>
              </w:rPr>
            </w:pPr>
            <w:r w:rsidRPr="00AA4BFB">
              <w:rPr>
                <w:i/>
                <w:color w:val="000000"/>
                <w:w w:val="102"/>
                <w:lang w:eastAsia="pt-BR"/>
              </w:rPr>
              <w:t>7</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0634EBA" w14:textId="77777777" w:rsidR="00AA4BFB" w:rsidRPr="00AA4BFB" w:rsidRDefault="00AA4BFB" w:rsidP="00AA4BFB">
            <w:pPr>
              <w:jc w:val="center"/>
              <w:rPr>
                <w:i/>
                <w:color w:val="000000"/>
                <w:lang w:eastAsia="pt-BR"/>
              </w:rPr>
            </w:pPr>
            <w:r w:rsidRPr="00AA4BFB">
              <w:rPr>
                <w:i/>
                <w:color w:val="000000"/>
                <w:lang w:eastAsia="pt-BR"/>
              </w:rPr>
              <w:t>42</w:t>
            </w:r>
          </w:p>
        </w:tc>
      </w:tr>
      <w:tr w:rsidR="00AA4BFB" w:rsidRPr="00AA4BFB" w14:paraId="096BE9E0"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1514A55"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69D72E0"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14CC69A" w14:textId="77777777" w:rsidR="00AA4BFB" w:rsidRPr="00AA4BFB" w:rsidRDefault="00AA4BFB" w:rsidP="00AA4BFB">
            <w:pPr>
              <w:rPr>
                <w:i/>
                <w:color w:val="000000"/>
                <w:lang w:eastAsia="pt-BR"/>
              </w:rPr>
            </w:pPr>
          </w:p>
        </w:tc>
      </w:tr>
      <w:tr w:rsidR="00AA4BFB" w:rsidRPr="00AA4BFB" w14:paraId="4A8EC62B" w14:textId="77777777">
        <w:trPr>
          <w:trHeight w:hRule="exact" w:val="6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BF7E762" w14:textId="77777777" w:rsidR="00AA4BFB" w:rsidRPr="00AA4BFB" w:rsidRDefault="00AA4BFB" w:rsidP="00AA4BFB">
            <w:pPr>
              <w:jc w:val="both"/>
              <w:rPr>
                <w:i/>
                <w:color w:val="000000"/>
                <w:lang w:eastAsia="pt-BR"/>
              </w:rPr>
            </w:pPr>
            <w:r w:rsidRPr="00AA4BFB">
              <w:rPr>
                <w:i/>
                <w:color w:val="000000"/>
                <w:lang w:eastAsia="pt-BR"/>
              </w:rPr>
              <w:t>1.8.4 Proibição de   participação de   uma   mesma   empresa em outro consórcio, ou isoladamente, na licitação de um mesmo bloco.</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0744623" w14:textId="77777777" w:rsidR="00AA4BFB" w:rsidRPr="00AA4BFB" w:rsidRDefault="00AA4BFB" w:rsidP="00AA4BFB">
            <w:pPr>
              <w:jc w:val="center"/>
              <w:rPr>
                <w:i/>
                <w:color w:val="000000"/>
                <w:lang w:eastAsia="pt-BR"/>
              </w:rPr>
            </w:pPr>
            <w:r w:rsidRPr="00AA4BFB">
              <w:rPr>
                <w:i/>
                <w:color w:val="000000"/>
                <w:lang w:eastAsia="pt-BR"/>
              </w:rPr>
              <w:t>6.5</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7B374A5" w14:textId="77777777" w:rsidR="00AA4BFB" w:rsidRPr="00AA4BFB" w:rsidRDefault="00AA4BFB" w:rsidP="00AA4BFB">
            <w:pPr>
              <w:jc w:val="center"/>
              <w:rPr>
                <w:i/>
                <w:color w:val="000000"/>
                <w:lang w:eastAsia="pt-BR"/>
              </w:rPr>
            </w:pPr>
            <w:r w:rsidRPr="00AA4BFB">
              <w:rPr>
                <w:i/>
                <w:color w:val="000000"/>
                <w:lang w:eastAsia="pt-BR"/>
              </w:rPr>
              <w:t>39</w:t>
            </w:r>
          </w:p>
        </w:tc>
      </w:tr>
      <w:tr w:rsidR="00AA4BFB" w:rsidRPr="00AA4BFB" w14:paraId="006B57D5"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2552C7F" w14:textId="77777777" w:rsidR="00AA4BFB" w:rsidRPr="00AA4BFB" w:rsidRDefault="00AA4BFB" w:rsidP="00AA4BFB">
            <w:pPr>
              <w:jc w:val="both"/>
              <w:rPr>
                <w:i/>
                <w:color w:val="000000"/>
                <w:lang w:eastAsia="pt-BR"/>
              </w:rPr>
            </w:pPr>
            <w:r w:rsidRPr="00AA4BFB">
              <w:rPr>
                <w:i/>
                <w:color w:val="000000"/>
                <w:lang w:eastAsia="pt-BR"/>
              </w:rPr>
              <w:t>1.8.5 Outorga de concessão ao consórcio vencedor da licitação condicionada ao registro do instrumento constitutivo do consórcio, na forma do disposto no parágrafo único do art. 279 da Lei n. 6.404, de 15/12/1976.</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898EBE9" w14:textId="77777777" w:rsidR="00AA4BFB" w:rsidRPr="00AA4BFB" w:rsidRDefault="00AA4BFB" w:rsidP="00AA4BFB">
            <w:pPr>
              <w:jc w:val="center"/>
              <w:rPr>
                <w:i/>
                <w:color w:val="000000"/>
                <w:lang w:eastAsia="pt-BR"/>
              </w:rPr>
            </w:pPr>
            <w:r w:rsidRPr="00AA4BFB">
              <w:rPr>
                <w:i/>
                <w:color w:val="000000"/>
                <w:lang w:eastAsia="pt-BR"/>
              </w:rPr>
              <w:t>9.1.4</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D9F3971" w14:textId="77777777" w:rsidR="00AA4BFB" w:rsidRPr="00AA4BFB" w:rsidRDefault="00AA4BFB" w:rsidP="00AA4BFB">
            <w:pPr>
              <w:jc w:val="center"/>
              <w:rPr>
                <w:i/>
                <w:color w:val="000000"/>
                <w:lang w:eastAsia="pt-BR"/>
              </w:rPr>
            </w:pPr>
            <w:r w:rsidRPr="00AA4BFB">
              <w:rPr>
                <w:i/>
                <w:color w:val="000000"/>
                <w:lang w:eastAsia="pt-BR"/>
              </w:rPr>
              <w:t>65</w:t>
            </w:r>
          </w:p>
        </w:tc>
      </w:tr>
      <w:tr w:rsidR="00AA4BFB" w:rsidRPr="00AA4BFB" w14:paraId="20CAAE8A"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1152733"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38D9870"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A1DB58D" w14:textId="77777777" w:rsidR="00AA4BFB" w:rsidRPr="00AA4BFB" w:rsidRDefault="00AA4BFB" w:rsidP="00AA4BFB">
            <w:pPr>
              <w:rPr>
                <w:i/>
                <w:color w:val="000000"/>
                <w:lang w:eastAsia="pt-BR"/>
              </w:rPr>
            </w:pPr>
          </w:p>
        </w:tc>
      </w:tr>
      <w:tr w:rsidR="00AA4BFB" w:rsidRPr="00AA4BFB" w14:paraId="16C095C3" w14:textId="77777777">
        <w:trPr>
          <w:trHeight w:hRule="exact" w:val="971"/>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A96AADE" w14:textId="77777777" w:rsidR="00AA4BFB" w:rsidRPr="00AA4BFB" w:rsidRDefault="00AA4BFB" w:rsidP="00AA4BFB">
            <w:pPr>
              <w:jc w:val="both"/>
              <w:rPr>
                <w:i/>
                <w:color w:val="000000"/>
                <w:lang w:eastAsia="pt-BR"/>
              </w:rPr>
            </w:pPr>
            <w:r w:rsidRPr="00AA4BFB">
              <w:rPr>
                <w:i/>
                <w:color w:val="000000"/>
                <w:lang w:eastAsia="pt-BR"/>
              </w:rPr>
              <w:t xml:space="preserve">1.9 O edital conterá a exigência de que a </w:t>
            </w:r>
            <w:r w:rsidRPr="00AA4BFB">
              <w:rPr>
                <w:b/>
                <w:bCs/>
                <w:i/>
                <w:color w:val="000000"/>
                <w:lang w:eastAsia="pt-BR"/>
              </w:rPr>
              <w:t xml:space="preserve">empresa estrangeira </w:t>
            </w:r>
            <w:r w:rsidRPr="00AA4BFB">
              <w:rPr>
                <w:i/>
                <w:color w:val="000000"/>
                <w:lang w:eastAsia="pt-BR"/>
              </w:rPr>
              <w:t>que concorrer isoladamente ou em consórcio deverá apresentar, juntamente com sua proposta e em envelope separado:</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125CC1C" w14:textId="77777777" w:rsidR="00AA4BFB" w:rsidRPr="00AA4BFB" w:rsidRDefault="00AA4BFB" w:rsidP="00AA4BFB">
            <w:pPr>
              <w:rPr>
                <w:i/>
                <w:color w:val="000000"/>
                <w:lang w:eastAsia="pt-BR"/>
              </w:rPr>
            </w:pPr>
            <w:r w:rsidRPr="00AA4BFB">
              <w:rPr>
                <w:i/>
                <w:color w:val="000000"/>
                <w:lang w:eastAsia="pt-BR"/>
              </w:rPr>
              <w:t> </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2141042" w14:textId="77777777" w:rsidR="00AA4BFB" w:rsidRPr="00AA4BFB" w:rsidRDefault="00AA4BFB" w:rsidP="00AA4BFB">
            <w:pPr>
              <w:rPr>
                <w:i/>
                <w:color w:val="000000"/>
                <w:lang w:eastAsia="pt-BR"/>
              </w:rPr>
            </w:pPr>
            <w:r w:rsidRPr="00AA4BFB">
              <w:rPr>
                <w:i/>
                <w:color w:val="000000"/>
                <w:lang w:eastAsia="pt-BR"/>
              </w:rPr>
              <w:t> </w:t>
            </w:r>
          </w:p>
        </w:tc>
      </w:tr>
      <w:tr w:rsidR="00AA4BFB" w:rsidRPr="00AA4BFB" w14:paraId="25D33A50"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53E0EE3" w14:textId="77777777" w:rsidR="00AA4BFB" w:rsidRPr="00AA4BFB" w:rsidRDefault="00AA4BFB" w:rsidP="00AA4BFB">
            <w:pPr>
              <w:jc w:val="both"/>
              <w:rPr>
                <w:i/>
                <w:color w:val="000000"/>
                <w:lang w:eastAsia="pt-BR"/>
              </w:rPr>
            </w:pPr>
            <w:r w:rsidRPr="00AA4BFB">
              <w:rPr>
                <w:i/>
                <w:color w:val="000000"/>
                <w:lang w:eastAsia="pt-BR"/>
              </w:rPr>
              <w:t>1.9.1 Prova de capacidade técnica, idoneidade financeira e regularidade jurídica e fiscal.</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8CE0B61" w14:textId="77777777" w:rsidR="00AA4BFB" w:rsidRPr="00AA4BFB" w:rsidRDefault="00AA4BFB" w:rsidP="00AA4BFB">
            <w:pPr>
              <w:jc w:val="center"/>
              <w:rPr>
                <w:i/>
                <w:color w:val="000000"/>
                <w:lang w:eastAsia="pt-BR"/>
              </w:rPr>
            </w:pPr>
            <w:r w:rsidRPr="00AA4BFB">
              <w:rPr>
                <w:i/>
                <w:color w:val="000000"/>
                <w:lang w:eastAsia="pt-BR"/>
              </w:rPr>
              <w:t>7.3</w:t>
            </w:r>
            <w:r w:rsidRPr="00AA4BFB">
              <w:rPr>
                <w:i/>
                <w:color w:val="000000"/>
                <w:lang w:eastAsia="pt-BR"/>
              </w:rPr>
              <w:br/>
              <w:t>Anexo XXII</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3977E40" w14:textId="77777777" w:rsidR="00AA4BFB" w:rsidRPr="00AA4BFB" w:rsidRDefault="00AA4BFB" w:rsidP="00AA4BFB">
            <w:pPr>
              <w:jc w:val="center"/>
              <w:rPr>
                <w:i/>
                <w:color w:val="000000"/>
                <w:lang w:eastAsia="pt-BR"/>
              </w:rPr>
            </w:pPr>
            <w:r w:rsidRPr="00AA4BFB">
              <w:rPr>
                <w:i/>
                <w:color w:val="000000"/>
                <w:lang w:eastAsia="pt-BR"/>
              </w:rPr>
              <w:t>54</w:t>
            </w:r>
            <w:r w:rsidRPr="00AA4BFB">
              <w:rPr>
                <w:i/>
                <w:color w:val="000000"/>
                <w:lang w:eastAsia="pt-BR"/>
              </w:rPr>
              <w:br/>
              <w:t>159</w:t>
            </w:r>
          </w:p>
        </w:tc>
      </w:tr>
      <w:tr w:rsidR="00AA4BFB" w:rsidRPr="00AA4BFB" w14:paraId="3052B658"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370D978"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B53923C"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01DBFC5" w14:textId="77777777" w:rsidR="00AA4BFB" w:rsidRPr="00AA4BFB" w:rsidRDefault="00AA4BFB" w:rsidP="00AA4BFB">
            <w:pPr>
              <w:rPr>
                <w:i/>
                <w:color w:val="000000"/>
                <w:lang w:eastAsia="pt-BR"/>
              </w:rPr>
            </w:pPr>
          </w:p>
        </w:tc>
      </w:tr>
      <w:tr w:rsidR="00AA4BFB" w:rsidRPr="00AA4BFB" w14:paraId="75F56B31"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02A1646" w14:textId="77777777" w:rsidR="00AA4BFB" w:rsidRPr="00AA4BFB" w:rsidRDefault="00AA4BFB" w:rsidP="00AA4BFB">
            <w:pPr>
              <w:jc w:val="both"/>
              <w:rPr>
                <w:i/>
                <w:color w:val="000000"/>
                <w:lang w:eastAsia="pt-BR"/>
              </w:rPr>
            </w:pPr>
            <w:r w:rsidRPr="00AA4BFB">
              <w:rPr>
                <w:i/>
                <w:color w:val="000000"/>
                <w:lang w:eastAsia="pt-BR"/>
              </w:rPr>
              <w:t>1.9.2 Inteiro teor dos atos constitutivos e prova de que se encontra organizada e em funcionamento regular, conforme a lei de seu país.</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9A56023" w14:textId="77777777" w:rsidR="00AA4BFB" w:rsidRPr="00AA4BFB" w:rsidRDefault="00AA4BFB" w:rsidP="00AA4BFB">
            <w:pPr>
              <w:jc w:val="center"/>
              <w:rPr>
                <w:i/>
                <w:color w:val="000000"/>
                <w:lang w:eastAsia="pt-BR"/>
              </w:rPr>
            </w:pPr>
            <w:r w:rsidRPr="00AA4BFB">
              <w:rPr>
                <w:i/>
                <w:color w:val="000000"/>
                <w:lang w:eastAsia="pt-BR"/>
              </w:rPr>
              <w:t>4.2.7</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865D6FC" w14:textId="77777777" w:rsidR="00AA4BFB" w:rsidRPr="00AA4BFB" w:rsidRDefault="00AA4BFB" w:rsidP="00AA4BFB">
            <w:pPr>
              <w:jc w:val="center"/>
              <w:rPr>
                <w:i/>
                <w:color w:val="000000"/>
                <w:lang w:eastAsia="pt-BR"/>
              </w:rPr>
            </w:pPr>
            <w:r w:rsidRPr="00AA4BFB">
              <w:rPr>
                <w:i/>
                <w:color w:val="000000"/>
                <w:lang w:eastAsia="pt-BR"/>
              </w:rPr>
              <w:t>23</w:t>
            </w:r>
          </w:p>
        </w:tc>
      </w:tr>
      <w:tr w:rsidR="00AA4BFB" w:rsidRPr="00AA4BFB" w14:paraId="76B94CAC"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31E3B7F"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9DD6B5A"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E6C2AF8" w14:textId="77777777" w:rsidR="00AA4BFB" w:rsidRPr="00AA4BFB" w:rsidRDefault="00AA4BFB" w:rsidP="00AA4BFB">
            <w:pPr>
              <w:rPr>
                <w:i/>
                <w:color w:val="000000"/>
                <w:lang w:eastAsia="pt-BR"/>
              </w:rPr>
            </w:pPr>
          </w:p>
        </w:tc>
      </w:tr>
      <w:tr w:rsidR="00AA4BFB" w:rsidRPr="00AA4BFB" w14:paraId="0AA5472F"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DBF67DB" w14:textId="77777777" w:rsidR="00AA4BFB" w:rsidRPr="00AA4BFB" w:rsidRDefault="00AA4BFB" w:rsidP="00AA4BFB">
            <w:pPr>
              <w:jc w:val="both"/>
              <w:rPr>
                <w:i/>
                <w:color w:val="000000"/>
                <w:lang w:eastAsia="pt-BR"/>
              </w:rPr>
            </w:pPr>
            <w:r w:rsidRPr="00AA4BFB">
              <w:rPr>
                <w:i/>
                <w:color w:val="000000"/>
                <w:lang w:eastAsia="pt-BR"/>
              </w:rPr>
              <w:t>1.9.3 Designação de um representante legal junto à ANP, com poderes especiais para a prática de atos e assunção de responsabilidades relativamente à licitação e à proposta apresentada.</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30022AF" w14:textId="77777777" w:rsidR="00AA4BFB" w:rsidRPr="00AA4BFB" w:rsidRDefault="00AA4BFB" w:rsidP="00AA4BFB">
            <w:pPr>
              <w:jc w:val="center"/>
              <w:rPr>
                <w:i/>
                <w:color w:val="000000"/>
                <w:lang w:eastAsia="pt-BR"/>
              </w:rPr>
            </w:pPr>
            <w:r w:rsidRPr="00AA4BFB">
              <w:rPr>
                <w:i/>
                <w:color w:val="000000"/>
                <w:lang w:eastAsia="pt-BR"/>
              </w:rPr>
              <w:t>4.2.2</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73F8384" w14:textId="77777777" w:rsidR="00AA4BFB" w:rsidRPr="00AA4BFB" w:rsidRDefault="00AA4BFB" w:rsidP="00AA4BFB">
            <w:pPr>
              <w:jc w:val="center"/>
              <w:rPr>
                <w:i/>
                <w:color w:val="000000"/>
                <w:lang w:eastAsia="pt-BR"/>
              </w:rPr>
            </w:pPr>
            <w:r w:rsidRPr="00AA4BFB">
              <w:rPr>
                <w:i/>
                <w:color w:val="000000"/>
                <w:lang w:eastAsia="pt-BR"/>
              </w:rPr>
              <w:t>21</w:t>
            </w:r>
          </w:p>
        </w:tc>
      </w:tr>
      <w:tr w:rsidR="00AA4BFB" w:rsidRPr="00AA4BFB" w14:paraId="4A92EBBD"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1A87C97"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7C06E45"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C53167F" w14:textId="77777777" w:rsidR="00AA4BFB" w:rsidRPr="00AA4BFB" w:rsidRDefault="00AA4BFB" w:rsidP="00AA4BFB">
            <w:pPr>
              <w:rPr>
                <w:i/>
                <w:color w:val="000000"/>
                <w:lang w:eastAsia="pt-BR"/>
              </w:rPr>
            </w:pPr>
          </w:p>
        </w:tc>
      </w:tr>
      <w:tr w:rsidR="00AA4BFB" w:rsidRPr="00AA4BFB" w14:paraId="173EE059" w14:textId="77777777">
        <w:trPr>
          <w:trHeight w:hRule="exact" w:val="6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16A9731" w14:textId="77777777" w:rsidR="00AA4BFB" w:rsidRPr="00AA4BFB" w:rsidRDefault="00AA4BFB" w:rsidP="00AA4BFB">
            <w:pPr>
              <w:jc w:val="both"/>
              <w:rPr>
                <w:i/>
                <w:color w:val="000000"/>
                <w:lang w:eastAsia="pt-BR"/>
              </w:rPr>
            </w:pPr>
            <w:r w:rsidRPr="00AA4BFB">
              <w:rPr>
                <w:i/>
                <w:color w:val="000000"/>
                <w:lang w:eastAsia="pt-BR"/>
              </w:rPr>
              <w:t>1.9.4 Compromisso de, caso vencedora, constituir empresa segundo as leis brasileiras, com sede e administração no Brasil.</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136EAFF" w14:textId="77777777" w:rsidR="00AA4BFB" w:rsidRPr="00AA4BFB" w:rsidRDefault="00AA4BFB" w:rsidP="00AA4BFB">
            <w:pPr>
              <w:jc w:val="center"/>
              <w:rPr>
                <w:i/>
                <w:color w:val="000000"/>
                <w:lang w:eastAsia="pt-BR"/>
              </w:rPr>
            </w:pPr>
            <w:r w:rsidRPr="00AA4BFB">
              <w:rPr>
                <w:i/>
                <w:color w:val="000000"/>
                <w:lang w:eastAsia="pt-BR"/>
              </w:rPr>
              <w:t>9.2</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2E21B51" w14:textId="77777777" w:rsidR="00AA4BFB" w:rsidRPr="00AA4BFB" w:rsidRDefault="00AA4BFB" w:rsidP="00AA4BFB">
            <w:pPr>
              <w:jc w:val="center"/>
              <w:rPr>
                <w:i/>
                <w:color w:val="000000"/>
                <w:lang w:eastAsia="pt-BR"/>
              </w:rPr>
            </w:pPr>
            <w:r w:rsidRPr="00AA4BFB">
              <w:rPr>
                <w:i/>
                <w:color w:val="000000"/>
                <w:lang w:eastAsia="pt-BR"/>
              </w:rPr>
              <w:t>69</w:t>
            </w:r>
          </w:p>
        </w:tc>
      </w:tr>
      <w:tr w:rsidR="00AA4BFB" w:rsidRPr="00AA4BFB" w14:paraId="59A9E51A"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2317BB7" w14:textId="77777777" w:rsidR="00AA4BFB" w:rsidRPr="00AA4BFB" w:rsidRDefault="00AA4BFB" w:rsidP="00AA4BFB">
            <w:pPr>
              <w:jc w:val="both"/>
              <w:rPr>
                <w:i/>
                <w:color w:val="000000"/>
                <w:lang w:eastAsia="pt-BR"/>
              </w:rPr>
            </w:pPr>
            <w:r w:rsidRPr="00AA4BFB">
              <w:rPr>
                <w:i/>
                <w:color w:val="000000"/>
                <w:spacing w:val="-4"/>
                <w:lang w:eastAsia="pt-BR"/>
              </w:rPr>
              <w:t>1.10 Local, dia e hora em que serão recebidas e abertas as   propostas.</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F63FCF7" w14:textId="77777777" w:rsidR="00AA4BFB" w:rsidRPr="00AA4BFB" w:rsidRDefault="00AA4BFB" w:rsidP="00AA4BFB">
            <w:pPr>
              <w:jc w:val="center"/>
              <w:rPr>
                <w:i/>
                <w:color w:val="000000"/>
                <w:lang w:eastAsia="pt-BR"/>
              </w:rPr>
            </w:pPr>
            <w:r w:rsidRPr="00AA4BFB">
              <w:rPr>
                <w:i/>
                <w:color w:val="000000"/>
                <w:w w:val="102"/>
                <w:lang w:eastAsia="pt-BR"/>
              </w:rPr>
              <w:t>6</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9EC4F45" w14:textId="77777777" w:rsidR="00AA4BFB" w:rsidRPr="00AA4BFB" w:rsidRDefault="00AA4BFB" w:rsidP="00AA4BFB">
            <w:pPr>
              <w:jc w:val="center"/>
              <w:rPr>
                <w:i/>
                <w:color w:val="000000"/>
                <w:lang w:eastAsia="pt-BR"/>
              </w:rPr>
            </w:pPr>
            <w:r w:rsidRPr="00AA4BFB">
              <w:rPr>
                <w:i/>
                <w:color w:val="000000"/>
                <w:lang w:eastAsia="pt-BR"/>
              </w:rPr>
              <w:t>37</w:t>
            </w:r>
          </w:p>
        </w:tc>
      </w:tr>
      <w:tr w:rsidR="00AA4BFB" w:rsidRPr="00AA4BFB" w14:paraId="49C72D02"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5C70AE2" w14:textId="77777777" w:rsidR="00AA4BFB" w:rsidRPr="00AA4BFB" w:rsidRDefault="00AA4BFB" w:rsidP="00AA4BFB">
            <w:pPr>
              <w:jc w:val="both"/>
              <w:rPr>
                <w:i/>
                <w:color w:val="000000"/>
                <w:lang w:eastAsia="pt-BR"/>
              </w:rPr>
            </w:pPr>
            <w:r w:rsidRPr="00AA4BFB">
              <w:rPr>
                <w:i/>
                <w:color w:val="000000"/>
                <w:spacing w:val="-4"/>
                <w:lang w:eastAsia="pt-BR"/>
              </w:rPr>
              <w:t>1.12 Modelos   de garantias de performance e financeiras a serem prestadas pelos concessionários.</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FF96448" w14:textId="77777777" w:rsidR="00AA4BFB" w:rsidRPr="00AA4BFB" w:rsidRDefault="00AA4BFB" w:rsidP="00AA4BFB">
            <w:pPr>
              <w:jc w:val="center"/>
              <w:rPr>
                <w:i/>
                <w:color w:val="000000"/>
                <w:lang w:eastAsia="pt-BR"/>
              </w:rPr>
            </w:pPr>
            <w:r w:rsidRPr="00AA4BFB">
              <w:rPr>
                <w:i/>
                <w:color w:val="000000"/>
                <w:lang w:eastAsia="pt-BR"/>
              </w:rPr>
              <w:t>Anexo XXVII</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D88F260" w14:textId="77777777" w:rsidR="00AA4BFB" w:rsidRPr="00AA4BFB" w:rsidRDefault="00AA4BFB" w:rsidP="00AA4BFB">
            <w:pPr>
              <w:jc w:val="center"/>
              <w:rPr>
                <w:i/>
                <w:color w:val="000000"/>
                <w:lang w:eastAsia="pt-BR"/>
              </w:rPr>
            </w:pPr>
            <w:r w:rsidRPr="00AA4BFB">
              <w:rPr>
                <w:i/>
                <w:color w:val="000000"/>
                <w:lang w:eastAsia="pt-BR"/>
              </w:rPr>
              <w:t>187</w:t>
            </w:r>
          </w:p>
        </w:tc>
      </w:tr>
      <w:tr w:rsidR="00AA4BFB" w:rsidRPr="00AA4BFB" w14:paraId="03A8160C"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9168149"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F6ACC5F"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F2F4647" w14:textId="77777777" w:rsidR="00AA4BFB" w:rsidRPr="00AA4BFB" w:rsidRDefault="00AA4BFB" w:rsidP="00AA4BFB">
            <w:pPr>
              <w:rPr>
                <w:i/>
                <w:color w:val="000000"/>
                <w:lang w:eastAsia="pt-BR"/>
              </w:rPr>
            </w:pPr>
          </w:p>
        </w:tc>
      </w:tr>
      <w:tr w:rsidR="00AA4BFB" w:rsidRPr="00AA4BFB" w14:paraId="4C625716" w14:textId="77777777">
        <w:trPr>
          <w:trHeight w:hRule="exact" w:val="113"/>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2626E66" w14:textId="77777777" w:rsidR="00AA4BFB" w:rsidRPr="00AA4BFB" w:rsidRDefault="00AA4BFB" w:rsidP="00AA4BFB">
            <w:pPr>
              <w:jc w:val="both"/>
              <w:rPr>
                <w:i/>
                <w:color w:val="000000"/>
                <w:lang w:eastAsia="pt-BR"/>
              </w:rPr>
            </w:pPr>
            <w:r w:rsidRPr="00AA4BFB">
              <w:rPr>
                <w:i/>
                <w:color w:val="000000"/>
                <w:spacing w:val="-4"/>
                <w:lang w:eastAsia="pt-BR"/>
              </w:rPr>
              <w:t>1.13 Contrato de Concessão.</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532270D" w14:textId="77777777" w:rsidR="00AA4BFB" w:rsidRPr="00AA4BFB" w:rsidRDefault="00AA4BFB" w:rsidP="00AA4BFB">
            <w:pPr>
              <w:jc w:val="center"/>
              <w:rPr>
                <w:i/>
                <w:color w:val="000000"/>
                <w:lang w:eastAsia="pt-BR"/>
              </w:rPr>
            </w:pPr>
            <w:r w:rsidRPr="00AA4BFB">
              <w:rPr>
                <w:i/>
                <w:color w:val="000000"/>
                <w:lang w:eastAsia="pt-BR"/>
              </w:rPr>
              <w:t>Anexo</w:t>
            </w:r>
            <w:r w:rsidRPr="00AA4BFB">
              <w:rPr>
                <w:i/>
                <w:color w:val="000000"/>
                <w:lang w:eastAsia="pt-BR"/>
              </w:rPr>
              <w:br/>
              <w:t>XXVIII</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011226C" w14:textId="77777777" w:rsidR="00AA4BFB" w:rsidRPr="00AA4BFB" w:rsidRDefault="00AA4BFB" w:rsidP="00AA4BFB">
            <w:pPr>
              <w:jc w:val="center"/>
              <w:rPr>
                <w:i/>
                <w:color w:val="000000"/>
                <w:lang w:eastAsia="pt-BR"/>
              </w:rPr>
            </w:pPr>
            <w:r w:rsidRPr="00AA4BFB">
              <w:rPr>
                <w:i/>
                <w:color w:val="000000"/>
                <w:lang w:eastAsia="pt-BR"/>
              </w:rPr>
              <w:t>195</w:t>
            </w:r>
          </w:p>
        </w:tc>
      </w:tr>
      <w:tr w:rsidR="00AA4BFB" w:rsidRPr="00AA4BFB" w14:paraId="21E01B0B"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3B3B643"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0642F49"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E76E29B" w14:textId="77777777" w:rsidR="00AA4BFB" w:rsidRPr="00AA4BFB" w:rsidRDefault="00AA4BFB" w:rsidP="00AA4BFB">
            <w:pPr>
              <w:rPr>
                <w:i/>
                <w:color w:val="000000"/>
                <w:lang w:eastAsia="pt-BR"/>
              </w:rPr>
            </w:pPr>
          </w:p>
        </w:tc>
      </w:tr>
      <w:tr w:rsidR="00AA4BFB" w:rsidRPr="00AA4BFB" w14:paraId="4874BEA1"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D7A3A75" w14:textId="77777777" w:rsidR="00AA4BFB" w:rsidRPr="00AA4BFB" w:rsidRDefault="00AA4BFB" w:rsidP="00AA4BFB">
            <w:pPr>
              <w:jc w:val="both"/>
              <w:rPr>
                <w:i/>
                <w:color w:val="000000"/>
                <w:lang w:eastAsia="pt-BR"/>
              </w:rPr>
            </w:pPr>
            <w:r w:rsidRPr="00AA4BFB">
              <w:rPr>
                <w:i/>
                <w:color w:val="000000"/>
                <w:spacing w:val="-4"/>
                <w:lang w:eastAsia="pt-BR"/>
              </w:rPr>
              <w:lastRenderedPageBreak/>
              <w:t>1.14 Prazo e condições para assinatura do contrato.</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215C97" w14:textId="77777777" w:rsidR="00AA4BFB" w:rsidRPr="00AA4BFB" w:rsidRDefault="00AA4BFB" w:rsidP="00AA4BFB">
            <w:pPr>
              <w:jc w:val="center"/>
              <w:rPr>
                <w:i/>
                <w:color w:val="000000"/>
                <w:lang w:eastAsia="pt-BR"/>
              </w:rPr>
            </w:pPr>
            <w:r w:rsidRPr="00AA4BFB">
              <w:rPr>
                <w:i/>
                <w:color w:val="000000"/>
                <w:lang w:eastAsia="pt-BR"/>
              </w:rPr>
              <w:t>1.4 e 9</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BE9EEA3" w14:textId="77777777" w:rsidR="00AA4BFB" w:rsidRPr="00AA4BFB" w:rsidRDefault="00AA4BFB" w:rsidP="00AA4BFB">
            <w:pPr>
              <w:jc w:val="center"/>
              <w:rPr>
                <w:i/>
                <w:color w:val="000000"/>
                <w:lang w:eastAsia="pt-BR"/>
              </w:rPr>
            </w:pPr>
            <w:r w:rsidRPr="00AA4BFB">
              <w:rPr>
                <w:i/>
                <w:color w:val="000000"/>
                <w:lang w:eastAsia="pt-BR"/>
              </w:rPr>
              <w:t>9 e 61</w:t>
            </w:r>
          </w:p>
        </w:tc>
      </w:tr>
      <w:tr w:rsidR="00AA4BFB" w:rsidRPr="00AA4BFB" w14:paraId="43A4F3E0"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1C1F10B" w14:textId="77777777" w:rsidR="00AA4BFB" w:rsidRPr="00AA4BFB" w:rsidRDefault="00AA4BFB" w:rsidP="00AA4BFB">
            <w:pPr>
              <w:jc w:val="both"/>
              <w:rPr>
                <w:i/>
                <w:color w:val="000000"/>
                <w:lang w:eastAsia="pt-BR"/>
              </w:rPr>
            </w:pPr>
            <w:r w:rsidRPr="00AA4BFB">
              <w:rPr>
                <w:i/>
                <w:color w:val="000000"/>
                <w:spacing w:val="-4"/>
                <w:lang w:eastAsia="pt-BR"/>
              </w:rPr>
              <w:t>1.15 Prazo final para entrega da documentação completa e das garantias financeiras.</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8490292" w14:textId="77777777" w:rsidR="00AA4BFB" w:rsidRPr="00AA4BFB" w:rsidRDefault="00AA4BFB" w:rsidP="00AA4BFB">
            <w:pPr>
              <w:jc w:val="center"/>
              <w:rPr>
                <w:i/>
                <w:color w:val="000000"/>
                <w:lang w:eastAsia="pt-BR"/>
              </w:rPr>
            </w:pPr>
            <w:r w:rsidRPr="00AA4BFB">
              <w:rPr>
                <w:i/>
                <w:color w:val="000000"/>
                <w:lang w:eastAsia="pt-BR"/>
              </w:rPr>
              <w:t>1.4</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3F47122" w14:textId="77777777" w:rsidR="00AA4BFB" w:rsidRPr="00AA4BFB" w:rsidRDefault="00AA4BFB" w:rsidP="00AA4BFB">
            <w:pPr>
              <w:jc w:val="center"/>
              <w:rPr>
                <w:i/>
                <w:color w:val="000000"/>
                <w:lang w:eastAsia="pt-BR"/>
              </w:rPr>
            </w:pPr>
            <w:r w:rsidRPr="00AA4BFB">
              <w:rPr>
                <w:i/>
                <w:color w:val="000000"/>
                <w:w w:val="102"/>
                <w:lang w:eastAsia="pt-BR"/>
              </w:rPr>
              <w:t>9</w:t>
            </w:r>
          </w:p>
        </w:tc>
      </w:tr>
      <w:tr w:rsidR="00AA4BFB" w:rsidRPr="00AA4BFB" w14:paraId="6A7653FB"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A2CC001" w14:textId="77777777" w:rsidR="00AA4BFB" w:rsidRPr="00AA4BFB" w:rsidRDefault="00AA4BFB" w:rsidP="00AA4BFB">
            <w:pPr>
              <w:jc w:val="both"/>
              <w:rPr>
                <w:i/>
                <w:color w:val="000000"/>
                <w:sz w:val="20"/>
                <w:szCs w:val="20"/>
                <w:lang w:eastAsia="pt-BR"/>
              </w:rPr>
            </w:pPr>
            <w:r w:rsidRPr="00AA4BFB">
              <w:rPr>
                <w:i/>
                <w:color w:val="000000"/>
                <w:sz w:val="20"/>
                <w:lang w:eastAsia="pt-BR"/>
              </w:rPr>
              <w:t xml:space="preserve">-   </w:t>
            </w:r>
            <w:r w:rsidRPr="00AA4BFB">
              <w:rPr>
                <w:i/>
                <w:color w:val="000000"/>
                <w:lang w:eastAsia="pt-BR"/>
              </w:rPr>
              <w:t>Edital de licitação publicado em:</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1CEA1DC" w14:textId="77777777" w:rsidR="00AA4BFB" w:rsidRPr="00AA4BFB" w:rsidRDefault="00AA4BFB" w:rsidP="00AA4BFB">
            <w:pPr>
              <w:jc w:val="center"/>
              <w:rPr>
                <w:i/>
                <w:color w:val="000000"/>
                <w:lang w:eastAsia="pt-BR"/>
              </w:rPr>
            </w:pPr>
            <w:r w:rsidRPr="00AA4BFB">
              <w:rPr>
                <w:i/>
                <w:color w:val="000000"/>
                <w:lang w:eastAsia="pt-BR"/>
              </w:rPr>
              <w:t>19/01/2017</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F2430F1" w14:textId="77777777" w:rsidR="00AA4BFB" w:rsidRPr="00AA4BFB" w:rsidRDefault="00AA4BFB" w:rsidP="00AA4BFB">
            <w:pPr>
              <w:rPr>
                <w:i/>
                <w:color w:val="000000"/>
                <w:lang w:eastAsia="pt-BR"/>
              </w:rPr>
            </w:pPr>
            <w:r w:rsidRPr="00AA4BFB">
              <w:rPr>
                <w:i/>
                <w:color w:val="000000"/>
                <w:lang w:eastAsia="pt-BR"/>
              </w:rPr>
              <w:t> </w:t>
            </w:r>
          </w:p>
        </w:tc>
      </w:tr>
      <w:tr w:rsidR="00AA4BFB" w:rsidRPr="00AA4BFB" w14:paraId="785E0EC4" w14:textId="77777777">
        <w:trPr>
          <w:trHeight w:hRule="exact" w:val="300"/>
          <w:jc w:val="center"/>
        </w:trPr>
        <w:tc>
          <w:tcPr>
            <w:tcW w:w="7894"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5880BA7F" w14:textId="77777777" w:rsidR="00AA4BFB" w:rsidRPr="00AA4BFB" w:rsidRDefault="00AA4BFB" w:rsidP="00AA4BFB">
            <w:pPr>
              <w:jc w:val="both"/>
              <w:rPr>
                <w:i/>
                <w:color w:val="000000"/>
                <w:sz w:val="20"/>
                <w:szCs w:val="20"/>
                <w:lang w:eastAsia="pt-BR"/>
              </w:rPr>
            </w:pPr>
            <w:r w:rsidRPr="00AA4BFB">
              <w:rPr>
                <w:i/>
                <w:color w:val="000000"/>
                <w:sz w:val="20"/>
                <w:lang w:eastAsia="pt-BR"/>
              </w:rPr>
              <w:t xml:space="preserve">-   </w:t>
            </w:r>
            <w:r w:rsidRPr="00AA4BFB">
              <w:rPr>
                <w:i/>
                <w:color w:val="000000"/>
                <w:lang w:eastAsia="pt-BR"/>
              </w:rPr>
              <w:t>Encaminhado ao TCU em:</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D7F6CB5" w14:textId="77777777" w:rsidR="00AA4BFB" w:rsidRPr="00AA4BFB" w:rsidRDefault="00AA4BFB" w:rsidP="00AA4BFB">
            <w:pPr>
              <w:jc w:val="center"/>
              <w:rPr>
                <w:i/>
                <w:color w:val="000000"/>
                <w:lang w:eastAsia="pt-BR"/>
              </w:rPr>
            </w:pPr>
            <w:r w:rsidRPr="00AA4BFB">
              <w:rPr>
                <w:i/>
                <w:color w:val="000000"/>
                <w:lang w:eastAsia="pt-BR"/>
              </w:rPr>
              <w:t>-</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C7A3C09" w14:textId="77777777" w:rsidR="00AA4BFB" w:rsidRPr="00AA4BFB" w:rsidRDefault="00AA4BFB" w:rsidP="00AA4BFB">
            <w:pPr>
              <w:rPr>
                <w:i/>
                <w:color w:val="000000"/>
                <w:lang w:eastAsia="pt-BR"/>
              </w:rPr>
            </w:pPr>
            <w:r w:rsidRPr="00AA4BFB">
              <w:rPr>
                <w:i/>
                <w:color w:val="000000"/>
                <w:lang w:eastAsia="pt-BR"/>
              </w:rPr>
              <w:t> </w:t>
            </w:r>
          </w:p>
        </w:tc>
      </w:tr>
      <w:tr w:rsidR="00AA4BFB" w:rsidRPr="00AA4BFB" w14:paraId="1FCC1692" w14:textId="77777777">
        <w:trPr>
          <w:trHeight w:val="600"/>
          <w:jc w:val="center"/>
        </w:trPr>
        <w:tc>
          <w:tcPr>
            <w:tcW w:w="7894"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4B696BD0" w14:textId="77777777" w:rsidR="00AA4BFB" w:rsidRPr="00AA4BFB" w:rsidRDefault="00AA4BFB" w:rsidP="00AA4BFB">
            <w:pPr>
              <w:jc w:val="both"/>
              <w:rPr>
                <w:i/>
                <w:color w:val="000000"/>
                <w:sz w:val="20"/>
                <w:szCs w:val="20"/>
                <w:lang w:eastAsia="pt-BR"/>
              </w:rPr>
            </w:pPr>
            <w:r w:rsidRPr="00AA4BFB">
              <w:rPr>
                <w:i/>
                <w:color w:val="000000"/>
                <w:sz w:val="20"/>
                <w:lang w:eastAsia="pt-BR"/>
              </w:rPr>
              <w:t xml:space="preserve">-   </w:t>
            </w:r>
            <w:r w:rsidRPr="00AA4BFB">
              <w:rPr>
                <w:i/>
                <w:color w:val="000000"/>
                <w:lang w:eastAsia="pt-BR"/>
              </w:rPr>
              <w:t>O edital de licitação, acompanhado da minuta de contrato, deve ser encaminhado ao TCU cinco dias, no máximo, após a sua publicação, conforme o art. 8º, II, c da IN TCU n. 27/1998.</w:t>
            </w: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659F915"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4B57165" w14:textId="77777777" w:rsidR="00AA4BFB" w:rsidRPr="00AA4BFB" w:rsidRDefault="00AA4BFB" w:rsidP="00AA4BFB">
            <w:pPr>
              <w:rPr>
                <w:i/>
                <w:color w:val="000000"/>
                <w:lang w:eastAsia="pt-BR"/>
              </w:rPr>
            </w:pPr>
          </w:p>
        </w:tc>
      </w:tr>
      <w:tr w:rsidR="00AA4BFB" w:rsidRPr="00AA4BFB" w14:paraId="641310CE" w14:textId="77777777">
        <w:trPr>
          <w:trHeight w:val="54"/>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738AA193" w14:textId="77777777" w:rsidR="00AA4BFB" w:rsidRPr="00AA4BFB" w:rsidRDefault="00AA4BFB" w:rsidP="00AA4BFB">
            <w:pPr>
              <w:jc w:val="both"/>
              <w:rPr>
                <w:rFonts w:ascii="Calibri" w:hAnsi="Calibri"/>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86569A2"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5922E9D" w14:textId="77777777" w:rsidR="00AA4BFB" w:rsidRPr="00AA4BFB" w:rsidRDefault="00AA4BFB" w:rsidP="00AA4BFB">
            <w:pPr>
              <w:rPr>
                <w:i/>
                <w:color w:val="000000"/>
                <w:lang w:eastAsia="pt-BR"/>
              </w:rPr>
            </w:pPr>
          </w:p>
        </w:tc>
      </w:tr>
      <w:tr w:rsidR="00AA4BFB" w:rsidRPr="00AA4BFB" w14:paraId="3539F6AF"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A788B86" w14:textId="77777777" w:rsidR="00AA4BFB" w:rsidRPr="00AA4BFB" w:rsidRDefault="00AA4BFB" w:rsidP="00AA4BFB">
            <w:pPr>
              <w:jc w:val="both"/>
              <w:rPr>
                <w:i/>
                <w:color w:val="000000"/>
                <w:lang w:eastAsia="pt-BR"/>
              </w:rPr>
            </w:pPr>
            <w:r w:rsidRPr="00AA4BFB">
              <w:rPr>
                <w:i/>
                <w:color w:val="000000"/>
                <w:lang w:eastAsia="pt-BR"/>
              </w:rPr>
              <w:t>2.     Minuta de contrato contendo as seguintes cláusulas essenciais:</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D8D619C" w14:textId="77777777" w:rsidR="00AA4BFB" w:rsidRPr="00AA4BFB" w:rsidRDefault="00AA4BFB" w:rsidP="00AA4BFB">
            <w:pPr>
              <w:rPr>
                <w:i/>
                <w:color w:val="000000"/>
                <w:lang w:eastAsia="pt-BR"/>
              </w:rPr>
            </w:pPr>
            <w:r w:rsidRPr="00AA4BFB">
              <w:rPr>
                <w:i/>
                <w:color w:val="000000"/>
                <w:lang w:eastAsia="pt-BR"/>
              </w:rPr>
              <w:t> </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3E64D8E" w14:textId="77777777" w:rsidR="00AA4BFB" w:rsidRPr="00AA4BFB" w:rsidRDefault="00AA4BFB" w:rsidP="00AA4BFB">
            <w:pPr>
              <w:rPr>
                <w:i/>
                <w:color w:val="000000"/>
                <w:lang w:eastAsia="pt-BR"/>
              </w:rPr>
            </w:pPr>
            <w:r w:rsidRPr="00AA4BFB">
              <w:rPr>
                <w:i/>
                <w:color w:val="000000"/>
                <w:lang w:eastAsia="pt-BR"/>
              </w:rPr>
              <w:t> </w:t>
            </w:r>
          </w:p>
        </w:tc>
      </w:tr>
      <w:tr w:rsidR="00AA4BFB" w:rsidRPr="00AA4BFB" w14:paraId="57D471AD"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BB976F6" w14:textId="77777777" w:rsidR="00AA4BFB" w:rsidRPr="00AA4BFB" w:rsidRDefault="00AA4BFB" w:rsidP="00AA4BFB">
            <w:pPr>
              <w:jc w:val="both"/>
              <w:rPr>
                <w:i/>
                <w:color w:val="000000"/>
                <w:lang w:eastAsia="pt-BR"/>
              </w:rPr>
            </w:pPr>
            <w:r w:rsidRPr="00AA4BFB">
              <w:rPr>
                <w:i/>
                <w:color w:val="000000"/>
                <w:lang w:eastAsia="pt-BR"/>
              </w:rPr>
              <w:t>2.1 A definição do bloco objeto da concessão.</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515779C" w14:textId="77777777" w:rsidR="00AA4BFB" w:rsidRPr="00AA4BFB" w:rsidRDefault="00AA4BFB" w:rsidP="00AA4BFB">
            <w:pPr>
              <w:jc w:val="center"/>
              <w:rPr>
                <w:i/>
                <w:color w:val="000000"/>
                <w:lang w:eastAsia="pt-BR"/>
              </w:rPr>
            </w:pPr>
            <w:r w:rsidRPr="00AA4BFB">
              <w:rPr>
                <w:i/>
                <w:color w:val="000000"/>
                <w:w w:val="102"/>
                <w:lang w:eastAsia="pt-BR"/>
              </w:rPr>
              <w:t>2</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39A7703" w14:textId="77777777" w:rsidR="00AA4BFB" w:rsidRPr="00AA4BFB" w:rsidRDefault="00AA4BFB" w:rsidP="00AA4BFB">
            <w:pPr>
              <w:jc w:val="center"/>
              <w:rPr>
                <w:i/>
                <w:color w:val="000000"/>
                <w:lang w:eastAsia="pt-BR"/>
              </w:rPr>
            </w:pPr>
            <w:r w:rsidRPr="00AA4BFB">
              <w:rPr>
                <w:i/>
                <w:color w:val="000000"/>
                <w:lang w:eastAsia="pt-BR"/>
              </w:rPr>
              <w:t>12</w:t>
            </w:r>
          </w:p>
        </w:tc>
      </w:tr>
      <w:tr w:rsidR="00AA4BFB" w:rsidRPr="00AA4BFB" w14:paraId="6BAE2D69"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C19CD8C" w14:textId="77777777" w:rsidR="00AA4BFB" w:rsidRPr="00AA4BFB" w:rsidRDefault="00AA4BFB" w:rsidP="00AA4BFB">
            <w:pPr>
              <w:jc w:val="both"/>
              <w:rPr>
                <w:i/>
                <w:color w:val="000000"/>
                <w:lang w:eastAsia="pt-BR"/>
              </w:rPr>
            </w:pPr>
            <w:r w:rsidRPr="00AA4BFB">
              <w:rPr>
                <w:i/>
                <w:color w:val="000000"/>
                <w:lang w:eastAsia="pt-BR"/>
              </w:rPr>
              <w:t>2.2 O prazo de duração da fase de exploração e as condições para sua prorrogação.</w:t>
            </w:r>
          </w:p>
        </w:tc>
        <w:tc>
          <w:tcPr>
            <w:tcW w:w="1520" w:type="dxa"/>
            <w:tcBorders>
              <w:top w:val="nil"/>
              <w:left w:val="nil"/>
              <w:bottom w:val="nil"/>
              <w:right w:val="single" w:sz="8" w:space="0" w:color="000000"/>
            </w:tcBorders>
            <w:tcMar>
              <w:top w:w="0" w:type="dxa"/>
              <w:left w:w="70" w:type="dxa"/>
              <w:bottom w:w="0" w:type="dxa"/>
              <w:right w:w="70" w:type="dxa"/>
            </w:tcMar>
            <w:vAlign w:val="center"/>
            <w:hideMark/>
          </w:tcPr>
          <w:p w14:paraId="54EF2337" w14:textId="77777777" w:rsidR="00AA4BFB" w:rsidRPr="00AA4BFB" w:rsidRDefault="00AA4BFB" w:rsidP="00AA4BFB">
            <w:pPr>
              <w:jc w:val="center"/>
              <w:rPr>
                <w:i/>
                <w:color w:val="000000"/>
                <w:lang w:eastAsia="pt-BR"/>
              </w:rPr>
            </w:pPr>
            <w:r w:rsidRPr="00AA4BFB">
              <w:rPr>
                <w:i/>
                <w:color w:val="000000"/>
                <w:w w:val="102"/>
                <w:lang w:eastAsia="pt-BR"/>
              </w:rPr>
              <w:t>5</w:t>
            </w:r>
          </w:p>
        </w:tc>
        <w:tc>
          <w:tcPr>
            <w:tcW w:w="516" w:type="dxa"/>
            <w:tcBorders>
              <w:top w:val="nil"/>
              <w:left w:val="nil"/>
              <w:bottom w:val="nil"/>
              <w:right w:val="single" w:sz="8" w:space="0" w:color="000000"/>
            </w:tcBorders>
            <w:tcMar>
              <w:top w:w="0" w:type="dxa"/>
              <w:left w:w="70" w:type="dxa"/>
              <w:bottom w:w="0" w:type="dxa"/>
              <w:right w:w="70" w:type="dxa"/>
            </w:tcMar>
            <w:vAlign w:val="center"/>
            <w:hideMark/>
          </w:tcPr>
          <w:p w14:paraId="7526C706" w14:textId="77777777" w:rsidR="00AA4BFB" w:rsidRPr="00AA4BFB" w:rsidRDefault="00AA4BFB" w:rsidP="00AA4BFB">
            <w:pPr>
              <w:jc w:val="center"/>
              <w:rPr>
                <w:i/>
                <w:color w:val="000000"/>
                <w:lang w:eastAsia="pt-BR"/>
              </w:rPr>
            </w:pPr>
            <w:r w:rsidRPr="00AA4BFB">
              <w:rPr>
                <w:i/>
                <w:color w:val="000000"/>
                <w:lang w:eastAsia="pt-BR"/>
              </w:rPr>
              <w:t>16</w:t>
            </w:r>
          </w:p>
        </w:tc>
      </w:tr>
      <w:tr w:rsidR="00AA4BFB" w:rsidRPr="00AA4BFB" w14:paraId="423B8172" w14:textId="77777777">
        <w:trPr>
          <w:trHeight w:val="315"/>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410F548" w14:textId="77777777" w:rsidR="00AA4BFB" w:rsidRPr="00AA4BFB" w:rsidRDefault="00AA4BFB" w:rsidP="00AA4BFB">
            <w:pPr>
              <w:jc w:val="both"/>
              <w:rPr>
                <w:i/>
                <w:color w:val="000000"/>
                <w:lang w:eastAsia="pt-BR"/>
              </w:rPr>
            </w:pP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99E806E" w14:textId="77777777" w:rsidR="00AA4BFB" w:rsidRPr="00AA4BFB" w:rsidRDefault="00AA4BFB" w:rsidP="00AA4BFB">
            <w:pPr>
              <w:jc w:val="center"/>
              <w:rPr>
                <w:i/>
                <w:color w:val="000000"/>
                <w:lang w:eastAsia="pt-BR"/>
              </w:rPr>
            </w:pPr>
            <w:r w:rsidRPr="00AA4BFB">
              <w:rPr>
                <w:i/>
                <w:color w:val="000000"/>
                <w:w w:val="102"/>
                <w:lang w:eastAsia="pt-BR"/>
              </w:rPr>
              <w:t>Anexo II</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0B1DB6C" w14:textId="77777777" w:rsidR="00AA4BFB" w:rsidRPr="00AA4BFB" w:rsidRDefault="00AA4BFB" w:rsidP="00AA4BFB">
            <w:pPr>
              <w:jc w:val="center"/>
              <w:rPr>
                <w:i/>
                <w:color w:val="000000"/>
                <w:lang w:eastAsia="pt-BR"/>
              </w:rPr>
            </w:pPr>
            <w:r w:rsidRPr="00AA4BFB">
              <w:rPr>
                <w:i/>
                <w:color w:val="000000"/>
                <w:lang w:eastAsia="pt-BR"/>
              </w:rPr>
              <w:t>58</w:t>
            </w:r>
          </w:p>
        </w:tc>
      </w:tr>
      <w:tr w:rsidR="00AA4BFB" w:rsidRPr="00AA4BFB" w14:paraId="1762530C"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FE1C9A1" w14:textId="77777777" w:rsidR="00AA4BFB" w:rsidRPr="00AA4BFB" w:rsidRDefault="00AA4BFB" w:rsidP="00AA4BFB">
            <w:pPr>
              <w:jc w:val="both"/>
              <w:rPr>
                <w:i/>
                <w:color w:val="000000"/>
                <w:lang w:eastAsia="pt-BR"/>
              </w:rPr>
            </w:pPr>
            <w:r w:rsidRPr="00AA4BFB">
              <w:rPr>
                <w:i/>
                <w:color w:val="000000"/>
                <w:lang w:eastAsia="pt-BR"/>
              </w:rPr>
              <w:t>2.3 O programa de trabalho e o volume do investimento previsto.</w:t>
            </w:r>
          </w:p>
        </w:tc>
        <w:tc>
          <w:tcPr>
            <w:tcW w:w="1520" w:type="dxa"/>
            <w:tcBorders>
              <w:top w:val="nil"/>
              <w:left w:val="nil"/>
              <w:bottom w:val="nil"/>
              <w:right w:val="single" w:sz="8" w:space="0" w:color="000000"/>
            </w:tcBorders>
            <w:tcMar>
              <w:top w:w="0" w:type="dxa"/>
              <w:left w:w="70" w:type="dxa"/>
              <w:bottom w:w="0" w:type="dxa"/>
              <w:right w:w="70" w:type="dxa"/>
            </w:tcMar>
            <w:vAlign w:val="center"/>
            <w:hideMark/>
          </w:tcPr>
          <w:p w14:paraId="14011B47" w14:textId="77777777" w:rsidR="00AA4BFB" w:rsidRPr="00AA4BFB" w:rsidRDefault="00AA4BFB" w:rsidP="00AA4BFB">
            <w:pPr>
              <w:jc w:val="center"/>
              <w:rPr>
                <w:i/>
                <w:color w:val="000000"/>
                <w:lang w:eastAsia="pt-BR"/>
              </w:rPr>
            </w:pPr>
            <w:r w:rsidRPr="00AA4BFB">
              <w:rPr>
                <w:i/>
                <w:color w:val="000000"/>
                <w:w w:val="102"/>
                <w:lang w:eastAsia="pt-BR"/>
              </w:rPr>
              <w:t>5</w:t>
            </w:r>
          </w:p>
        </w:tc>
        <w:tc>
          <w:tcPr>
            <w:tcW w:w="516" w:type="dxa"/>
            <w:tcBorders>
              <w:top w:val="nil"/>
              <w:left w:val="nil"/>
              <w:bottom w:val="nil"/>
              <w:right w:val="single" w:sz="8" w:space="0" w:color="000000"/>
            </w:tcBorders>
            <w:tcMar>
              <w:top w:w="0" w:type="dxa"/>
              <w:left w:w="70" w:type="dxa"/>
              <w:bottom w:w="0" w:type="dxa"/>
              <w:right w:w="70" w:type="dxa"/>
            </w:tcMar>
            <w:vAlign w:val="center"/>
            <w:hideMark/>
          </w:tcPr>
          <w:p w14:paraId="09803AF4" w14:textId="77777777" w:rsidR="00AA4BFB" w:rsidRPr="00AA4BFB" w:rsidRDefault="00AA4BFB" w:rsidP="00AA4BFB">
            <w:pPr>
              <w:jc w:val="center"/>
              <w:rPr>
                <w:i/>
                <w:color w:val="000000"/>
                <w:lang w:eastAsia="pt-BR"/>
              </w:rPr>
            </w:pPr>
            <w:r w:rsidRPr="00AA4BFB">
              <w:rPr>
                <w:i/>
                <w:color w:val="000000"/>
                <w:lang w:eastAsia="pt-BR"/>
              </w:rPr>
              <w:t>16</w:t>
            </w:r>
          </w:p>
        </w:tc>
      </w:tr>
      <w:tr w:rsidR="00AA4BFB" w:rsidRPr="00AA4BFB" w14:paraId="5B403123" w14:textId="77777777">
        <w:trPr>
          <w:trHeight w:val="615"/>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218B3E0" w14:textId="77777777" w:rsidR="00AA4BFB" w:rsidRPr="00AA4BFB" w:rsidRDefault="00AA4BFB" w:rsidP="00AA4BFB">
            <w:pPr>
              <w:jc w:val="both"/>
              <w:rPr>
                <w:i/>
                <w:color w:val="000000"/>
                <w:lang w:eastAsia="pt-BR"/>
              </w:rPr>
            </w:pP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8B95AE8" w14:textId="77777777" w:rsidR="00AA4BFB" w:rsidRPr="00AA4BFB" w:rsidRDefault="00AA4BFB" w:rsidP="00AA4BFB">
            <w:pPr>
              <w:jc w:val="center"/>
              <w:rPr>
                <w:i/>
                <w:color w:val="000000"/>
                <w:lang w:eastAsia="pt-BR"/>
              </w:rPr>
            </w:pPr>
            <w:r w:rsidRPr="00AA4BFB">
              <w:rPr>
                <w:i/>
                <w:color w:val="000000"/>
                <w:w w:val="102"/>
                <w:lang w:eastAsia="pt-BR"/>
              </w:rPr>
              <w:t>Anexo XIV (edital)</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9E181DF" w14:textId="77777777" w:rsidR="00AA4BFB" w:rsidRPr="00AA4BFB" w:rsidRDefault="00AA4BFB" w:rsidP="00AA4BFB">
            <w:pPr>
              <w:jc w:val="center"/>
              <w:rPr>
                <w:i/>
                <w:color w:val="000000"/>
                <w:lang w:eastAsia="pt-BR"/>
              </w:rPr>
            </w:pPr>
            <w:r w:rsidRPr="00AA4BFB">
              <w:rPr>
                <w:i/>
                <w:color w:val="000000"/>
                <w:lang w:eastAsia="pt-BR"/>
              </w:rPr>
              <w:t>138</w:t>
            </w:r>
          </w:p>
        </w:tc>
      </w:tr>
      <w:tr w:rsidR="00AA4BFB" w:rsidRPr="00AA4BFB" w14:paraId="51069727"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8A9DF8F" w14:textId="77777777" w:rsidR="00AA4BFB" w:rsidRPr="00AA4BFB" w:rsidRDefault="00AA4BFB" w:rsidP="00AA4BFB">
            <w:pPr>
              <w:jc w:val="both"/>
              <w:rPr>
                <w:i/>
                <w:color w:val="000000"/>
                <w:lang w:eastAsia="pt-BR"/>
              </w:rPr>
            </w:pPr>
            <w:r w:rsidRPr="00AA4BFB">
              <w:rPr>
                <w:i/>
                <w:color w:val="000000"/>
                <w:lang w:eastAsia="pt-BR"/>
              </w:rPr>
              <w:t>2.4 As condições contratuais para prorrogação do prazo de exploração serão estabelecidas de modo a assegurar a devolução de um percentual do bloco, a critério da ANP, e o aumento do valor do pagamento pela ocupação da área.</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7F2549B" w14:textId="77777777" w:rsidR="00AA4BFB" w:rsidRPr="00AA4BFB" w:rsidRDefault="00AA4BFB" w:rsidP="00AA4BFB">
            <w:pPr>
              <w:jc w:val="center"/>
              <w:rPr>
                <w:i/>
                <w:color w:val="000000"/>
                <w:lang w:eastAsia="pt-BR"/>
              </w:rPr>
            </w:pPr>
            <w:r w:rsidRPr="00AA4BFB">
              <w:rPr>
                <w:i/>
                <w:color w:val="000000"/>
                <w:w w:val="102"/>
                <w:lang w:eastAsia="pt-BR"/>
              </w:rPr>
              <w:t>5</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6A4881C" w14:textId="77777777" w:rsidR="00AA4BFB" w:rsidRPr="00AA4BFB" w:rsidRDefault="00AA4BFB" w:rsidP="00AA4BFB">
            <w:pPr>
              <w:jc w:val="center"/>
              <w:rPr>
                <w:i/>
                <w:color w:val="000000"/>
                <w:lang w:eastAsia="pt-BR"/>
              </w:rPr>
            </w:pPr>
            <w:r w:rsidRPr="00AA4BFB">
              <w:rPr>
                <w:i/>
                <w:color w:val="000000"/>
                <w:lang w:eastAsia="pt-BR"/>
              </w:rPr>
              <w:t>16</w:t>
            </w:r>
          </w:p>
        </w:tc>
      </w:tr>
      <w:tr w:rsidR="00AA4BFB" w:rsidRPr="00AA4BFB" w14:paraId="4DD0CA35"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E18C1D"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BC8D8F3"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337C6C2" w14:textId="77777777" w:rsidR="00AA4BFB" w:rsidRPr="00AA4BFB" w:rsidRDefault="00AA4BFB" w:rsidP="00AA4BFB">
            <w:pPr>
              <w:rPr>
                <w:i/>
                <w:color w:val="000000"/>
                <w:lang w:eastAsia="pt-BR"/>
              </w:rPr>
            </w:pPr>
          </w:p>
        </w:tc>
      </w:tr>
      <w:tr w:rsidR="00AA4BFB" w:rsidRPr="00AA4BFB" w14:paraId="29384192"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DEA22E7" w14:textId="77777777" w:rsidR="00AA4BFB" w:rsidRPr="00AA4BFB" w:rsidRDefault="00AA4BFB" w:rsidP="00AA4BFB">
            <w:pPr>
              <w:jc w:val="both"/>
              <w:rPr>
                <w:i/>
                <w:color w:val="000000"/>
                <w:lang w:eastAsia="pt-BR"/>
              </w:rPr>
            </w:pPr>
            <w:r w:rsidRPr="00AA4BFB">
              <w:rPr>
                <w:i/>
                <w:color w:val="000000"/>
                <w:lang w:eastAsia="pt-BR"/>
              </w:rPr>
              <w:t>2.5 As obrigações do concessionário quanto às participações:</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A49D4FA" w14:textId="77777777" w:rsidR="00AA4BFB" w:rsidRPr="00AA4BFB" w:rsidRDefault="00AA4BFB" w:rsidP="00AA4BFB">
            <w:pPr>
              <w:rPr>
                <w:i/>
                <w:color w:val="000000"/>
                <w:lang w:eastAsia="pt-BR"/>
              </w:rPr>
            </w:pPr>
            <w:r w:rsidRPr="00AA4BFB">
              <w:rPr>
                <w:i/>
                <w:color w:val="000000"/>
                <w:lang w:eastAsia="pt-BR"/>
              </w:rPr>
              <w:t> </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D7C6B95" w14:textId="77777777" w:rsidR="00AA4BFB" w:rsidRPr="00AA4BFB" w:rsidRDefault="00AA4BFB" w:rsidP="00AA4BFB">
            <w:pPr>
              <w:rPr>
                <w:i/>
                <w:color w:val="000000"/>
                <w:lang w:eastAsia="pt-BR"/>
              </w:rPr>
            </w:pPr>
            <w:r w:rsidRPr="00AA4BFB">
              <w:rPr>
                <w:i/>
                <w:color w:val="000000"/>
                <w:lang w:eastAsia="pt-BR"/>
              </w:rPr>
              <w:t> </w:t>
            </w:r>
          </w:p>
        </w:tc>
      </w:tr>
      <w:tr w:rsidR="00AA4BFB" w:rsidRPr="00AA4BFB" w14:paraId="5FA9927A"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E383D0D" w14:textId="77777777" w:rsidR="00AA4BFB" w:rsidRPr="00AA4BFB" w:rsidRDefault="00AA4BFB" w:rsidP="00AA4BFB">
            <w:pPr>
              <w:jc w:val="both"/>
              <w:rPr>
                <w:i/>
                <w:color w:val="000000"/>
                <w:lang w:eastAsia="pt-BR"/>
              </w:rPr>
            </w:pPr>
            <w:r w:rsidRPr="00AA4BFB">
              <w:rPr>
                <w:i/>
                <w:color w:val="000000"/>
                <w:lang w:eastAsia="pt-BR"/>
              </w:rPr>
              <w:t>2.5.1 Bônus de assinatura (cláusula facultativa).</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E8B12B5" w14:textId="77777777" w:rsidR="00AA4BFB" w:rsidRPr="00AA4BFB" w:rsidRDefault="00AA4BFB" w:rsidP="00AA4BFB">
            <w:pPr>
              <w:jc w:val="center"/>
              <w:rPr>
                <w:i/>
                <w:color w:val="000000"/>
                <w:lang w:eastAsia="pt-BR"/>
              </w:rPr>
            </w:pPr>
            <w:r w:rsidRPr="00AA4BFB">
              <w:rPr>
                <w:i/>
                <w:color w:val="000000"/>
                <w:lang w:eastAsia="pt-BR"/>
              </w:rPr>
              <w:t>Anexo VI</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85994AD" w14:textId="77777777" w:rsidR="00AA4BFB" w:rsidRPr="00AA4BFB" w:rsidRDefault="00AA4BFB" w:rsidP="00AA4BFB">
            <w:pPr>
              <w:jc w:val="center"/>
              <w:rPr>
                <w:i/>
                <w:color w:val="000000"/>
                <w:lang w:eastAsia="pt-BR"/>
              </w:rPr>
            </w:pPr>
            <w:r w:rsidRPr="00AA4BFB">
              <w:rPr>
                <w:i/>
                <w:color w:val="000000"/>
                <w:lang w:eastAsia="pt-BR"/>
              </w:rPr>
              <w:t>62</w:t>
            </w:r>
          </w:p>
        </w:tc>
      </w:tr>
      <w:tr w:rsidR="00AA4BFB" w:rsidRPr="00AA4BFB" w14:paraId="4FE2D6C3"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765462A" w14:textId="77777777" w:rsidR="00AA4BFB" w:rsidRPr="00AA4BFB" w:rsidRDefault="00AA4BFB" w:rsidP="00AA4BFB">
            <w:pPr>
              <w:jc w:val="both"/>
              <w:rPr>
                <w:i/>
                <w:color w:val="000000"/>
                <w:lang w:eastAsia="pt-BR"/>
              </w:rPr>
            </w:pPr>
            <w:r w:rsidRPr="00AA4BFB">
              <w:rPr>
                <w:i/>
                <w:color w:val="000000"/>
                <w:lang w:eastAsia="pt-BR"/>
              </w:rPr>
              <w:t>2.5.2 Royalties (cláusula obrigatória).</w:t>
            </w:r>
          </w:p>
        </w:tc>
        <w:tc>
          <w:tcPr>
            <w:tcW w:w="1520" w:type="dxa"/>
            <w:tcBorders>
              <w:top w:val="nil"/>
              <w:left w:val="nil"/>
              <w:bottom w:val="nil"/>
              <w:right w:val="single" w:sz="8" w:space="0" w:color="000000"/>
            </w:tcBorders>
            <w:tcMar>
              <w:top w:w="0" w:type="dxa"/>
              <w:left w:w="70" w:type="dxa"/>
              <w:bottom w:w="0" w:type="dxa"/>
              <w:right w:w="70" w:type="dxa"/>
            </w:tcMar>
            <w:vAlign w:val="center"/>
            <w:hideMark/>
          </w:tcPr>
          <w:p w14:paraId="534165B0" w14:textId="77777777" w:rsidR="00AA4BFB" w:rsidRPr="00AA4BFB" w:rsidRDefault="00AA4BFB" w:rsidP="00AA4BFB">
            <w:pPr>
              <w:jc w:val="center"/>
              <w:rPr>
                <w:i/>
                <w:color w:val="000000"/>
                <w:lang w:eastAsia="pt-BR"/>
              </w:rPr>
            </w:pPr>
            <w:r w:rsidRPr="00AA4BFB">
              <w:rPr>
                <w:i/>
                <w:color w:val="000000"/>
                <w:lang w:eastAsia="pt-BR"/>
              </w:rPr>
              <w:t>19</w:t>
            </w:r>
          </w:p>
        </w:tc>
        <w:tc>
          <w:tcPr>
            <w:tcW w:w="516" w:type="dxa"/>
            <w:tcBorders>
              <w:top w:val="nil"/>
              <w:left w:val="nil"/>
              <w:bottom w:val="nil"/>
              <w:right w:val="single" w:sz="8" w:space="0" w:color="000000"/>
            </w:tcBorders>
            <w:tcMar>
              <w:top w:w="0" w:type="dxa"/>
              <w:left w:w="70" w:type="dxa"/>
              <w:bottom w:w="0" w:type="dxa"/>
              <w:right w:w="70" w:type="dxa"/>
            </w:tcMar>
            <w:vAlign w:val="center"/>
            <w:hideMark/>
          </w:tcPr>
          <w:p w14:paraId="0EE70621" w14:textId="77777777" w:rsidR="00AA4BFB" w:rsidRPr="00AA4BFB" w:rsidRDefault="00AA4BFB" w:rsidP="00AA4BFB">
            <w:pPr>
              <w:jc w:val="center"/>
              <w:rPr>
                <w:i/>
                <w:color w:val="000000"/>
                <w:lang w:eastAsia="pt-BR"/>
              </w:rPr>
            </w:pPr>
            <w:r w:rsidRPr="00AA4BFB">
              <w:rPr>
                <w:i/>
                <w:color w:val="000000"/>
                <w:lang w:eastAsia="pt-BR"/>
              </w:rPr>
              <w:t>39</w:t>
            </w:r>
          </w:p>
        </w:tc>
      </w:tr>
      <w:tr w:rsidR="00AA4BFB" w:rsidRPr="00AA4BFB" w14:paraId="119CD817" w14:textId="77777777">
        <w:trPr>
          <w:trHeight w:val="315"/>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C55C836" w14:textId="77777777" w:rsidR="00AA4BFB" w:rsidRPr="00AA4BFB" w:rsidRDefault="00AA4BFB" w:rsidP="00AA4BFB">
            <w:pPr>
              <w:jc w:val="both"/>
              <w:rPr>
                <w:i/>
                <w:color w:val="000000"/>
                <w:lang w:eastAsia="pt-BR"/>
              </w:rPr>
            </w:pP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1EEA380" w14:textId="77777777" w:rsidR="00AA4BFB" w:rsidRPr="00AA4BFB" w:rsidRDefault="00AA4BFB" w:rsidP="00AA4BFB">
            <w:pPr>
              <w:jc w:val="center"/>
              <w:rPr>
                <w:i/>
                <w:color w:val="000000"/>
                <w:lang w:eastAsia="pt-BR"/>
              </w:rPr>
            </w:pPr>
            <w:r w:rsidRPr="00AA4BFB">
              <w:rPr>
                <w:i/>
                <w:color w:val="000000"/>
                <w:lang w:eastAsia="pt-BR"/>
              </w:rPr>
              <w:t>Anexo V</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031DDA" w14:textId="77777777" w:rsidR="00AA4BFB" w:rsidRPr="00AA4BFB" w:rsidRDefault="00AA4BFB" w:rsidP="00AA4BFB">
            <w:pPr>
              <w:jc w:val="center"/>
              <w:rPr>
                <w:i/>
                <w:color w:val="000000"/>
                <w:lang w:eastAsia="pt-BR"/>
              </w:rPr>
            </w:pPr>
            <w:r w:rsidRPr="00AA4BFB">
              <w:rPr>
                <w:i/>
                <w:color w:val="000000"/>
                <w:lang w:eastAsia="pt-BR"/>
              </w:rPr>
              <w:t>61</w:t>
            </w:r>
          </w:p>
        </w:tc>
      </w:tr>
      <w:tr w:rsidR="00AA4BFB" w:rsidRPr="00AA4BFB" w14:paraId="2B74A95F"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91A9E0E" w14:textId="77777777" w:rsidR="00AA4BFB" w:rsidRPr="00AA4BFB" w:rsidRDefault="00AA4BFB" w:rsidP="00AA4BFB">
            <w:pPr>
              <w:jc w:val="both"/>
              <w:rPr>
                <w:i/>
                <w:color w:val="000000"/>
                <w:lang w:eastAsia="pt-BR"/>
              </w:rPr>
            </w:pPr>
            <w:r w:rsidRPr="00AA4BFB">
              <w:rPr>
                <w:i/>
                <w:color w:val="000000"/>
                <w:lang w:eastAsia="pt-BR"/>
              </w:rPr>
              <w:t>2.5.3 Participação especial (cláusula  facultativa).</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D2E65AA" w14:textId="77777777" w:rsidR="00AA4BFB" w:rsidRPr="00AA4BFB" w:rsidRDefault="00AA4BFB" w:rsidP="00AA4BFB">
            <w:pPr>
              <w:jc w:val="center"/>
              <w:rPr>
                <w:i/>
                <w:color w:val="000000"/>
                <w:lang w:eastAsia="pt-BR"/>
              </w:rPr>
            </w:pPr>
            <w:r w:rsidRPr="00AA4BFB">
              <w:rPr>
                <w:i/>
                <w:color w:val="000000"/>
                <w:lang w:eastAsia="pt-BR"/>
              </w:rPr>
              <w:t>19</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7FEF7C9" w14:textId="77777777" w:rsidR="00AA4BFB" w:rsidRPr="00AA4BFB" w:rsidRDefault="00AA4BFB" w:rsidP="00AA4BFB">
            <w:pPr>
              <w:jc w:val="center"/>
              <w:rPr>
                <w:i/>
                <w:color w:val="000000"/>
                <w:lang w:eastAsia="pt-BR"/>
              </w:rPr>
            </w:pPr>
            <w:r w:rsidRPr="00AA4BFB">
              <w:rPr>
                <w:i/>
                <w:color w:val="000000"/>
                <w:lang w:eastAsia="pt-BR"/>
              </w:rPr>
              <w:t>39</w:t>
            </w:r>
          </w:p>
        </w:tc>
      </w:tr>
      <w:tr w:rsidR="00AA4BFB" w:rsidRPr="00AA4BFB" w14:paraId="7882E1A5"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59262B3" w14:textId="77777777" w:rsidR="00AA4BFB" w:rsidRPr="00AA4BFB" w:rsidRDefault="00AA4BFB" w:rsidP="00AA4BFB">
            <w:pPr>
              <w:jc w:val="both"/>
              <w:rPr>
                <w:i/>
                <w:color w:val="000000"/>
                <w:lang w:eastAsia="pt-BR"/>
              </w:rPr>
            </w:pPr>
            <w:r w:rsidRPr="00AA4BFB">
              <w:rPr>
                <w:i/>
                <w:color w:val="000000"/>
                <w:lang w:eastAsia="pt-BR"/>
              </w:rPr>
              <w:t>2.5.4 Pagamentos pela ocupação ou retenção de área (cláusula obrigatória).</w:t>
            </w:r>
          </w:p>
        </w:tc>
        <w:tc>
          <w:tcPr>
            <w:tcW w:w="1520" w:type="dxa"/>
            <w:tcBorders>
              <w:top w:val="nil"/>
              <w:left w:val="nil"/>
              <w:bottom w:val="nil"/>
              <w:right w:val="single" w:sz="8" w:space="0" w:color="000000"/>
            </w:tcBorders>
            <w:tcMar>
              <w:top w:w="0" w:type="dxa"/>
              <w:left w:w="70" w:type="dxa"/>
              <w:bottom w:w="0" w:type="dxa"/>
              <w:right w:w="70" w:type="dxa"/>
            </w:tcMar>
            <w:vAlign w:val="center"/>
            <w:hideMark/>
          </w:tcPr>
          <w:p w14:paraId="4BE147EA" w14:textId="77777777" w:rsidR="00AA4BFB" w:rsidRPr="00AA4BFB" w:rsidRDefault="00AA4BFB" w:rsidP="00AA4BFB">
            <w:pPr>
              <w:jc w:val="center"/>
              <w:rPr>
                <w:i/>
                <w:color w:val="000000"/>
                <w:lang w:eastAsia="pt-BR"/>
              </w:rPr>
            </w:pPr>
            <w:r w:rsidRPr="00AA4BFB">
              <w:rPr>
                <w:i/>
                <w:color w:val="000000"/>
                <w:lang w:eastAsia="pt-BR"/>
              </w:rPr>
              <w:t>19</w:t>
            </w:r>
          </w:p>
        </w:tc>
        <w:tc>
          <w:tcPr>
            <w:tcW w:w="516" w:type="dxa"/>
            <w:tcBorders>
              <w:top w:val="nil"/>
              <w:left w:val="nil"/>
              <w:bottom w:val="nil"/>
              <w:right w:val="single" w:sz="8" w:space="0" w:color="000000"/>
            </w:tcBorders>
            <w:tcMar>
              <w:top w:w="0" w:type="dxa"/>
              <w:left w:w="70" w:type="dxa"/>
              <w:bottom w:w="0" w:type="dxa"/>
              <w:right w:w="70" w:type="dxa"/>
            </w:tcMar>
            <w:vAlign w:val="center"/>
            <w:hideMark/>
          </w:tcPr>
          <w:p w14:paraId="1C90C283" w14:textId="77777777" w:rsidR="00AA4BFB" w:rsidRPr="00AA4BFB" w:rsidRDefault="00AA4BFB" w:rsidP="00AA4BFB">
            <w:pPr>
              <w:jc w:val="center"/>
              <w:rPr>
                <w:i/>
                <w:color w:val="000000"/>
                <w:lang w:eastAsia="pt-BR"/>
              </w:rPr>
            </w:pPr>
            <w:r w:rsidRPr="00AA4BFB">
              <w:rPr>
                <w:i/>
                <w:color w:val="000000"/>
                <w:lang w:eastAsia="pt-BR"/>
              </w:rPr>
              <w:t>39</w:t>
            </w:r>
          </w:p>
        </w:tc>
      </w:tr>
      <w:tr w:rsidR="00AA4BFB" w:rsidRPr="00AA4BFB" w14:paraId="6F6CA9DE" w14:textId="77777777">
        <w:trPr>
          <w:trHeight w:val="315"/>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01770C6" w14:textId="77777777" w:rsidR="00AA4BFB" w:rsidRPr="00AA4BFB" w:rsidRDefault="00AA4BFB" w:rsidP="00AA4BFB">
            <w:pPr>
              <w:jc w:val="both"/>
              <w:rPr>
                <w:i/>
                <w:color w:val="000000"/>
                <w:lang w:eastAsia="pt-BR"/>
              </w:rPr>
            </w:pP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E4E4342" w14:textId="77777777" w:rsidR="00AA4BFB" w:rsidRPr="00AA4BFB" w:rsidRDefault="00AA4BFB" w:rsidP="00AA4BFB">
            <w:pPr>
              <w:jc w:val="center"/>
              <w:rPr>
                <w:i/>
                <w:color w:val="000000"/>
                <w:lang w:eastAsia="pt-BR"/>
              </w:rPr>
            </w:pPr>
            <w:r w:rsidRPr="00AA4BFB">
              <w:rPr>
                <w:i/>
                <w:color w:val="000000"/>
                <w:lang w:eastAsia="pt-BR"/>
              </w:rPr>
              <w:t>Anexo V</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B7700F7" w14:textId="77777777" w:rsidR="00AA4BFB" w:rsidRPr="00AA4BFB" w:rsidRDefault="00AA4BFB" w:rsidP="00AA4BFB">
            <w:pPr>
              <w:jc w:val="center"/>
              <w:rPr>
                <w:i/>
                <w:color w:val="000000"/>
                <w:lang w:eastAsia="pt-BR"/>
              </w:rPr>
            </w:pPr>
            <w:r w:rsidRPr="00AA4BFB">
              <w:rPr>
                <w:i/>
                <w:color w:val="000000"/>
                <w:lang w:eastAsia="pt-BR"/>
              </w:rPr>
              <w:t>61</w:t>
            </w:r>
          </w:p>
        </w:tc>
      </w:tr>
      <w:tr w:rsidR="00AA4BFB" w:rsidRPr="00AA4BFB" w14:paraId="3316744A"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6BD94F2" w14:textId="77777777" w:rsidR="00AA4BFB" w:rsidRPr="00AA4BFB" w:rsidRDefault="00AA4BFB" w:rsidP="00AA4BFB">
            <w:pPr>
              <w:jc w:val="both"/>
              <w:rPr>
                <w:i/>
                <w:color w:val="000000"/>
                <w:lang w:eastAsia="pt-BR"/>
              </w:rPr>
            </w:pPr>
            <w:r w:rsidRPr="00AA4BFB">
              <w:rPr>
                <w:i/>
                <w:color w:val="000000"/>
                <w:lang w:eastAsia="pt-BR"/>
              </w:rPr>
              <w:t>2.6 A indicação das garantias a serem prestadas pelo concessionário quanto ao cumprimento do contrato, inclusive quanto à realização dos investimentos ajustados para cada fase.</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207E5F4" w14:textId="77777777" w:rsidR="00AA4BFB" w:rsidRPr="00AA4BFB" w:rsidRDefault="00AA4BFB" w:rsidP="00AA4BFB">
            <w:pPr>
              <w:jc w:val="center"/>
              <w:rPr>
                <w:i/>
                <w:color w:val="000000"/>
                <w:lang w:eastAsia="pt-BR"/>
              </w:rPr>
            </w:pPr>
            <w:r w:rsidRPr="00AA4BFB">
              <w:rPr>
                <w:i/>
                <w:color w:val="000000"/>
                <w:lang w:eastAsia="pt-BR"/>
              </w:rPr>
              <w:t>14</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40D738B" w14:textId="77777777" w:rsidR="00AA4BFB" w:rsidRPr="00AA4BFB" w:rsidRDefault="00AA4BFB" w:rsidP="00AA4BFB">
            <w:pPr>
              <w:jc w:val="center"/>
              <w:rPr>
                <w:i/>
                <w:color w:val="000000"/>
                <w:lang w:eastAsia="pt-BR"/>
              </w:rPr>
            </w:pPr>
            <w:r w:rsidRPr="00AA4BFB">
              <w:rPr>
                <w:i/>
                <w:color w:val="000000"/>
                <w:lang w:eastAsia="pt-BR"/>
              </w:rPr>
              <w:t>32</w:t>
            </w:r>
          </w:p>
        </w:tc>
      </w:tr>
      <w:tr w:rsidR="00AA4BFB" w:rsidRPr="00AA4BFB" w14:paraId="67D6CC9D"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F77F7B9"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86760EE"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0FE5383" w14:textId="77777777" w:rsidR="00AA4BFB" w:rsidRPr="00AA4BFB" w:rsidRDefault="00AA4BFB" w:rsidP="00AA4BFB">
            <w:pPr>
              <w:rPr>
                <w:i/>
                <w:color w:val="000000"/>
                <w:lang w:eastAsia="pt-BR"/>
              </w:rPr>
            </w:pPr>
          </w:p>
        </w:tc>
      </w:tr>
      <w:tr w:rsidR="00AA4BFB" w:rsidRPr="00AA4BFB" w14:paraId="30FB71A7" w14:textId="77777777">
        <w:trPr>
          <w:trHeight w:hRule="exact" w:val="6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6747EF9" w14:textId="77777777" w:rsidR="00AA4BFB" w:rsidRPr="00AA4BFB" w:rsidRDefault="00AA4BFB" w:rsidP="00AA4BFB">
            <w:pPr>
              <w:jc w:val="both"/>
              <w:rPr>
                <w:i/>
                <w:color w:val="000000"/>
                <w:lang w:eastAsia="pt-BR"/>
              </w:rPr>
            </w:pPr>
            <w:r w:rsidRPr="00AA4BFB">
              <w:rPr>
                <w:i/>
                <w:color w:val="000000"/>
                <w:lang w:eastAsia="pt-BR"/>
              </w:rPr>
              <w:t>2.7 A especificação das regras sobre devolução e desocupação de áreas, inclusive retirada de equipamentos e instalações, e reversão de bens.</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E37EB6D" w14:textId="77777777" w:rsidR="00AA4BFB" w:rsidRPr="00AA4BFB" w:rsidRDefault="00AA4BFB" w:rsidP="00AA4BFB">
            <w:pPr>
              <w:jc w:val="center"/>
              <w:rPr>
                <w:i/>
                <w:color w:val="000000"/>
                <w:lang w:eastAsia="pt-BR"/>
              </w:rPr>
            </w:pPr>
            <w:r w:rsidRPr="00AA4BFB">
              <w:rPr>
                <w:i/>
                <w:color w:val="000000"/>
                <w:lang w:eastAsia="pt-BR"/>
              </w:rPr>
              <w:t>23</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324F8DB0" w14:textId="77777777" w:rsidR="00AA4BFB" w:rsidRPr="00AA4BFB" w:rsidRDefault="00AA4BFB" w:rsidP="00AA4BFB">
            <w:pPr>
              <w:jc w:val="center"/>
              <w:rPr>
                <w:i/>
                <w:color w:val="000000"/>
                <w:lang w:eastAsia="pt-BR"/>
              </w:rPr>
            </w:pPr>
            <w:r w:rsidRPr="00AA4BFB">
              <w:rPr>
                <w:i/>
                <w:color w:val="000000"/>
                <w:lang w:eastAsia="pt-BR"/>
              </w:rPr>
              <w:t>44</w:t>
            </w:r>
          </w:p>
        </w:tc>
      </w:tr>
      <w:tr w:rsidR="00AA4BFB" w:rsidRPr="00AA4BFB" w14:paraId="49BE75B4"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943EFE8" w14:textId="77777777" w:rsidR="00AA4BFB" w:rsidRPr="00AA4BFB" w:rsidRDefault="00AA4BFB" w:rsidP="00AA4BFB">
            <w:pPr>
              <w:jc w:val="both"/>
              <w:rPr>
                <w:i/>
                <w:color w:val="000000"/>
                <w:lang w:eastAsia="pt-BR"/>
              </w:rPr>
            </w:pPr>
            <w:r w:rsidRPr="00AA4BFB">
              <w:rPr>
                <w:i/>
                <w:color w:val="000000"/>
                <w:lang w:eastAsia="pt-BR"/>
              </w:rPr>
              <w:t>2.8 Os procedimentos para acompanhamento e fiscalização das atividades de exploração, desenvolvimento e produção, e para auditoria do contrato.</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E5761C2" w14:textId="77777777" w:rsidR="00AA4BFB" w:rsidRPr="00AA4BFB" w:rsidRDefault="00AA4BFB" w:rsidP="00AA4BFB">
            <w:pPr>
              <w:jc w:val="center"/>
              <w:rPr>
                <w:i/>
                <w:color w:val="000000"/>
                <w:lang w:eastAsia="pt-BR"/>
              </w:rPr>
            </w:pPr>
            <w:r w:rsidRPr="00AA4BFB">
              <w:rPr>
                <w:i/>
                <w:color w:val="000000"/>
                <w:lang w:eastAsia="pt-BR"/>
              </w:rPr>
              <w:t>12</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94E3E71" w14:textId="77777777" w:rsidR="00AA4BFB" w:rsidRPr="00AA4BFB" w:rsidRDefault="00AA4BFB" w:rsidP="00AA4BFB">
            <w:pPr>
              <w:jc w:val="center"/>
              <w:rPr>
                <w:i/>
                <w:color w:val="000000"/>
                <w:lang w:eastAsia="pt-BR"/>
              </w:rPr>
            </w:pPr>
            <w:r w:rsidRPr="00AA4BFB">
              <w:rPr>
                <w:i/>
                <w:color w:val="000000"/>
                <w:lang w:eastAsia="pt-BR"/>
              </w:rPr>
              <w:t>31</w:t>
            </w:r>
          </w:p>
        </w:tc>
      </w:tr>
      <w:tr w:rsidR="00AA4BFB" w:rsidRPr="00AA4BFB" w14:paraId="01B08C2F"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AB64F96"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F17F520"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52398FA" w14:textId="77777777" w:rsidR="00AA4BFB" w:rsidRPr="00AA4BFB" w:rsidRDefault="00AA4BFB" w:rsidP="00AA4BFB">
            <w:pPr>
              <w:rPr>
                <w:i/>
                <w:color w:val="000000"/>
                <w:lang w:eastAsia="pt-BR"/>
              </w:rPr>
            </w:pPr>
          </w:p>
        </w:tc>
      </w:tr>
      <w:tr w:rsidR="00AA4BFB" w:rsidRPr="00AA4BFB" w14:paraId="534AD250" w14:textId="77777777">
        <w:trPr>
          <w:trHeight w:hRule="exact" w:val="6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CFEA6FC" w14:textId="77777777" w:rsidR="00AA4BFB" w:rsidRPr="00AA4BFB" w:rsidRDefault="00AA4BFB" w:rsidP="00AA4BFB">
            <w:pPr>
              <w:jc w:val="both"/>
              <w:rPr>
                <w:i/>
                <w:color w:val="000000"/>
                <w:lang w:eastAsia="pt-BR"/>
              </w:rPr>
            </w:pPr>
            <w:r w:rsidRPr="00AA4BFB">
              <w:rPr>
                <w:i/>
                <w:color w:val="000000"/>
                <w:lang w:eastAsia="pt-BR"/>
              </w:rPr>
              <w:t>2.9 A obrigatoriedade de o concessionário fornecer à ANP relatórios, dados e informações relativos às atividades desenvolvidas.</w:t>
            </w:r>
          </w:p>
          <w:p w14:paraId="00590F6F" w14:textId="77777777" w:rsidR="00AA4BFB" w:rsidRPr="00AA4BFB" w:rsidRDefault="00AA4BFB" w:rsidP="00AA4BFB">
            <w:pPr>
              <w:jc w:val="both"/>
              <w:rPr>
                <w:i/>
                <w:color w:val="000000"/>
                <w:lang w:eastAsia="pt-BR"/>
              </w:rPr>
            </w:pPr>
          </w:p>
          <w:p w14:paraId="73B1BF82" w14:textId="77777777" w:rsidR="00AA4BFB" w:rsidRPr="00AA4BFB" w:rsidRDefault="00AA4BFB" w:rsidP="00AA4BFB">
            <w:pPr>
              <w:jc w:val="both"/>
              <w:rPr>
                <w:i/>
                <w:color w:val="000000"/>
                <w:lang w:eastAsia="pt-BR"/>
              </w:rPr>
            </w:pPr>
          </w:p>
          <w:p w14:paraId="050CC230" w14:textId="77777777" w:rsidR="00AA4BFB" w:rsidRPr="00AA4BFB" w:rsidRDefault="00AA4BFB" w:rsidP="00AA4BFB">
            <w:pPr>
              <w:jc w:val="both"/>
              <w:rPr>
                <w:i/>
                <w:color w:val="000000"/>
                <w:lang w:eastAsia="pt-BR"/>
              </w:rPr>
            </w:pP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58252C6" w14:textId="77777777" w:rsidR="00AA4BFB" w:rsidRPr="00AA4BFB" w:rsidRDefault="00AA4BFB" w:rsidP="00AA4BFB">
            <w:pPr>
              <w:jc w:val="center"/>
              <w:rPr>
                <w:i/>
                <w:color w:val="000000"/>
                <w:lang w:eastAsia="pt-BR"/>
              </w:rPr>
            </w:pPr>
            <w:r w:rsidRPr="00AA4BFB">
              <w:rPr>
                <w:i/>
                <w:color w:val="000000"/>
                <w:lang w:eastAsia="pt-BR"/>
              </w:rPr>
              <w:t>13</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03AE5DA2" w14:textId="77777777" w:rsidR="00AA4BFB" w:rsidRPr="00AA4BFB" w:rsidRDefault="00AA4BFB" w:rsidP="00AA4BFB">
            <w:pPr>
              <w:jc w:val="center"/>
              <w:rPr>
                <w:i/>
                <w:color w:val="000000"/>
                <w:lang w:eastAsia="pt-BR"/>
              </w:rPr>
            </w:pPr>
            <w:r w:rsidRPr="00AA4BFB">
              <w:rPr>
                <w:i/>
                <w:color w:val="000000"/>
                <w:lang w:eastAsia="pt-BR"/>
              </w:rPr>
              <w:t>32</w:t>
            </w:r>
          </w:p>
        </w:tc>
      </w:tr>
      <w:tr w:rsidR="00AA4BFB" w:rsidRPr="00AA4BFB" w14:paraId="11413470"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8732552" w14:textId="77777777" w:rsidR="00AA4BFB" w:rsidRPr="00AA4BFB" w:rsidRDefault="00AA4BFB" w:rsidP="00AA4BFB">
            <w:pPr>
              <w:jc w:val="both"/>
              <w:rPr>
                <w:i/>
                <w:color w:val="000000"/>
                <w:lang w:eastAsia="pt-BR"/>
              </w:rPr>
            </w:pPr>
            <w:r w:rsidRPr="00AA4BFB">
              <w:rPr>
                <w:i/>
                <w:color w:val="000000"/>
                <w:spacing w:val="-4"/>
                <w:lang w:eastAsia="pt-BR"/>
              </w:rPr>
              <w:t>2.10 Os procedimentos relacionados com a transferência do contrato   de concessão, desde que preservado o objeto e as condições contratuais e o novo concessionário atenda aos requisitos técnicos, econômicos e jurídicos estabelecidos pela ANP, mediante prévia e expressa autorização da Agência.</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46BA7F5" w14:textId="77777777" w:rsidR="00AA4BFB" w:rsidRPr="00AA4BFB" w:rsidRDefault="00AA4BFB" w:rsidP="00AA4BFB">
            <w:pPr>
              <w:jc w:val="center"/>
              <w:rPr>
                <w:i/>
                <w:color w:val="000000"/>
                <w:lang w:eastAsia="pt-BR"/>
              </w:rPr>
            </w:pPr>
          </w:p>
          <w:p w14:paraId="611754DE" w14:textId="77777777" w:rsidR="00AA4BFB" w:rsidRPr="00AA4BFB" w:rsidRDefault="00AA4BFB" w:rsidP="00AA4BFB">
            <w:pPr>
              <w:jc w:val="center"/>
              <w:rPr>
                <w:i/>
                <w:color w:val="000000"/>
                <w:lang w:eastAsia="pt-BR"/>
              </w:rPr>
            </w:pPr>
            <w:r w:rsidRPr="00AA4BFB">
              <w:rPr>
                <w:i/>
                <w:color w:val="000000"/>
                <w:lang w:eastAsia="pt-BR"/>
              </w:rPr>
              <w:t>22</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71FB405" w14:textId="77777777" w:rsidR="00AA4BFB" w:rsidRPr="00AA4BFB" w:rsidRDefault="00AA4BFB" w:rsidP="00AA4BFB">
            <w:pPr>
              <w:jc w:val="center"/>
              <w:rPr>
                <w:i/>
                <w:color w:val="000000"/>
                <w:lang w:eastAsia="pt-BR"/>
              </w:rPr>
            </w:pPr>
          </w:p>
          <w:p w14:paraId="764A08D1" w14:textId="77777777" w:rsidR="00AA4BFB" w:rsidRPr="00AA4BFB" w:rsidRDefault="00AA4BFB" w:rsidP="00AA4BFB">
            <w:pPr>
              <w:jc w:val="center"/>
              <w:rPr>
                <w:i/>
                <w:color w:val="000000"/>
                <w:lang w:eastAsia="pt-BR"/>
              </w:rPr>
            </w:pPr>
            <w:r w:rsidRPr="00AA4BFB">
              <w:rPr>
                <w:i/>
                <w:color w:val="000000"/>
                <w:lang w:eastAsia="pt-BR"/>
              </w:rPr>
              <w:t>42</w:t>
            </w:r>
          </w:p>
        </w:tc>
      </w:tr>
      <w:tr w:rsidR="00AA4BFB" w:rsidRPr="00AA4BFB" w14:paraId="6D246ACC"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D855F91"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0AFFDF7"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AAEC0BB" w14:textId="77777777" w:rsidR="00AA4BFB" w:rsidRPr="00AA4BFB" w:rsidRDefault="00AA4BFB" w:rsidP="00AA4BFB">
            <w:pPr>
              <w:rPr>
                <w:i/>
                <w:color w:val="000000"/>
                <w:lang w:eastAsia="pt-BR"/>
              </w:rPr>
            </w:pPr>
          </w:p>
        </w:tc>
      </w:tr>
      <w:tr w:rsidR="00AA4BFB" w:rsidRPr="00AA4BFB" w14:paraId="0357095C"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921FC09"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7CEBCB7"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12A6AFB" w14:textId="77777777" w:rsidR="00AA4BFB" w:rsidRPr="00AA4BFB" w:rsidRDefault="00AA4BFB" w:rsidP="00AA4BFB">
            <w:pPr>
              <w:rPr>
                <w:i/>
                <w:color w:val="000000"/>
                <w:lang w:eastAsia="pt-BR"/>
              </w:rPr>
            </w:pPr>
          </w:p>
        </w:tc>
      </w:tr>
      <w:tr w:rsidR="00AA4BFB" w:rsidRPr="00AA4BFB" w14:paraId="348ABD51"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D0ED0BC" w14:textId="77777777" w:rsidR="00AA4BFB" w:rsidRPr="00AA4BFB" w:rsidRDefault="00AA4BFB" w:rsidP="00AA4BFB">
            <w:pPr>
              <w:jc w:val="both"/>
              <w:rPr>
                <w:i/>
                <w:color w:val="000000"/>
                <w:lang w:eastAsia="pt-BR"/>
              </w:rPr>
            </w:pPr>
            <w:r w:rsidRPr="00AA4BFB">
              <w:rPr>
                <w:i/>
                <w:color w:val="000000"/>
                <w:spacing w:val="-4"/>
                <w:lang w:eastAsia="pt-BR"/>
              </w:rPr>
              <w:t>2.11 As regras sobre solução de controvérsias, relacionadas com o contrato e sua execução, inclusive a conciliação e a arbitragem internacional.</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C6A8C9E" w14:textId="77777777" w:rsidR="00AA4BFB" w:rsidRPr="00AA4BFB" w:rsidRDefault="00AA4BFB" w:rsidP="00AA4BFB">
            <w:pPr>
              <w:jc w:val="center"/>
              <w:rPr>
                <w:i/>
                <w:color w:val="000000"/>
                <w:lang w:eastAsia="pt-BR"/>
              </w:rPr>
            </w:pPr>
            <w:r w:rsidRPr="00AA4BFB">
              <w:rPr>
                <w:i/>
                <w:color w:val="000000"/>
                <w:lang w:eastAsia="pt-BR"/>
              </w:rPr>
              <w:t>29</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EA17ED0" w14:textId="77777777" w:rsidR="00AA4BFB" w:rsidRPr="00AA4BFB" w:rsidRDefault="00AA4BFB" w:rsidP="00AA4BFB">
            <w:pPr>
              <w:jc w:val="center"/>
              <w:rPr>
                <w:i/>
                <w:color w:val="000000"/>
                <w:lang w:eastAsia="pt-BR"/>
              </w:rPr>
            </w:pPr>
            <w:r w:rsidRPr="00AA4BFB">
              <w:rPr>
                <w:i/>
                <w:color w:val="000000"/>
                <w:lang w:eastAsia="pt-BR"/>
              </w:rPr>
              <w:t>52</w:t>
            </w:r>
          </w:p>
        </w:tc>
      </w:tr>
      <w:tr w:rsidR="00AA4BFB" w:rsidRPr="00AA4BFB" w14:paraId="47BCA56B"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98D9867"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81C884D"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9A5C67E" w14:textId="77777777" w:rsidR="00AA4BFB" w:rsidRPr="00AA4BFB" w:rsidRDefault="00AA4BFB" w:rsidP="00AA4BFB">
            <w:pPr>
              <w:rPr>
                <w:i/>
                <w:color w:val="000000"/>
                <w:lang w:eastAsia="pt-BR"/>
              </w:rPr>
            </w:pPr>
          </w:p>
        </w:tc>
      </w:tr>
      <w:tr w:rsidR="00AA4BFB" w:rsidRPr="00AA4BFB" w14:paraId="6089D635" w14:textId="77777777">
        <w:trPr>
          <w:trHeight w:hRule="exac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B22C4F3" w14:textId="77777777" w:rsidR="00AA4BFB" w:rsidRPr="00AA4BFB" w:rsidRDefault="00AA4BFB" w:rsidP="00AA4BFB">
            <w:pPr>
              <w:jc w:val="both"/>
              <w:rPr>
                <w:i/>
                <w:color w:val="000000"/>
                <w:lang w:eastAsia="pt-BR"/>
              </w:rPr>
            </w:pPr>
            <w:r w:rsidRPr="00AA4BFB">
              <w:rPr>
                <w:i/>
                <w:color w:val="000000"/>
                <w:spacing w:val="-4"/>
                <w:lang w:eastAsia="pt-BR"/>
              </w:rPr>
              <w:t>2.12 Os casos de rescisão e extinção do contrato.</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6FEA7843" w14:textId="77777777" w:rsidR="00AA4BFB" w:rsidRPr="00AA4BFB" w:rsidRDefault="00AA4BFB" w:rsidP="00AA4BFB">
            <w:pPr>
              <w:jc w:val="center"/>
              <w:rPr>
                <w:i/>
                <w:color w:val="000000"/>
                <w:lang w:eastAsia="pt-BR"/>
              </w:rPr>
            </w:pPr>
            <w:r w:rsidRPr="00AA4BFB">
              <w:rPr>
                <w:i/>
                <w:color w:val="000000"/>
                <w:lang w:eastAsia="pt-BR"/>
              </w:rPr>
              <w:t>25</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1114A851" w14:textId="77777777" w:rsidR="00AA4BFB" w:rsidRPr="00AA4BFB" w:rsidRDefault="00AA4BFB" w:rsidP="00AA4BFB">
            <w:pPr>
              <w:jc w:val="center"/>
              <w:rPr>
                <w:i/>
                <w:color w:val="000000"/>
                <w:lang w:eastAsia="pt-BR"/>
              </w:rPr>
            </w:pPr>
            <w:r w:rsidRPr="00AA4BFB">
              <w:rPr>
                <w:i/>
                <w:color w:val="000000"/>
                <w:lang w:eastAsia="pt-BR"/>
              </w:rPr>
              <w:t>46</w:t>
            </w:r>
          </w:p>
        </w:tc>
      </w:tr>
      <w:tr w:rsidR="00AA4BFB" w:rsidRPr="00AA4BFB" w14:paraId="6110A37C" w14:textId="77777777">
        <w:trPr>
          <w:trHeight w:hRule="exact" w:val="6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2EBA498" w14:textId="77777777" w:rsidR="00AA4BFB" w:rsidRPr="00AA4BFB" w:rsidRDefault="00AA4BFB" w:rsidP="00AA4BFB">
            <w:pPr>
              <w:jc w:val="both"/>
              <w:rPr>
                <w:i/>
                <w:color w:val="000000"/>
                <w:lang w:eastAsia="pt-BR"/>
              </w:rPr>
            </w:pPr>
            <w:r w:rsidRPr="00AA4BFB">
              <w:rPr>
                <w:i/>
                <w:color w:val="000000"/>
                <w:spacing w:val="-4"/>
                <w:lang w:eastAsia="pt-BR"/>
              </w:rPr>
              <w:t>2.13 As penalidades aplicáveis na hipótese de descumprimento pelo concessionário das obrigações contratuais.</w:t>
            </w: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45161FEE" w14:textId="77777777" w:rsidR="00AA4BFB" w:rsidRPr="00AA4BFB" w:rsidRDefault="00AA4BFB" w:rsidP="00AA4BFB">
            <w:pPr>
              <w:jc w:val="center"/>
              <w:rPr>
                <w:i/>
                <w:color w:val="000000"/>
                <w:lang w:eastAsia="pt-BR"/>
              </w:rPr>
            </w:pPr>
            <w:r w:rsidRPr="00AA4BFB">
              <w:rPr>
                <w:i/>
                <w:color w:val="000000"/>
                <w:lang w:eastAsia="pt-BR"/>
              </w:rPr>
              <w:t>24</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CD3B696" w14:textId="77777777" w:rsidR="00AA4BFB" w:rsidRPr="00AA4BFB" w:rsidRDefault="00AA4BFB" w:rsidP="00AA4BFB">
            <w:pPr>
              <w:jc w:val="center"/>
              <w:rPr>
                <w:i/>
                <w:color w:val="000000"/>
                <w:lang w:eastAsia="pt-BR"/>
              </w:rPr>
            </w:pPr>
            <w:r w:rsidRPr="00AA4BFB">
              <w:rPr>
                <w:i/>
                <w:color w:val="000000"/>
                <w:lang w:eastAsia="pt-BR"/>
              </w:rPr>
              <w:t>46</w:t>
            </w:r>
          </w:p>
        </w:tc>
      </w:tr>
      <w:tr w:rsidR="00AA4BFB" w:rsidRPr="00AA4BFB" w14:paraId="69560B5B" w14:textId="77777777">
        <w:trPr>
          <w:trHeight w:hRule="exact" w:val="300"/>
          <w:jc w:val="center"/>
        </w:trPr>
        <w:tc>
          <w:tcPr>
            <w:tcW w:w="7894" w:type="dxa"/>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565CA3C9" w14:textId="77777777" w:rsidR="00AA4BFB" w:rsidRPr="00AA4BFB" w:rsidRDefault="00AA4BFB" w:rsidP="00AA4BFB">
            <w:pPr>
              <w:jc w:val="both"/>
              <w:rPr>
                <w:i/>
                <w:color w:val="000000"/>
                <w:lang w:eastAsia="pt-BR"/>
              </w:rPr>
            </w:pPr>
            <w:r w:rsidRPr="00AA4BFB">
              <w:rPr>
                <w:i/>
                <w:color w:val="000000"/>
                <w:spacing w:val="-3"/>
                <w:lang w:eastAsia="pt-BR"/>
              </w:rPr>
              <w:t>Verificar   também   se   a   minuta   do   contrato   estabelece   as seguintes</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B044AC2" w14:textId="77777777" w:rsidR="00AA4BFB" w:rsidRPr="00AA4BFB" w:rsidRDefault="00AA4BFB" w:rsidP="00AA4BFB">
            <w:pPr>
              <w:rPr>
                <w:i/>
                <w:color w:val="000000"/>
                <w:lang w:eastAsia="pt-BR"/>
              </w:rPr>
            </w:pPr>
            <w:r w:rsidRPr="00AA4BFB">
              <w:rPr>
                <w:i/>
                <w:color w:val="000000"/>
                <w:lang w:eastAsia="pt-BR"/>
              </w:rPr>
              <w:t> </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EB4CE2B" w14:textId="77777777" w:rsidR="00AA4BFB" w:rsidRPr="00AA4BFB" w:rsidRDefault="00AA4BFB" w:rsidP="00AA4BFB">
            <w:pPr>
              <w:rPr>
                <w:i/>
                <w:color w:val="000000"/>
                <w:lang w:eastAsia="pt-BR"/>
              </w:rPr>
            </w:pPr>
            <w:r w:rsidRPr="00AA4BFB">
              <w:rPr>
                <w:i/>
                <w:color w:val="000000"/>
                <w:lang w:eastAsia="pt-BR"/>
              </w:rPr>
              <w:t> </w:t>
            </w:r>
          </w:p>
        </w:tc>
      </w:tr>
      <w:tr w:rsidR="00AA4BFB" w:rsidRPr="00AA4BFB" w14:paraId="1D83EC2F" w14:textId="77777777">
        <w:trPr>
          <w:trHeight w:val="315"/>
          <w:jc w:val="center"/>
        </w:trPr>
        <w:tc>
          <w:tcPr>
            <w:tcW w:w="78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4FE83B1" w14:textId="77777777" w:rsidR="00AA4BFB" w:rsidRPr="00AA4BFB" w:rsidRDefault="00AA4BFB" w:rsidP="00AA4BFB">
            <w:pPr>
              <w:jc w:val="both"/>
              <w:rPr>
                <w:b/>
                <w:bCs/>
                <w:i/>
                <w:color w:val="000000"/>
                <w:lang w:eastAsia="pt-BR"/>
              </w:rPr>
            </w:pPr>
            <w:r w:rsidRPr="00AA4BFB">
              <w:rPr>
                <w:b/>
                <w:bCs/>
                <w:i/>
                <w:color w:val="000000"/>
                <w:lang w:eastAsia="pt-BR"/>
              </w:rPr>
              <w:lastRenderedPageBreak/>
              <w:t>obrigações aos concessionários</w:t>
            </w:r>
            <w:r w:rsidRPr="00AA4BFB">
              <w:rPr>
                <w:i/>
                <w:color w:val="000000"/>
                <w:lang w:eastAsia="pt-BR"/>
              </w:rPr>
              <w:t>:</w:t>
            </w: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30EEAC7"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E51A716" w14:textId="77777777" w:rsidR="00AA4BFB" w:rsidRPr="00AA4BFB" w:rsidRDefault="00AA4BFB" w:rsidP="00AA4BFB">
            <w:pPr>
              <w:rPr>
                <w:i/>
                <w:color w:val="000000"/>
                <w:lang w:eastAsia="pt-BR"/>
              </w:rPr>
            </w:pPr>
          </w:p>
        </w:tc>
      </w:tr>
      <w:tr w:rsidR="00AA4BFB" w:rsidRPr="00AA4BFB" w14:paraId="326A9147"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9087DD8" w14:textId="77777777" w:rsidR="00AA4BFB" w:rsidRPr="00AA4BFB" w:rsidRDefault="00AA4BFB" w:rsidP="00AA4BFB">
            <w:pPr>
              <w:jc w:val="both"/>
              <w:rPr>
                <w:i/>
                <w:color w:val="000000"/>
                <w:lang w:eastAsia="pt-BR"/>
              </w:rPr>
            </w:pPr>
            <w:r w:rsidRPr="00AA4BFB">
              <w:rPr>
                <w:i/>
                <w:color w:val="000000"/>
                <w:spacing w:val="-4"/>
                <w:lang w:eastAsia="pt-BR"/>
              </w:rPr>
              <w:t>2.14     Adotar, em todas as suas operações, as medidas necessárias para a conservação dos reservatórios e de outros recursos naturais, para a segurança das pessoas e dos equipamentos e para a proteção do meio ambiente.</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5D0BF35" w14:textId="77777777" w:rsidR="00AA4BFB" w:rsidRPr="00AA4BFB" w:rsidRDefault="00AA4BFB" w:rsidP="00AA4BFB">
            <w:pPr>
              <w:jc w:val="center"/>
              <w:rPr>
                <w:i/>
                <w:color w:val="000000"/>
                <w:lang w:eastAsia="pt-BR"/>
              </w:rPr>
            </w:pPr>
            <w:r w:rsidRPr="00AA4BFB">
              <w:rPr>
                <w:i/>
                <w:color w:val="000000"/>
                <w:lang w:eastAsia="pt-BR"/>
              </w:rPr>
              <w:t>11.13</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44411C5" w14:textId="77777777" w:rsidR="00AA4BFB" w:rsidRPr="00AA4BFB" w:rsidRDefault="00AA4BFB" w:rsidP="00AA4BFB">
            <w:pPr>
              <w:jc w:val="center"/>
              <w:rPr>
                <w:i/>
                <w:color w:val="000000"/>
                <w:lang w:eastAsia="pt-BR"/>
              </w:rPr>
            </w:pPr>
            <w:r w:rsidRPr="00AA4BFB">
              <w:rPr>
                <w:i/>
                <w:color w:val="000000"/>
                <w:lang w:eastAsia="pt-BR"/>
              </w:rPr>
              <w:t>26</w:t>
            </w:r>
          </w:p>
        </w:tc>
      </w:tr>
      <w:tr w:rsidR="00AA4BFB" w:rsidRPr="00AA4BFB" w14:paraId="57A57696"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D541B0C"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E9E756C"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00B96D1" w14:textId="77777777" w:rsidR="00AA4BFB" w:rsidRPr="00AA4BFB" w:rsidRDefault="00AA4BFB" w:rsidP="00AA4BFB">
            <w:pPr>
              <w:rPr>
                <w:i/>
                <w:color w:val="000000"/>
                <w:lang w:eastAsia="pt-BR"/>
              </w:rPr>
            </w:pPr>
          </w:p>
        </w:tc>
      </w:tr>
      <w:tr w:rsidR="00AA4BFB" w:rsidRPr="00AA4BFB" w14:paraId="075289CC"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1C34E36" w14:textId="77777777" w:rsidR="00AA4BFB" w:rsidRPr="00AA4BFB" w:rsidRDefault="00AA4BFB" w:rsidP="00AA4BFB">
            <w:pPr>
              <w:jc w:val="both"/>
              <w:rPr>
                <w:i/>
                <w:color w:val="000000"/>
                <w:lang w:eastAsia="pt-BR"/>
              </w:rPr>
            </w:pPr>
            <w:r w:rsidRPr="00AA4BFB">
              <w:rPr>
                <w:i/>
                <w:color w:val="000000"/>
                <w:spacing w:val="-4"/>
                <w:lang w:eastAsia="pt-BR"/>
              </w:rPr>
              <w:t>2.15 Comunicar à ANP, imediatamente, a descoberta de qualquer jazida de petróleo, gás natural ou outros hidrocarbonetos ou de outros minerais.</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C9C1614" w14:textId="77777777" w:rsidR="00AA4BFB" w:rsidRPr="00AA4BFB" w:rsidRDefault="00AA4BFB" w:rsidP="00AA4BFB">
            <w:pPr>
              <w:jc w:val="center"/>
              <w:rPr>
                <w:i/>
                <w:color w:val="000000"/>
                <w:lang w:eastAsia="pt-BR"/>
              </w:rPr>
            </w:pPr>
            <w:r w:rsidRPr="00AA4BFB">
              <w:rPr>
                <w:i/>
                <w:color w:val="000000"/>
                <w:w w:val="102"/>
                <w:lang w:eastAsia="pt-BR"/>
              </w:rPr>
              <w:t>6</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B07DA67" w14:textId="77777777" w:rsidR="00AA4BFB" w:rsidRPr="00AA4BFB" w:rsidRDefault="00AA4BFB" w:rsidP="00AA4BFB">
            <w:pPr>
              <w:jc w:val="center"/>
              <w:rPr>
                <w:i/>
                <w:color w:val="000000"/>
                <w:lang w:eastAsia="pt-BR"/>
              </w:rPr>
            </w:pPr>
            <w:r w:rsidRPr="00AA4BFB">
              <w:rPr>
                <w:i/>
                <w:color w:val="000000"/>
                <w:lang w:eastAsia="pt-BR"/>
              </w:rPr>
              <w:t>18</w:t>
            </w:r>
          </w:p>
        </w:tc>
      </w:tr>
      <w:tr w:rsidR="00AA4BFB" w:rsidRPr="00AA4BFB" w14:paraId="0965B32B"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47D0B90"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C314C7B"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A4FFB3A" w14:textId="77777777" w:rsidR="00AA4BFB" w:rsidRPr="00AA4BFB" w:rsidRDefault="00AA4BFB" w:rsidP="00AA4BFB">
            <w:pPr>
              <w:rPr>
                <w:i/>
                <w:color w:val="000000"/>
                <w:lang w:eastAsia="pt-BR"/>
              </w:rPr>
            </w:pPr>
          </w:p>
        </w:tc>
      </w:tr>
      <w:tr w:rsidR="00AA4BFB" w:rsidRPr="00AA4BFB" w14:paraId="6F421DB5" w14:textId="77777777">
        <w:trPr>
          <w:trHeight w:hRule="exact" w:val="300"/>
          <w:jc w:val="center"/>
        </w:trPr>
        <w:tc>
          <w:tcPr>
            <w:tcW w:w="7894"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D973CF5" w14:textId="77777777" w:rsidR="00AA4BFB" w:rsidRPr="00AA4BFB" w:rsidRDefault="00AA4BFB" w:rsidP="00AA4BFB">
            <w:pPr>
              <w:jc w:val="both"/>
              <w:rPr>
                <w:i/>
                <w:color w:val="000000"/>
                <w:lang w:eastAsia="pt-BR"/>
              </w:rPr>
            </w:pPr>
            <w:r w:rsidRPr="00AA4BFB">
              <w:rPr>
                <w:i/>
                <w:color w:val="000000"/>
                <w:spacing w:val="-4"/>
                <w:lang w:eastAsia="pt-BR"/>
              </w:rPr>
              <w:t>2.16 Realizar a avaliação da descoberta nos termos do programa submetido à ANP, apresentando relatório de comercialidade e declarando seu interesse no desenvolvimento do campo.</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E0A4FA8" w14:textId="77777777" w:rsidR="00AA4BFB" w:rsidRPr="00AA4BFB" w:rsidRDefault="00AA4BFB" w:rsidP="00AA4BFB">
            <w:pPr>
              <w:jc w:val="center"/>
              <w:rPr>
                <w:i/>
                <w:color w:val="000000"/>
                <w:lang w:eastAsia="pt-BR"/>
              </w:rPr>
            </w:pPr>
            <w:r w:rsidRPr="00AA4BFB">
              <w:rPr>
                <w:i/>
                <w:color w:val="000000"/>
                <w:w w:val="102"/>
                <w:lang w:eastAsia="pt-BR"/>
              </w:rPr>
              <w:t>6</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C9EB2E6" w14:textId="77777777" w:rsidR="00AA4BFB" w:rsidRPr="00AA4BFB" w:rsidRDefault="00AA4BFB" w:rsidP="00AA4BFB">
            <w:pPr>
              <w:jc w:val="center"/>
              <w:rPr>
                <w:i/>
                <w:color w:val="000000"/>
                <w:lang w:eastAsia="pt-BR"/>
              </w:rPr>
            </w:pPr>
            <w:r w:rsidRPr="00AA4BFB">
              <w:rPr>
                <w:i/>
                <w:color w:val="000000"/>
                <w:lang w:eastAsia="pt-BR"/>
              </w:rPr>
              <w:t>18</w:t>
            </w:r>
          </w:p>
        </w:tc>
      </w:tr>
      <w:tr w:rsidR="00AA4BFB" w:rsidRPr="00AA4BFB" w14:paraId="65CC383F" w14:textId="77777777">
        <w:trPr>
          <w:trHeight w:val="458"/>
          <w:jc w:val="center"/>
        </w:trPr>
        <w:tc>
          <w:tcPr>
            <w:tcW w:w="7894"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67AA835" w14:textId="77777777" w:rsidR="00AA4BFB" w:rsidRPr="00AA4BFB" w:rsidRDefault="00AA4BFB" w:rsidP="00AA4BFB">
            <w:pPr>
              <w:jc w:val="both"/>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A93D20B"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3EDD333" w14:textId="77777777" w:rsidR="00AA4BFB" w:rsidRPr="00AA4BFB" w:rsidRDefault="00AA4BFB" w:rsidP="00AA4BFB">
            <w:pPr>
              <w:rPr>
                <w:i/>
                <w:color w:val="000000"/>
                <w:lang w:eastAsia="pt-BR"/>
              </w:rPr>
            </w:pPr>
          </w:p>
        </w:tc>
      </w:tr>
      <w:tr w:rsidR="00AA4BFB" w:rsidRPr="00AA4BFB" w14:paraId="101BA36E" w14:textId="77777777">
        <w:trPr>
          <w:trHeight w:hRule="exact" w:val="300"/>
          <w:jc w:val="center"/>
        </w:trPr>
        <w:tc>
          <w:tcPr>
            <w:tcW w:w="7894" w:type="dxa"/>
            <w:vMerge w:val="restart"/>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6696B83A" w14:textId="77777777" w:rsidR="00AA4BFB" w:rsidRPr="00AA4BFB" w:rsidRDefault="00AA4BFB" w:rsidP="00AA4BFB">
            <w:pPr>
              <w:jc w:val="both"/>
              <w:rPr>
                <w:i/>
                <w:color w:val="000000"/>
                <w:lang w:eastAsia="pt-BR"/>
              </w:rPr>
            </w:pPr>
            <w:r w:rsidRPr="00AA4BFB">
              <w:rPr>
                <w:i/>
                <w:color w:val="000000"/>
                <w:spacing w:val="-4"/>
                <w:lang w:eastAsia="pt-BR"/>
              </w:rPr>
              <w:t>2.17 Submeter à ANP o plano de desenvolvimento de campo declarado comercial, contendo o cronograma e a estimativa de investimento.</w:t>
            </w:r>
          </w:p>
        </w:tc>
        <w:tc>
          <w:tcPr>
            <w:tcW w:w="1520" w:type="dxa"/>
            <w:tcBorders>
              <w:top w:val="nil"/>
              <w:left w:val="nil"/>
              <w:bottom w:val="nil"/>
              <w:right w:val="single" w:sz="8" w:space="0" w:color="000000"/>
            </w:tcBorders>
            <w:tcMar>
              <w:top w:w="0" w:type="dxa"/>
              <w:left w:w="70" w:type="dxa"/>
              <w:bottom w:w="0" w:type="dxa"/>
              <w:right w:w="70" w:type="dxa"/>
            </w:tcMar>
            <w:vAlign w:val="center"/>
            <w:hideMark/>
          </w:tcPr>
          <w:p w14:paraId="3F268620" w14:textId="77777777" w:rsidR="00AA4BFB" w:rsidRPr="00AA4BFB" w:rsidRDefault="00AA4BFB" w:rsidP="00AA4BFB">
            <w:pPr>
              <w:jc w:val="center"/>
              <w:rPr>
                <w:i/>
                <w:color w:val="000000"/>
                <w:lang w:eastAsia="pt-BR"/>
              </w:rPr>
            </w:pPr>
            <w:r w:rsidRPr="00AA4BFB">
              <w:rPr>
                <w:i/>
                <w:color w:val="000000"/>
                <w:lang w:eastAsia="pt-BR"/>
              </w:rPr>
              <w:t>7.5</w:t>
            </w:r>
          </w:p>
        </w:tc>
        <w:tc>
          <w:tcPr>
            <w:tcW w:w="516" w:type="dxa"/>
            <w:tcBorders>
              <w:top w:val="nil"/>
              <w:left w:val="nil"/>
              <w:bottom w:val="nil"/>
              <w:right w:val="single" w:sz="8" w:space="0" w:color="000000"/>
            </w:tcBorders>
            <w:tcMar>
              <w:top w:w="0" w:type="dxa"/>
              <w:left w:w="70" w:type="dxa"/>
              <w:bottom w:w="0" w:type="dxa"/>
              <w:right w:w="70" w:type="dxa"/>
            </w:tcMar>
            <w:vAlign w:val="center"/>
            <w:hideMark/>
          </w:tcPr>
          <w:p w14:paraId="43F45989" w14:textId="77777777" w:rsidR="00AA4BFB" w:rsidRPr="00AA4BFB" w:rsidRDefault="00AA4BFB" w:rsidP="00AA4BFB">
            <w:pPr>
              <w:jc w:val="center"/>
              <w:rPr>
                <w:i/>
                <w:color w:val="000000"/>
                <w:lang w:eastAsia="pt-BR"/>
              </w:rPr>
            </w:pPr>
            <w:r w:rsidRPr="00AA4BFB">
              <w:rPr>
                <w:i/>
                <w:color w:val="000000"/>
                <w:lang w:eastAsia="pt-BR"/>
              </w:rPr>
              <w:t>19</w:t>
            </w:r>
          </w:p>
        </w:tc>
      </w:tr>
      <w:tr w:rsidR="00AA4BFB" w:rsidRPr="00AA4BFB" w14:paraId="0E15C999" w14:textId="77777777">
        <w:trPr>
          <w:trHeight w:val="315"/>
          <w:jc w:val="center"/>
        </w:trPr>
        <w:tc>
          <w:tcPr>
            <w:tcW w:w="7894" w:type="dxa"/>
            <w:vMerge/>
            <w:tcBorders>
              <w:top w:val="nil"/>
              <w:left w:val="single" w:sz="8" w:space="0" w:color="000000"/>
              <w:bottom w:val="nil"/>
              <w:right w:val="single" w:sz="8" w:space="0" w:color="000000"/>
            </w:tcBorders>
            <w:tcMar>
              <w:top w:w="0" w:type="dxa"/>
              <w:left w:w="70" w:type="dxa"/>
              <w:bottom w:w="0" w:type="dxa"/>
              <w:right w:w="70" w:type="dxa"/>
            </w:tcMar>
            <w:vAlign w:val="center"/>
            <w:hideMark/>
          </w:tcPr>
          <w:p w14:paraId="0F597174" w14:textId="77777777" w:rsidR="00AA4BFB" w:rsidRPr="00AA4BFB" w:rsidRDefault="00AA4BFB" w:rsidP="00AA4BFB">
            <w:pPr>
              <w:jc w:val="both"/>
              <w:rPr>
                <w:i/>
                <w:color w:val="000000"/>
                <w:lang w:eastAsia="pt-BR"/>
              </w:rPr>
            </w:pPr>
          </w:p>
        </w:tc>
        <w:tc>
          <w:tcPr>
            <w:tcW w:w="1520"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5623558" w14:textId="77777777" w:rsidR="00AA4BFB" w:rsidRPr="00AA4BFB" w:rsidRDefault="00AA4BFB" w:rsidP="00AA4BFB">
            <w:pPr>
              <w:jc w:val="center"/>
              <w:rPr>
                <w:i/>
                <w:color w:val="000000"/>
                <w:lang w:eastAsia="pt-BR"/>
              </w:rPr>
            </w:pPr>
            <w:r w:rsidRPr="00AA4BFB">
              <w:rPr>
                <w:i/>
                <w:color w:val="000000"/>
                <w:lang w:eastAsia="pt-BR"/>
              </w:rPr>
              <w:t>9</w:t>
            </w:r>
          </w:p>
        </w:tc>
        <w:tc>
          <w:tcPr>
            <w:tcW w:w="516" w:type="dxa"/>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53A578BD" w14:textId="77777777" w:rsidR="00AA4BFB" w:rsidRPr="00AA4BFB" w:rsidRDefault="00AA4BFB" w:rsidP="00AA4BFB">
            <w:pPr>
              <w:jc w:val="center"/>
              <w:rPr>
                <w:i/>
                <w:color w:val="000000"/>
                <w:lang w:eastAsia="pt-BR"/>
              </w:rPr>
            </w:pPr>
            <w:r w:rsidRPr="00AA4BFB">
              <w:rPr>
                <w:i/>
                <w:color w:val="000000"/>
                <w:lang w:eastAsia="pt-BR"/>
              </w:rPr>
              <w:t>22</w:t>
            </w:r>
          </w:p>
        </w:tc>
      </w:tr>
      <w:tr w:rsidR="00AA4BFB" w:rsidRPr="00AA4BFB" w14:paraId="74E55028" w14:textId="77777777">
        <w:trPr>
          <w:trHeight w:hRule="exact" w:val="585"/>
          <w:jc w:val="center"/>
        </w:trPr>
        <w:tc>
          <w:tcPr>
            <w:tcW w:w="7894" w:type="dxa"/>
            <w:vMerge w:val="restar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4E3AB60" w14:textId="77777777" w:rsidR="00AA4BFB" w:rsidRPr="00AA4BFB" w:rsidRDefault="00AA4BFB" w:rsidP="00AA4BFB">
            <w:pPr>
              <w:jc w:val="both"/>
              <w:rPr>
                <w:i/>
                <w:color w:val="000000"/>
                <w:lang w:eastAsia="pt-BR"/>
              </w:rPr>
            </w:pPr>
            <w:r w:rsidRPr="00AA4BFB">
              <w:rPr>
                <w:i/>
                <w:color w:val="000000"/>
                <w:spacing w:val="-4"/>
                <w:lang w:eastAsia="pt-BR"/>
              </w:rPr>
              <w:t>2.18 Responsabilizar-se civilmente pelos atos de seus prepostos e indenizar todos e quaisquer danos decorrentes das atividades de exploração, desenvolvimento e produção contratadas, devendo ressarcir à ANP ou à União os ônus que venham a suportar em consequência de eventuais demandas motivadas por atos de responsabilidade do concessionário.</w:t>
            </w:r>
          </w:p>
        </w:tc>
        <w:tc>
          <w:tcPr>
            <w:tcW w:w="1520"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D3275F0" w14:textId="77777777" w:rsidR="00AA4BFB" w:rsidRPr="00AA4BFB" w:rsidRDefault="00AA4BFB" w:rsidP="00AA4BFB">
            <w:pPr>
              <w:jc w:val="center"/>
              <w:rPr>
                <w:i/>
                <w:color w:val="000000"/>
                <w:lang w:eastAsia="pt-BR"/>
              </w:rPr>
            </w:pPr>
            <w:r w:rsidRPr="00AA4BFB">
              <w:rPr>
                <w:i/>
                <w:color w:val="000000"/>
                <w:lang w:eastAsia="pt-BR"/>
              </w:rPr>
              <w:t>2.5</w:t>
            </w:r>
          </w:p>
        </w:tc>
        <w:tc>
          <w:tcPr>
            <w:tcW w:w="516" w:type="dxa"/>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3E35FF6" w14:textId="77777777" w:rsidR="00AA4BFB" w:rsidRPr="00AA4BFB" w:rsidRDefault="00AA4BFB" w:rsidP="00AA4BFB">
            <w:pPr>
              <w:jc w:val="center"/>
              <w:rPr>
                <w:i/>
                <w:color w:val="000000"/>
                <w:lang w:eastAsia="pt-BR"/>
              </w:rPr>
            </w:pPr>
            <w:r w:rsidRPr="00AA4BFB">
              <w:rPr>
                <w:i/>
                <w:color w:val="000000"/>
                <w:lang w:eastAsia="pt-BR"/>
              </w:rPr>
              <w:t>13</w:t>
            </w:r>
          </w:p>
        </w:tc>
      </w:tr>
      <w:tr w:rsidR="00AA4BFB" w:rsidRPr="00AA4BFB" w14:paraId="27610FFA" w14:textId="77777777">
        <w:trPr>
          <w:trHeight w:val="458"/>
          <w:jc w:val="center"/>
        </w:trPr>
        <w:tc>
          <w:tcPr>
            <w:tcW w:w="7894" w:type="dxa"/>
            <w:vMerge/>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C410F09" w14:textId="77777777" w:rsidR="00AA4BFB" w:rsidRPr="00AA4BFB" w:rsidRDefault="00AA4BFB" w:rsidP="00AA4BFB">
            <w:pPr>
              <w:rPr>
                <w:i/>
                <w:color w:val="000000"/>
                <w:lang w:eastAsia="pt-BR"/>
              </w:rPr>
            </w:pPr>
          </w:p>
        </w:tc>
        <w:tc>
          <w:tcPr>
            <w:tcW w:w="1520"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6EA9388" w14:textId="77777777" w:rsidR="00AA4BFB" w:rsidRPr="00AA4BFB" w:rsidRDefault="00AA4BFB" w:rsidP="00AA4BFB">
            <w:pPr>
              <w:rPr>
                <w:i/>
                <w:color w:val="000000"/>
                <w:lang w:eastAsia="pt-BR"/>
              </w:rPr>
            </w:pPr>
          </w:p>
        </w:tc>
        <w:tc>
          <w:tcPr>
            <w:tcW w:w="516" w:type="dxa"/>
            <w:vMerge/>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02A71EA" w14:textId="77777777" w:rsidR="00AA4BFB" w:rsidRPr="00AA4BFB" w:rsidRDefault="00AA4BFB" w:rsidP="00AA4BFB">
            <w:pPr>
              <w:rPr>
                <w:i/>
                <w:color w:val="000000"/>
                <w:lang w:eastAsia="pt-BR"/>
              </w:rPr>
            </w:pPr>
          </w:p>
        </w:tc>
      </w:tr>
    </w:tbl>
    <w:p w14:paraId="51AEA7EF" w14:textId="77777777" w:rsidR="00AA4BFB" w:rsidRPr="00AA4BFB" w:rsidRDefault="00AA4BFB" w:rsidP="00AA4BFB">
      <w:pPr>
        <w:tabs>
          <w:tab w:val="left" w:pos="1134"/>
        </w:tabs>
        <w:ind w:left="1134" w:hanging="1134"/>
        <w:rPr>
          <w:i/>
        </w:rPr>
      </w:pPr>
      <w:r w:rsidRPr="00AA4BFB">
        <w:rPr>
          <w:i/>
        </w:rPr>
        <w:t>III.3</w:t>
      </w:r>
      <w:r w:rsidR="001A636B">
        <w:rPr>
          <w:i/>
        </w:rPr>
        <w:t xml:space="preserve"> </w:t>
      </w:r>
      <w:r w:rsidRPr="00AA4BFB">
        <w:rPr>
          <w:i/>
        </w:rPr>
        <w:t>Conclusão da análise do segundo estágio</w:t>
      </w:r>
    </w:p>
    <w:p w14:paraId="346D6BEB" w14:textId="77777777" w:rsidR="00AA4BFB" w:rsidRPr="00AA4BFB" w:rsidRDefault="00AA4BFB" w:rsidP="00AA4BFB">
      <w:pPr>
        <w:tabs>
          <w:tab w:val="left" w:pos="1134"/>
        </w:tabs>
        <w:jc w:val="both"/>
        <w:rPr>
          <w:i/>
          <w:spacing w:val="-5"/>
        </w:rPr>
      </w:pPr>
      <w:r w:rsidRPr="00AA4BFB">
        <w:rPr>
          <w:i/>
          <w:spacing w:val="-22"/>
          <w:szCs w:val="24"/>
        </w:rPr>
        <w:t>22.</w:t>
      </w:r>
      <w:r w:rsidR="001A636B">
        <w:rPr>
          <w:i/>
          <w:spacing w:val="-22"/>
          <w:szCs w:val="24"/>
        </w:rPr>
        <w:t xml:space="preserve"> </w:t>
      </w:r>
      <w:r w:rsidRPr="00AA4BFB">
        <w:rPr>
          <w:i/>
          <w:spacing w:val="-5"/>
        </w:rPr>
        <w:t>Considerando que foi apresentada a documentação exigida na IN TCU 27/1998 e que foram atendidas as formalidades exigidas na legislação aplicável em relação ao edital de licitação e à minuta de contrato, recomenda-se a aprovação do Segundo Estágio.</w:t>
      </w:r>
    </w:p>
    <w:p w14:paraId="64D1E605" w14:textId="77777777" w:rsidR="00AA4BFB" w:rsidRPr="009D0DEC" w:rsidRDefault="001A636B" w:rsidP="009D0DEC">
      <w:pPr>
        <w:pStyle w:val="Ttulo1"/>
        <w:tabs>
          <w:tab w:val="left" w:pos="1134"/>
        </w:tabs>
        <w:ind w:left="1134" w:hanging="1134"/>
        <w:rPr>
          <w:b w:val="0"/>
          <w:color w:val="auto"/>
          <w:spacing w:val="-5"/>
        </w:rPr>
      </w:pPr>
      <w:r>
        <w:rPr>
          <w:b w:val="0"/>
          <w:color w:val="auto"/>
        </w:rPr>
        <w:t>[...]</w:t>
      </w:r>
    </w:p>
    <w:p w14:paraId="63722AE0" w14:textId="77777777" w:rsidR="00AA4BFB" w:rsidRPr="009D0DEC" w:rsidRDefault="00AA4BFB" w:rsidP="00AA4BFB">
      <w:pPr>
        <w:pStyle w:val="Ttulo1"/>
        <w:tabs>
          <w:tab w:val="left" w:pos="1134"/>
        </w:tabs>
        <w:ind w:left="1134" w:hanging="1134"/>
        <w:rPr>
          <w:i/>
          <w:color w:val="auto"/>
        </w:rPr>
      </w:pPr>
      <w:r w:rsidRPr="009D0DEC">
        <w:rPr>
          <w:i/>
          <w:color w:val="auto"/>
        </w:rPr>
        <w:t>V.</w:t>
      </w:r>
      <w:r w:rsidR="009D0DEC" w:rsidRPr="009D0DEC">
        <w:rPr>
          <w:i/>
          <w:color w:val="auto"/>
        </w:rPr>
        <w:t xml:space="preserve"> </w:t>
      </w:r>
      <w:r w:rsidRPr="009D0DEC">
        <w:rPr>
          <w:i/>
          <w:color w:val="auto"/>
        </w:rPr>
        <w:t>Proposta de encaminhamento</w:t>
      </w:r>
    </w:p>
    <w:p w14:paraId="2DE3C425" w14:textId="77777777" w:rsidR="00AA4BFB" w:rsidRPr="00AA4BFB" w:rsidRDefault="00AA4BFB" w:rsidP="00AA4BFB">
      <w:pPr>
        <w:tabs>
          <w:tab w:val="left" w:pos="1134"/>
        </w:tabs>
        <w:jc w:val="both"/>
        <w:rPr>
          <w:i/>
          <w:spacing w:val="-5"/>
        </w:rPr>
      </w:pPr>
      <w:r w:rsidRPr="00AA4BFB">
        <w:rPr>
          <w:i/>
          <w:spacing w:val="-22"/>
          <w:szCs w:val="24"/>
        </w:rPr>
        <w:t>27.</w:t>
      </w:r>
      <w:r w:rsidR="001A636B">
        <w:rPr>
          <w:i/>
          <w:spacing w:val="-22"/>
          <w:szCs w:val="24"/>
        </w:rPr>
        <w:t xml:space="preserve"> </w:t>
      </w:r>
      <w:r w:rsidRPr="00AA4BFB">
        <w:rPr>
          <w:i/>
          <w:spacing w:val="-5"/>
        </w:rPr>
        <w:t>Submetem-se os autos à consideração superior propondo:</w:t>
      </w:r>
    </w:p>
    <w:p w14:paraId="15E88115" w14:textId="77777777" w:rsidR="00AA4BFB" w:rsidRPr="00AA4BFB" w:rsidRDefault="00AA4BFB" w:rsidP="00AA4BFB">
      <w:pPr>
        <w:tabs>
          <w:tab w:val="left" w:pos="1701"/>
        </w:tabs>
        <w:ind w:left="1701" w:hanging="567"/>
        <w:jc w:val="both"/>
        <w:rPr>
          <w:i/>
        </w:rPr>
      </w:pPr>
      <w:r w:rsidRPr="00AA4BFB">
        <w:rPr>
          <w:i/>
          <w:spacing w:val="-2"/>
          <w:szCs w:val="24"/>
        </w:rPr>
        <w:t>a)</w:t>
      </w:r>
      <w:r w:rsidRPr="00AA4BFB">
        <w:rPr>
          <w:i/>
          <w:spacing w:val="-2"/>
          <w:szCs w:val="24"/>
        </w:rPr>
        <w:tab/>
      </w:r>
      <w:r w:rsidRPr="00AA4BFB">
        <w:rPr>
          <w:i/>
        </w:rPr>
        <w:t>aprovar o Segundo Estágio de acompanhamento de outorga de blocos exploratórios de petróleo e gás natural relativos à 4ª Rodada de licitações – Acumulações Marginais, da ANP;</w:t>
      </w:r>
    </w:p>
    <w:p w14:paraId="13ACBA9A" w14:textId="77777777" w:rsidR="00AA4BFB" w:rsidRPr="00AA4BFB" w:rsidRDefault="00AA4BFB" w:rsidP="00AA4BFB">
      <w:pPr>
        <w:tabs>
          <w:tab w:val="left" w:pos="1701"/>
        </w:tabs>
        <w:ind w:left="1701" w:hanging="567"/>
        <w:jc w:val="both"/>
        <w:rPr>
          <w:i/>
        </w:rPr>
      </w:pPr>
      <w:r w:rsidRPr="00AA4BFB">
        <w:rPr>
          <w:i/>
          <w:spacing w:val="-2"/>
          <w:szCs w:val="24"/>
        </w:rPr>
        <w:t>b)</w:t>
      </w:r>
      <w:r w:rsidRPr="00AA4BFB">
        <w:rPr>
          <w:i/>
          <w:spacing w:val="-2"/>
          <w:szCs w:val="24"/>
        </w:rPr>
        <w:tab/>
      </w:r>
      <w:r w:rsidRPr="00AA4BFB">
        <w:rPr>
          <w:i/>
        </w:rPr>
        <w:t>dar ciência à Agência Nacional do Petróleo sobre o não encaminhamento do edital da licitação, acompanhado da minuta do contrato, ao Tribunal de Contas da União, o que afronta o disposto no art. 8º, inciso II, alínea c, da Instrução Normativa TCU 27/1998;</w:t>
      </w:r>
    </w:p>
    <w:p w14:paraId="647F73B8" w14:textId="77777777" w:rsidR="00AA4BFB" w:rsidRPr="00AA4BFB" w:rsidRDefault="00AA4BFB" w:rsidP="00AA4BFB">
      <w:pPr>
        <w:tabs>
          <w:tab w:val="left" w:pos="1701"/>
        </w:tabs>
        <w:ind w:left="1701" w:hanging="567"/>
        <w:jc w:val="both"/>
        <w:rPr>
          <w:i/>
        </w:rPr>
      </w:pPr>
      <w:r w:rsidRPr="00AA4BFB">
        <w:rPr>
          <w:i/>
          <w:spacing w:val="-2"/>
          <w:szCs w:val="24"/>
        </w:rPr>
        <w:t>c)</w:t>
      </w:r>
      <w:r w:rsidRPr="00AA4BFB">
        <w:rPr>
          <w:i/>
          <w:spacing w:val="-2"/>
          <w:szCs w:val="24"/>
        </w:rPr>
        <w:tab/>
      </w:r>
      <w:r w:rsidRPr="00AA4BFB">
        <w:rPr>
          <w:i/>
        </w:rPr>
        <w:t>encaminhar cópia do Acórdão que vier a ser proferido, acompanhado do Voto e do Relatório que o fundamentam à Agência Nacional do Petróleo, Gás Natural e Biocombustíveis, ao Conselho Nacional de Política Energética, e ao  Ministério  de Minas e Energia;</w:t>
      </w:r>
    </w:p>
    <w:p w14:paraId="08874884" w14:textId="77777777" w:rsidR="00AA4BFB" w:rsidRDefault="00AA4BFB" w:rsidP="00AA4BFB">
      <w:pPr>
        <w:tabs>
          <w:tab w:val="left" w:pos="1701"/>
        </w:tabs>
        <w:ind w:left="1701" w:hanging="567"/>
        <w:jc w:val="both"/>
      </w:pPr>
      <w:r w:rsidRPr="00AA4BFB">
        <w:rPr>
          <w:i/>
          <w:spacing w:val="-2"/>
          <w:szCs w:val="24"/>
        </w:rPr>
        <w:t>d)</w:t>
      </w:r>
      <w:r w:rsidRPr="00AA4BFB">
        <w:rPr>
          <w:i/>
          <w:spacing w:val="-2"/>
          <w:szCs w:val="24"/>
        </w:rPr>
        <w:tab/>
      </w:r>
      <w:r w:rsidRPr="00AA4BFB">
        <w:rPr>
          <w:i/>
        </w:rPr>
        <w:t>restituir os autos à SeinfraPetróleo para acompanhamento do Terceiro e Quarto Estágios previsto na IN TCU 27/1998.</w:t>
      </w:r>
      <w:r w:rsidR="009D0DEC">
        <w:t>”</w:t>
      </w:r>
    </w:p>
    <w:p w14:paraId="48F5AE4B" w14:textId="77777777" w:rsidR="0086374D" w:rsidRPr="0086374D" w:rsidRDefault="0086374D" w:rsidP="0086374D">
      <w:pPr>
        <w:tabs>
          <w:tab w:val="left" w:pos="1134"/>
        </w:tabs>
        <w:spacing w:before="120"/>
        <w:jc w:val="both"/>
        <w:rPr>
          <w:spacing w:val="-2"/>
          <w:szCs w:val="24"/>
        </w:rPr>
      </w:pPr>
      <w:r>
        <w:rPr>
          <w:b/>
          <w:spacing w:val="-2"/>
          <w:szCs w:val="24"/>
        </w:rPr>
        <w:tab/>
      </w:r>
      <w:r>
        <w:rPr>
          <w:spacing w:val="-2"/>
          <w:szCs w:val="24"/>
        </w:rPr>
        <w:t>4. Submetida essa análise à minha apreciação, proferi despacho (peça 29) em que entendi prescindível deliberação do Tribunal naquele momento, ante a natureza formal da falha identificada e levando-se em conta o disposto no art. 9º c/c o art. 17 da IN 27/1998. Assim, restitui os autos à SeinfraPetróleo para continuidade do acompanhamento.</w:t>
      </w:r>
    </w:p>
    <w:p w14:paraId="142C51E2" w14:textId="77777777" w:rsidR="009D0DEC" w:rsidRPr="001A636B" w:rsidRDefault="009D0DEC" w:rsidP="001A636B">
      <w:pPr>
        <w:tabs>
          <w:tab w:val="left" w:pos="1701"/>
        </w:tabs>
        <w:spacing w:before="120"/>
        <w:jc w:val="both"/>
        <w:rPr>
          <w:b/>
          <w:spacing w:val="-2"/>
          <w:szCs w:val="24"/>
        </w:rPr>
      </w:pPr>
      <w:r w:rsidRPr="001A636B">
        <w:rPr>
          <w:b/>
          <w:spacing w:val="-2"/>
          <w:szCs w:val="24"/>
        </w:rPr>
        <w:t>II – TERCEIRO ESTÁGIO (peça 33):</w:t>
      </w:r>
    </w:p>
    <w:p w14:paraId="034E0E64" w14:textId="77777777" w:rsidR="009D0DEC" w:rsidRPr="009D0DEC" w:rsidRDefault="009D0DEC" w:rsidP="009D0DEC">
      <w:pPr>
        <w:pStyle w:val="Relatrio"/>
        <w:numPr>
          <w:ilvl w:val="0"/>
          <w:numId w:val="0"/>
        </w:numPr>
        <w:rPr>
          <w:i/>
        </w:rPr>
      </w:pPr>
      <w:r>
        <w:t>“</w:t>
      </w:r>
      <w:r w:rsidRPr="009D0DEC">
        <w:rPr>
          <w:i/>
        </w:rPr>
        <w:t>11. De acordo com o preconizado pelo Art. 7° da IN 27/1998 TCU os documentos que devem ser analisados no âmbito do terceiro estágio são os seguintes:</w:t>
      </w:r>
    </w:p>
    <w:p w14:paraId="648ACA26" w14:textId="77777777" w:rsidR="009D0DEC" w:rsidRPr="009D0DEC" w:rsidRDefault="009D0DEC" w:rsidP="009D0DEC">
      <w:pPr>
        <w:pStyle w:val="transcrio"/>
        <w:rPr>
          <w:i/>
        </w:rPr>
      </w:pPr>
      <w:r w:rsidRPr="009D0DEC">
        <w:rPr>
          <w:i/>
        </w:rPr>
        <w:t>Art. 7º A fiscalização dos processos de outorga de concessão ou de permissão de serviços públicos será prévia ou concomitante, devendo ser realizada nos estágios a seguir relacionados, mediante análise dos respectivos documentos:</w:t>
      </w:r>
    </w:p>
    <w:p w14:paraId="3B79FA03" w14:textId="77777777" w:rsidR="009D0DEC" w:rsidRPr="009D0DEC" w:rsidRDefault="009D0DEC" w:rsidP="009D0DEC">
      <w:pPr>
        <w:pStyle w:val="transcrio"/>
        <w:spacing w:before="0"/>
        <w:rPr>
          <w:i/>
        </w:rPr>
      </w:pPr>
      <w:r w:rsidRPr="009D0DEC">
        <w:rPr>
          <w:i/>
        </w:rPr>
        <w:lastRenderedPageBreak/>
        <w:t>...</w:t>
      </w:r>
    </w:p>
    <w:p w14:paraId="51790647" w14:textId="77777777" w:rsidR="009D0DEC" w:rsidRPr="009D0DEC" w:rsidRDefault="009D0DEC" w:rsidP="009D0DEC">
      <w:pPr>
        <w:pStyle w:val="transcrio"/>
        <w:rPr>
          <w:i/>
        </w:rPr>
      </w:pPr>
      <w:r w:rsidRPr="009D0DEC">
        <w:rPr>
          <w:i/>
        </w:rPr>
        <w:t>III – terceiro estágio:</w:t>
      </w:r>
    </w:p>
    <w:p w14:paraId="2AF2ACAF" w14:textId="77777777" w:rsidR="009D0DEC" w:rsidRPr="009D0DEC" w:rsidRDefault="009D0DEC" w:rsidP="009D0DEC">
      <w:pPr>
        <w:pStyle w:val="transcrio"/>
        <w:rPr>
          <w:i/>
        </w:rPr>
      </w:pPr>
      <w:r w:rsidRPr="009D0DEC">
        <w:rPr>
          <w:i/>
        </w:rPr>
        <w:t>a) atas de abertura e de encerramento da habilitação;</w:t>
      </w:r>
    </w:p>
    <w:p w14:paraId="3AD775B7" w14:textId="77777777" w:rsidR="009D0DEC" w:rsidRPr="009D0DEC" w:rsidRDefault="009D0DEC" w:rsidP="009D0DEC">
      <w:pPr>
        <w:pStyle w:val="transcrio"/>
        <w:rPr>
          <w:i/>
        </w:rPr>
      </w:pPr>
      <w:r w:rsidRPr="009D0DEC">
        <w:rPr>
          <w:i/>
        </w:rPr>
        <w:t>b) relatório de julgamento da habilitação;</w:t>
      </w:r>
    </w:p>
    <w:p w14:paraId="76CBB389" w14:textId="77777777" w:rsidR="009D0DEC" w:rsidRPr="009D0DEC" w:rsidRDefault="009D0DEC" w:rsidP="009D0DEC">
      <w:pPr>
        <w:pStyle w:val="transcrio"/>
        <w:rPr>
          <w:i/>
        </w:rPr>
      </w:pPr>
      <w:r w:rsidRPr="009D0DEC">
        <w:rPr>
          <w:i/>
        </w:rPr>
        <w:t>c) questionamentos das licitantes sobre a fase de habilitação, eventuais recursos interpostos, acompanhados das respostas e decisões respectivas;</w:t>
      </w:r>
    </w:p>
    <w:p w14:paraId="7FB38899" w14:textId="77777777" w:rsidR="009D0DEC" w:rsidRPr="009D0DEC" w:rsidRDefault="009D0DEC" w:rsidP="009D0DEC">
      <w:pPr>
        <w:pStyle w:val="transcrio"/>
        <w:rPr>
          <w:i/>
        </w:rPr>
      </w:pPr>
      <w:r w:rsidRPr="009D0DEC">
        <w:rPr>
          <w:i/>
        </w:rPr>
        <w:t>d) atas de abertura e de encerramento da fase do julgamento das propostas;</w:t>
      </w:r>
    </w:p>
    <w:p w14:paraId="258C6346" w14:textId="77777777" w:rsidR="009D0DEC" w:rsidRPr="009D0DEC" w:rsidRDefault="009D0DEC" w:rsidP="009D0DEC">
      <w:pPr>
        <w:pStyle w:val="transcrio"/>
        <w:rPr>
          <w:i/>
        </w:rPr>
      </w:pPr>
      <w:r w:rsidRPr="009D0DEC">
        <w:rPr>
          <w:i/>
        </w:rPr>
        <w:t>e) relatórios de julgamentos e outros que venham a ser produzidos;</w:t>
      </w:r>
    </w:p>
    <w:p w14:paraId="15C93A7E" w14:textId="77777777" w:rsidR="009D0DEC" w:rsidRPr="009D0DEC" w:rsidRDefault="009D0DEC" w:rsidP="009D0DEC">
      <w:pPr>
        <w:pStyle w:val="transcrio"/>
        <w:rPr>
          <w:i/>
        </w:rPr>
      </w:pPr>
      <w:r w:rsidRPr="009D0DEC">
        <w:rPr>
          <w:i/>
        </w:rPr>
        <w:t>f) recursos eventualmente interpostos e decisões proferidas referentes à fase do julgamento das propostas.</w:t>
      </w:r>
    </w:p>
    <w:p w14:paraId="63D5A0E1" w14:textId="77777777" w:rsidR="009D0DEC" w:rsidRPr="00FC2C70" w:rsidRDefault="009D0DEC" w:rsidP="009D0DEC">
      <w:pPr>
        <w:pStyle w:val="Ttulo3"/>
        <w:keepLines w:val="0"/>
        <w:numPr>
          <w:ilvl w:val="2"/>
          <w:numId w:val="0"/>
        </w:numPr>
        <w:suppressAutoHyphens/>
        <w:spacing w:before="120"/>
        <w:ind w:left="720" w:hanging="720"/>
        <w:rPr>
          <w:rFonts w:ascii="Times New Roman" w:hAnsi="Times New Roman"/>
          <w:i/>
          <w:color w:val="auto"/>
        </w:rPr>
      </w:pPr>
      <w:r w:rsidRPr="00FC2C70">
        <w:rPr>
          <w:rFonts w:ascii="Times New Roman" w:hAnsi="Times New Roman"/>
          <w:i/>
          <w:color w:val="auto"/>
        </w:rPr>
        <w:t>Habilitação</w:t>
      </w:r>
    </w:p>
    <w:p w14:paraId="1589BEEB" w14:textId="77777777" w:rsidR="009D0DEC" w:rsidRPr="00FC2C70" w:rsidRDefault="009D0DEC" w:rsidP="009D0DEC">
      <w:pPr>
        <w:pStyle w:val="Relatrio"/>
        <w:spacing w:before="0"/>
        <w:rPr>
          <w:i/>
        </w:rPr>
      </w:pPr>
      <w:r w:rsidRPr="00FC2C70">
        <w:rPr>
          <w:i/>
        </w:rPr>
        <w:t>Nos termos do Edital da Licitação, as licitantes vencedoras da sessão pública de apresentação de ofertas foram submetidas à qualificação, realizada pela Superintendência de Promoção de Licitações da ANP e julgada pela Comissão Especial de Licitação (CEL). A qualificação compreendeu a análise de documentação para comprovação da regularidade jurídica, fiscal e trabalhista, capacidade econômico-financeira e capacidade técnica das licitantes.</w:t>
      </w:r>
    </w:p>
    <w:p w14:paraId="606DF56A" w14:textId="77777777" w:rsidR="009D0DEC" w:rsidRPr="00FC2C70" w:rsidRDefault="009D0DEC" w:rsidP="009D0DEC">
      <w:pPr>
        <w:pStyle w:val="Relatrio"/>
        <w:spacing w:before="0"/>
        <w:rPr>
          <w:i/>
        </w:rPr>
      </w:pPr>
      <w:r w:rsidRPr="00FC2C70">
        <w:rPr>
          <w:i/>
        </w:rPr>
        <w:t>Salienta-se que a presente rodada de leilões é orientada pela Resolução ANP 18/2015, sendo relevante destacar a inovação trazida por esse regulamento no que se refere à inversão das fases de qualificação e julgamento das ofertas, que consiste na realização da qualificação apenas das licitantes vencedoras posteriormente à sessão pública de apresentação de ofertas.</w:t>
      </w:r>
    </w:p>
    <w:p w14:paraId="756CDE9D" w14:textId="77777777" w:rsidR="009D0DEC" w:rsidRPr="00FC2C70" w:rsidRDefault="009D0DEC" w:rsidP="009D0DEC">
      <w:pPr>
        <w:pStyle w:val="Relatrio"/>
        <w:spacing w:before="0"/>
        <w:rPr>
          <w:i/>
        </w:rPr>
      </w:pPr>
      <w:r w:rsidRPr="00FC2C70">
        <w:rPr>
          <w:i/>
        </w:rPr>
        <w:t>As análises dos documentos de qualificação das empresas interessadas para participação da Quarta Rodada de Áreas com Acumulações marginais foram procedidas pela Comissão Especial de Licitação (CEL), tendo sido consignadas as respectivas habilitações nos relatórios constantes das atas de reuniões da CEL (5ª e 6ª reuniões), cujas cópias foram encaminhadas pela ANP a este Tribunal, em cumprimento da IN TCU 27/1998, Art. 7°, inciso III, alínea ‘b’ (Peça 30, p. 6-9).</w:t>
      </w:r>
    </w:p>
    <w:p w14:paraId="6CA51795" w14:textId="77777777" w:rsidR="009D0DEC" w:rsidRPr="00FC2C70" w:rsidRDefault="009D0DEC" w:rsidP="009D0DEC">
      <w:pPr>
        <w:pStyle w:val="Relatrio"/>
        <w:spacing w:before="0"/>
        <w:rPr>
          <w:i/>
        </w:rPr>
      </w:pPr>
      <w:r w:rsidRPr="00FC2C70">
        <w:rPr>
          <w:i/>
        </w:rPr>
        <w:t>Em atenção ao Art. 7°, inciso III, alínea ‘c’, da IN TCU 27/1998, a ANP também informou acerca das manifestações e dos recursos interpostos pelas empresas licitantes, analisados e julgados conforme a ata da 7ª Reunião da CEL (peça 30, p. 10-11).</w:t>
      </w:r>
    </w:p>
    <w:p w14:paraId="1486945C" w14:textId="77777777" w:rsidR="009D0DEC" w:rsidRPr="00FC2C70" w:rsidRDefault="009D0DEC" w:rsidP="009D0DEC">
      <w:pPr>
        <w:pStyle w:val="Relatrio"/>
        <w:spacing w:before="0"/>
        <w:rPr>
          <w:i/>
        </w:rPr>
      </w:pPr>
      <w:r w:rsidRPr="00FC2C70">
        <w:rPr>
          <w:i/>
        </w:rPr>
        <w:t xml:space="preserve">Desse modo, foram apresentados a este Tribunal todos os procedimentos de habilitação e análise de recursos para participação dos licitantes na Quarta Rodada de Áreas com Acumulações Marginais. Ao todo, foram habilitadas seis empresas, quais sejam: as licitantes que apresentaram as melhores ofertas para os blocos para os quais se sagraram vencedoras. </w:t>
      </w:r>
    </w:p>
    <w:p w14:paraId="09F65030" w14:textId="77777777" w:rsidR="009D0DEC" w:rsidRPr="009D0DEC" w:rsidRDefault="009D0DEC" w:rsidP="009D0DEC">
      <w:pPr>
        <w:pStyle w:val="Relatrio"/>
        <w:spacing w:before="0"/>
        <w:rPr>
          <w:i/>
        </w:rPr>
      </w:pPr>
      <w:r w:rsidRPr="00FC2C70">
        <w:rPr>
          <w:i/>
        </w:rPr>
        <w:t>Sobre o assunto, ressalta-se que o item 7 do Edital Quarta Rodada de</w:t>
      </w:r>
      <w:r w:rsidRPr="009D0DEC">
        <w:rPr>
          <w:i/>
        </w:rPr>
        <w:t xml:space="preserve"> Áreas com Acumulações Marginais (peça 23, p. 42) também traz os critérios sobre a classificação das licitantes como operadoras, como demonstra o excerto abaixo:  </w:t>
      </w:r>
    </w:p>
    <w:p w14:paraId="496EEED8" w14:textId="77777777" w:rsidR="009D0DEC" w:rsidRPr="009D0DEC" w:rsidRDefault="009D0DEC" w:rsidP="009D0DEC">
      <w:pPr>
        <w:pStyle w:val="transcrio"/>
        <w:spacing w:before="0"/>
        <w:rPr>
          <w:i/>
        </w:rPr>
      </w:pPr>
      <w:r w:rsidRPr="009D0DEC">
        <w:rPr>
          <w:i/>
        </w:rPr>
        <w:t xml:space="preserve">A ANP analisará apenas a documentação das licitantes vencedoras da sessão pública de apresentação de ofertas. </w:t>
      </w:r>
    </w:p>
    <w:p w14:paraId="3FCDB128" w14:textId="77777777" w:rsidR="009D0DEC" w:rsidRPr="009D0DEC" w:rsidRDefault="009D0DEC" w:rsidP="009D0DEC">
      <w:pPr>
        <w:pStyle w:val="transcrio"/>
        <w:spacing w:before="0"/>
        <w:rPr>
          <w:i/>
        </w:rPr>
      </w:pPr>
      <w:r w:rsidRPr="009D0DEC">
        <w:rPr>
          <w:i/>
        </w:rPr>
        <w:t xml:space="preserve">As licitantes serão qualificadas como operadoras ou como não-operadoras, conforme os critérios estabelecidos nesta seção, e serão classificadas nos seguintes níveis: </w:t>
      </w:r>
    </w:p>
    <w:p w14:paraId="51121975" w14:textId="77777777" w:rsidR="009D0DEC" w:rsidRPr="009D0DEC" w:rsidRDefault="009D0DEC" w:rsidP="009D0DEC">
      <w:pPr>
        <w:pStyle w:val="transcrio"/>
        <w:spacing w:before="0"/>
        <w:rPr>
          <w:i/>
        </w:rPr>
      </w:pPr>
      <w:r w:rsidRPr="009D0DEC">
        <w:rPr>
          <w:i/>
        </w:rPr>
        <w:t xml:space="preserve">a) operadora A – qualificada para operar em blocos situados em águas ultraprofundas, águas profundas, águas rasas, em terra e em áreas com acumulações marginais; </w:t>
      </w:r>
    </w:p>
    <w:p w14:paraId="3E6773BF" w14:textId="77777777" w:rsidR="009D0DEC" w:rsidRPr="009D0DEC" w:rsidRDefault="009D0DEC" w:rsidP="009D0DEC">
      <w:pPr>
        <w:pStyle w:val="transcrio"/>
        <w:spacing w:before="0"/>
        <w:rPr>
          <w:i/>
        </w:rPr>
      </w:pPr>
      <w:r w:rsidRPr="009D0DEC">
        <w:rPr>
          <w:i/>
        </w:rPr>
        <w:t xml:space="preserve">b) operadora B – qualificada para operar em blocos situados em águas rasas, em terra e em áreas com acumulações marginais; </w:t>
      </w:r>
    </w:p>
    <w:p w14:paraId="21D042DA" w14:textId="77777777" w:rsidR="009D0DEC" w:rsidRPr="009D0DEC" w:rsidRDefault="009D0DEC" w:rsidP="009D0DEC">
      <w:pPr>
        <w:pStyle w:val="transcrio"/>
        <w:spacing w:before="0"/>
        <w:rPr>
          <w:i/>
        </w:rPr>
      </w:pPr>
      <w:r w:rsidRPr="009D0DEC">
        <w:rPr>
          <w:i/>
        </w:rPr>
        <w:t xml:space="preserve">c) operadora C – qualificada para operar somente em blocos situados em terra e em áreas com acumulações marginais; </w:t>
      </w:r>
    </w:p>
    <w:p w14:paraId="4DA15E37" w14:textId="77777777" w:rsidR="009D0DEC" w:rsidRPr="009D0DEC" w:rsidRDefault="009D0DEC" w:rsidP="009D0DEC">
      <w:pPr>
        <w:pStyle w:val="transcrio"/>
        <w:spacing w:before="0"/>
        <w:rPr>
          <w:i/>
        </w:rPr>
      </w:pPr>
      <w:r w:rsidRPr="009D0DEC">
        <w:rPr>
          <w:i/>
        </w:rPr>
        <w:t xml:space="preserve">d) operadora D – qualificada para operar somente em áreas com acumulações marginais; </w:t>
      </w:r>
    </w:p>
    <w:p w14:paraId="42A84696" w14:textId="77777777" w:rsidR="009D0DEC" w:rsidRPr="009D0DEC" w:rsidRDefault="009D0DEC" w:rsidP="009D0DEC">
      <w:pPr>
        <w:pStyle w:val="transcrio"/>
        <w:spacing w:before="0"/>
        <w:rPr>
          <w:i/>
        </w:rPr>
      </w:pPr>
      <w:r w:rsidRPr="009D0DEC">
        <w:rPr>
          <w:i/>
        </w:rPr>
        <w:t xml:space="preserve">e) não operadora – qualificada para atuar em consórcio, observado o disposto na seção 7.2.3. </w:t>
      </w:r>
    </w:p>
    <w:p w14:paraId="4CA8C3D4" w14:textId="77777777" w:rsidR="009D0DEC" w:rsidRPr="009D0DEC" w:rsidRDefault="009D0DEC" w:rsidP="009D0DEC">
      <w:pPr>
        <w:pStyle w:val="Relatrio"/>
        <w:spacing w:before="0"/>
        <w:rPr>
          <w:i/>
        </w:rPr>
      </w:pPr>
      <w:r w:rsidRPr="009D0DEC">
        <w:rPr>
          <w:i/>
        </w:rPr>
        <w:t xml:space="preserve">Nesse sentido, abaixo estão as conclusões da CEL quanto à habilitação:  </w:t>
      </w:r>
    </w:p>
    <w:p w14:paraId="016D85F8" w14:textId="77777777" w:rsidR="009D0DEC" w:rsidRPr="009D0DEC" w:rsidRDefault="009D0DEC" w:rsidP="009D0DEC">
      <w:pPr>
        <w:pStyle w:val="Relatrio"/>
        <w:numPr>
          <w:ilvl w:val="0"/>
          <w:numId w:val="0"/>
        </w:numPr>
        <w:spacing w:before="0"/>
        <w:ind w:left="1134"/>
        <w:rPr>
          <w:i/>
        </w:rPr>
      </w:pPr>
      <w:r w:rsidRPr="009D0DEC">
        <w:rPr>
          <w:i/>
        </w:rPr>
        <w:t>- Dimensional Engenharia Ltda.: aprovada a qualificação como Operadora B;</w:t>
      </w:r>
    </w:p>
    <w:p w14:paraId="61B9286C" w14:textId="77777777" w:rsidR="009D0DEC" w:rsidRPr="009D0DEC" w:rsidRDefault="009D0DEC" w:rsidP="009D0DEC">
      <w:pPr>
        <w:pStyle w:val="Relatrio"/>
        <w:numPr>
          <w:ilvl w:val="0"/>
          <w:numId w:val="0"/>
        </w:numPr>
        <w:spacing w:before="0"/>
        <w:ind w:left="1134"/>
        <w:rPr>
          <w:i/>
        </w:rPr>
      </w:pPr>
      <w:r w:rsidRPr="009D0DEC">
        <w:rPr>
          <w:i/>
        </w:rPr>
        <w:lastRenderedPageBreak/>
        <w:t>- lmetame Energia Ltda.: aprovar a qualificação como Operadora C;</w:t>
      </w:r>
    </w:p>
    <w:p w14:paraId="1750B352" w14:textId="77777777" w:rsidR="009D0DEC" w:rsidRPr="009D0DEC" w:rsidRDefault="009D0DEC" w:rsidP="009D0DEC">
      <w:pPr>
        <w:pStyle w:val="Relatrio"/>
        <w:numPr>
          <w:ilvl w:val="0"/>
          <w:numId w:val="0"/>
        </w:numPr>
        <w:spacing w:before="0"/>
        <w:ind w:left="1134"/>
        <w:rPr>
          <w:i/>
        </w:rPr>
      </w:pPr>
      <w:r w:rsidRPr="009D0DEC">
        <w:rPr>
          <w:i/>
        </w:rPr>
        <w:t>- Muncks &amp; Reboques Brasil Ltda.: aprovada a qualificação como Operadora D;</w:t>
      </w:r>
    </w:p>
    <w:p w14:paraId="0DFC07F1" w14:textId="77777777" w:rsidR="009D0DEC" w:rsidRPr="009D0DEC" w:rsidRDefault="009D0DEC" w:rsidP="009D0DEC">
      <w:pPr>
        <w:pStyle w:val="Relatrio"/>
        <w:numPr>
          <w:ilvl w:val="0"/>
          <w:numId w:val="0"/>
        </w:numPr>
        <w:spacing w:before="0"/>
        <w:ind w:left="1134"/>
        <w:rPr>
          <w:i/>
        </w:rPr>
      </w:pPr>
      <w:r w:rsidRPr="009D0DEC">
        <w:rPr>
          <w:i/>
        </w:rPr>
        <w:t>- Newo Óleo e Gás Ltda – ME: aprovada a qualificação como Operadora D;</w:t>
      </w:r>
    </w:p>
    <w:p w14:paraId="18C9500A" w14:textId="77777777" w:rsidR="009D0DEC" w:rsidRPr="009D0DEC" w:rsidRDefault="009D0DEC" w:rsidP="009D0DEC">
      <w:pPr>
        <w:pStyle w:val="Relatrio"/>
        <w:numPr>
          <w:ilvl w:val="0"/>
          <w:numId w:val="0"/>
        </w:numPr>
        <w:spacing w:before="0"/>
        <w:ind w:left="1134"/>
        <w:rPr>
          <w:i/>
        </w:rPr>
      </w:pPr>
      <w:r w:rsidRPr="009D0DEC">
        <w:rPr>
          <w:i/>
        </w:rPr>
        <w:t>- Petrol Serviços de Sondagem Ltda. – EPP: aprovada qualificação como Operadora D;</w:t>
      </w:r>
    </w:p>
    <w:p w14:paraId="7E105EE7" w14:textId="77777777" w:rsidR="009D0DEC" w:rsidRPr="009D0DEC" w:rsidRDefault="009D0DEC" w:rsidP="009D0DEC">
      <w:pPr>
        <w:pStyle w:val="Relatrio"/>
        <w:numPr>
          <w:ilvl w:val="0"/>
          <w:numId w:val="0"/>
        </w:numPr>
        <w:spacing w:before="0"/>
        <w:ind w:left="1134"/>
        <w:rPr>
          <w:i/>
        </w:rPr>
      </w:pPr>
      <w:r w:rsidRPr="009D0DEC">
        <w:rPr>
          <w:i/>
        </w:rPr>
        <w:t>- Ubuntu Engenharia e Serviços Ltda. - ME, aprovada qualificação como Operadora D.</w:t>
      </w:r>
    </w:p>
    <w:p w14:paraId="5515CADD" w14:textId="77777777" w:rsidR="009D0DEC" w:rsidRPr="009D0DEC" w:rsidRDefault="009D0DEC" w:rsidP="009D0DEC">
      <w:pPr>
        <w:pStyle w:val="Ttulo3"/>
        <w:keepLines w:val="0"/>
        <w:numPr>
          <w:ilvl w:val="2"/>
          <w:numId w:val="0"/>
        </w:numPr>
        <w:suppressAutoHyphens/>
        <w:spacing w:before="0"/>
        <w:ind w:left="720" w:hanging="720"/>
        <w:rPr>
          <w:rFonts w:ascii="Times New Roman" w:hAnsi="Times New Roman"/>
          <w:i/>
          <w:color w:val="auto"/>
        </w:rPr>
      </w:pPr>
      <w:r w:rsidRPr="00FC2C70">
        <w:rPr>
          <w:rFonts w:ascii="Times New Roman" w:hAnsi="Times New Roman"/>
          <w:i/>
          <w:color w:val="auto"/>
        </w:rPr>
        <w:t>Julgamento das Ofertas</w:t>
      </w:r>
    </w:p>
    <w:p w14:paraId="40145F5F" w14:textId="77777777" w:rsidR="009D0DEC" w:rsidRPr="009D0DEC" w:rsidRDefault="009D0DEC" w:rsidP="009D0DEC">
      <w:pPr>
        <w:pStyle w:val="Relatrio"/>
        <w:spacing w:before="0"/>
        <w:rPr>
          <w:i/>
        </w:rPr>
      </w:pPr>
      <w:r w:rsidRPr="009D0DEC">
        <w:rPr>
          <w:i/>
        </w:rPr>
        <w:t>Dando-se seguimento ao exame técnico, quanto ao cumprimento às disposições do art. 7° da IN-TCU 27/1998, a documentação referida pelas alíneas ‘d’ e ‘e’ do inciso III, relativa ao julgamento da licitação, foi encaminhada ao TCU pela ANP, conforme as peças 30 e 31, que contêm cópias do Relatório de Julgamento e da publicação do resultado homologado pela Agência.</w:t>
      </w:r>
    </w:p>
    <w:p w14:paraId="689B863E" w14:textId="77777777" w:rsidR="009D0DEC" w:rsidRPr="002C7FDD" w:rsidRDefault="009D0DEC" w:rsidP="009D0DEC">
      <w:pPr>
        <w:pStyle w:val="Relatrio"/>
        <w:spacing w:before="0"/>
        <w:rPr>
          <w:i/>
        </w:rPr>
      </w:pPr>
      <w:r w:rsidRPr="002C7FDD">
        <w:rPr>
          <w:i/>
        </w:rPr>
        <w:t>Repise-se que a presente rodada de Licitações de Áreas com Acumulações Marginais teve por objeto a outorga de contratos de concessão para exercício das atividades de exploração e produção de petróleo e gás natural para as áreas de Garça Branca, Rio Mariricu, Iraúna, Noroeste do Morro Rosado, Urutau, Araçás Leste, Itaparica, Jacumirim e Vale do Quiricó. Tais áreas estão localizadas em terrestre (</w:t>
      </w:r>
      <w:r w:rsidRPr="002C7FDD">
        <w:rPr>
          <w:b/>
          <w:i/>
        </w:rPr>
        <w:t>onshore</w:t>
      </w:r>
      <w:r w:rsidRPr="002C7FDD">
        <w:rPr>
          <w:i/>
        </w:rPr>
        <w:t>) e encontram-se distribuídas em três bacias sedimentares: Potiguar, Recôncavo e Espírito Santo.</w:t>
      </w:r>
    </w:p>
    <w:p w14:paraId="3179E459" w14:textId="77777777" w:rsidR="009D0DEC" w:rsidRPr="009D0DEC" w:rsidRDefault="009D0DEC" w:rsidP="009D0DEC">
      <w:pPr>
        <w:pStyle w:val="Relatrio"/>
        <w:spacing w:before="0"/>
        <w:rPr>
          <w:i/>
        </w:rPr>
      </w:pPr>
      <w:r w:rsidRPr="002C7FDD">
        <w:rPr>
          <w:i/>
        </w:rPr>
        <w:t>O único critério utilizado para apuração das ofertas foi o valor do bônus de assinatura. As</w:t>
      </w:r>
      <w:r w:rsidRPr="009D0DEC">
        <w:rPr>
          <w:i/>
        </w:rPr>
        <w:t xml:space="preserve"> atividades do Programa de Trabalho Inicial (PTI), que refletem o compromisso exploratório assumido pelos concessionários para desenvolvimento inicial da exploração, com seus respectivos valores de garantia financeira foram previamente definidos no edital de licitações e no contrato de concessão. Vale dizer que o conteúdo local não foi objeto de exigência contratual.</w:t>
      </w:r>
    </w:p>
    <w:p w14:paraId="2C39EC6C" w14:textId="77777777" w:rsidR="009D0DEC" w:rsidRPr="009D0DEC" w:rsidRDefault="009D0DEC" w:rsidP="009D0DEC">
      <w:pPr>
        <w:pStyle w:val="Relatrio"/>
        <w:spacing w:before="0"/>
        <w:rPr>
          <w:i/>
        </w:rPr>
      </w:pPr>
      <w:r w:rsidRPr="009D0DEC">
        <w:rPr>
          <w:i/>
        </w:rPr>
        <w:t xml:space="preserve">Isso se deve pela especificidade da licitação dessas áreas e pela experiência adquirida pela Agência nas três rodadas executadas anteriormente nessa modalidade. De acordo com a ANP e mesmo por associações que se manifestaram em Consulta Pública realizada na terceira rodada, exigência de CL nesse tipo de certame e para esse tipo de área é desnecessária, imaterial e onerosa. </w:t>
      </w:r>
    </w:p>
    <w:p w14:paraId="452FA6A7" w14:textId="77777777" w:rsidR="009D0DEC" w:rsidRPr="009D0DEC" w:rsidRDefault="009D0DEC" w:rsidP="009D0DEC">
      <w:pPr>
        <w:pStyle w:val="Relatrio"/>
        <w:spacing w:before="0"/>
        <w:rPr>
          <w:i/>
        </w:rPr>
      </w:pPr>
      <w:r w:rsidRPr="009D0DEC">
        <w:rPr>
          <w:i/>
        </w:rPr>
        <w:t xml:space="preserve">Dessa forma, considerou-se o perfil das empresas atuantes nas áreas de acumulações marginais (nacionais e de pequeno e médio porte), bem como o montante de investimentos requeridos para a operação nessas áreas de economicidade marginal, inferiores aqueles de outras áreas </w:t>
      </w:r>
      <w:r w:rsidRPr="009D0DEC">
        <w:rPr>
          <w:b/>
          <w:i/>
        </w:rPr>
        <w:t xml:space="preserve">onshore </w:t>
      </w:r>
      <w:r w:rsidRPr="009D0DEC">
        <w:rPr>
          <w:i/>
        </w:rPr>
        <w:t>e decidiu-se pela não exigência de conteúdo local para esse certame, indo ao encontro inclusive do Art. 2° da Resolução CNPE 07/2017, que determinou os novos índices de CL para os atuais processos de concessão de blocos exploratórios nacionais.</w:t>
      </w:r>
    </w:p>
    <w:p w14:paraId="50193014" w14:textId="77777777" w:rsidR="009D0DEC" w:rsidRPr="002C7FDD" w:rsidRDefault="009D0DEC" w:rsidP="009D0DEC">
      <w:pPr>
        <w:pStyle w:val="Relatrio"/>
        <w:spacing w:before="0"/>
        <w:rPr>
          <w:i/>
        </w:rPr>
      </w:pPr>
      <w:r w:rsidRPr="002C7FDD">
        <w:rPr>
          <w:i/>
        </w:rPr>
        <w:t>Das nove áreas com acumulações marginais licitadas, oito foram arrematadas (apenas a área ‘Noroeste do Morro Rosado’ não foi arrematada). A área total arrematada foi de 92,89 km² e o bônus de assinatura ofertado foi de R$ 7.977.983,46. O que representou um ágio médio de 1.991,52%, o maior já registrado em leilões de áreas com acumulações maduras. O PTI mínimo das áreas arrematadas totaliza investimentos da ordem de R$ 9.100.000,00.</w:t>
      </w:r>
    </w:p>
    <w:p w14:paraId="7156602E" w14:textId="77777777" w:rsidR="009D0DEC" w:rsidRPr="009D0DEC" w:rsidRDefault="009D0DEC" w:rsidP="009D0DEC">
      <w:pPr>
        <w:pStyle w:val="Relatrio"/>
        <w:spacing w:before="0"/>
        <w:rPr>
          <w:i/>
        </w:rPr>
      </w:pPr>
      <w:r w:rsidRPr="009D0DEC">
        <w:rPr>
          <w:i/>
        </w:rPr>
        <w:t xml:space="preserve">A tabela a seguir demonstra os números de ofertas e de arrematações de áreas de cada empresa participante do certame: </w:t>
      </w:r>
    </w:p>
    <w:p w14:paraId="19B4BAA7" w14:textId="77777777" w:rsidR="009D0DEC" w:rsidRPr="009D0DEC" w:rsidRDefault="009D0DEC" w:rsidP="009D0DEC">
      <w:pPr>
        <w:pStyle w:val="Legenda"/>
        <w:keepNext/>
        <w:spacing w:before="0"/>
        <w:rPr>
          <w:i/>
        </w:rPr>
      </w:pPr>
      <w:r w:rsidRPr="009D0DEC">
        <w:rPr>
          <w:i/>
        </w:rPr>
        <w:t xml:space="preserve">Tabela 1 – Relação da Licitantes que apresentaram ofertas e tiveram áreas arrematadas </w:t>
      </w:r>
    </w:p>
    <w:tbl>
      <w:tblPr>
        <w:tblStyle w:val="Tabelacomgrade"/>
        <w:tblW w:w="9639" w:type="dxa"/>
        <w:tblInd w:w="108" w:type="dxa"/>
        <w:tblLayout w:type="fixed"/>
        <w:tblLook w:val="04A0" w:firstRow="1" w:lastRow="0" w:firstColumn="1" w:lastColumn="0" w:noHBand="0" w:noVBand="1"/>
      </w:tblPr>
      <w:tblGrid>
        <w:gridCol w:w="3828"/>
        <w:gridCol w:w="1559"/>
        <w:gridCol w:w="1134"/>
        <w:gridCol w:w="1559"/>
        <w:gridCol w:w="1559"/>
      </w:tblGrid>
      <w:tr w:rsidR="009D0DEC" w:rsidRPr="009D0DEC" w14:paraId="75055D82" w14:textId="77777777">
        <w:tc>
          <w:tcPr>
            <w:tcW w:w="3828" w:type="dxa"/>
            <w:tcMar>
              <w:top w:w="0" w:type="dxa"/>
              <w:left w:w="108" w:type="dxa"/>
              <w:bottom w:w="0" w:type="dxa"/>
              <w:right w:w="108" w:type="dxa"/>
            </w:tcMar>
            <w:vAlign w:val="center"/>
          </w:tcPr>
          <w:p w14:paraId="4569488C" w14:textId="77777777" w:rsidR="009D0DEC" w:rsidRPr="009D0DEC" w:rsidRDefault="009D0DEC" w:rsidP="009D0DEC">
            <w:pPr>
              <w:widowControl/>
              <w:jc w:val="center"/>
              <w:rPr>
                <w:b/>
                <w:i/>
                <w:sz w:val="22"/>
                <w:szCs w:val="22"/>
                <w:lang w:eastAsia="pt-BR"/>
              </w:rPr>
            </w:pPr>
            <w:r w:rsidRPr="009D0DEC">
              <w:rPr>
                <w:b/>
                <w:i/>
                <w:sz w:val="22"/>
                <w:szCs w:val="22"/>
                <w:lang w:eastAsia="pt-BR"/>
              </w:rPr>
              <w:t>Razão Social</w:t>
            </w:r>
          </w:p>
        </w:tc>
        <w:tc>
          <w:tcPr>
            <w:tcW w:w="1559" w:type="dxa"/>
            <w:tcMar>
              <w:top w:w="0" w:type="dxa"/>
              <w:left w:w="108" w:type="dxa"/>
              <w:bottom w:w="0" w:type="dxa"/>
              <w:right w:w="108" w:type="dxa"/>
            </w:tcMar>
            <w:vAlign w:val="center"/>
          </w:tcPr>
          <w:p w14:paraId="7310FF51" w14:textId="77777777" w:rsidR="009D0DEC" w:rsidRPr="009D0DEC" w:rsidRDefault="009D0DEC" w:rsidP="009D0DEC">
            <w:pPr>
              <w:widowControl/>
              <w:jc w:val="center"/>
              <w:rPr>
                <w:b/>
                <w:i/>
                <w:sz w:val="22"/>
                <w:szCs w:val="22"/>
                <w:lang w:eastAsia="pt-BR"/>
              </w:rPr>
            </w:pPr>
            <w:r w:rsidRPr="009D0DEC">
              <w:rPr>
                <w:b/>
                <w:i/>
                <w:sz w:val="22"/>
                <w:szCs w:val="22"/>
                <w:lang w:eastAsia="pt-BR"/>
              </w:rPr>
              <w:t>Grupo</w:t>
            </w:r>
          </w:p>
        </w:tc>
        <w:tc>
          <w:tcPr>
            <w:tcW w:w="1134" w:type="dxa"/>
            <w:tcMar>
              <w:top w:w="0" w:type="dxa"/>
              <w:left w:w="108" w:type="dxa"/>
              <w:bottom w:w="0" w:type="dxa"/>
              <w:right w:w="108" w:type="dxa"/>
            </w:tcMar>
            <w:vAlign w:val="center"/>
          </w:tcPr>
          <w:p w14:paraId="6E1FCC2C" w14:textId="77777777" w:rsidR="009D0DEC" w:rsidRPr="009D0DEC" w:rsidRDefault="009D0DEC" w:rsidP="009D0DEC">
            <w:pPr>
              <w:widowControl/>
              <w:jc w:val="center"/>
              <w:rPr>
                <w:b/>
                <w:i/>
                <w:sz w:val="22"/>
                <w:szCs w:val="22"/>
                <w:lang w:eastAsia="pt-BR"/>
              </w:rPr>
            </w:pPr>
            <w:r w:rsidRPr="009D0DEC">
              <w:rPr>
                <w:b/>
                <w:i/>
                <w:sz w:val="22"/>
                <w:szCs w:val="22"/>
                <w:lang w:eastAsia="pt-BR"/>
              </w:rPr>
              <w:t>Origem do Grupo</w:t>
            </w:r>
          </w:p>
        </w:tc>
        <w:tc>
          <w:tcPr>
            <w:tcW w:w="1559" w:type="dxa"/>
            <w:tcMar>
              <w:top w:w="0" w:type="dxa"/>
              <w:left w:w="108" w:type="dxa"/>
              <w:bottom w:w="0" w:type="dxa"/>
              <w:right w:w="108" w:type="dxa"/>
            </w:tcMar>
            <w:vAlign w:val="center"/>
          </w:tcPr>
          <w:p w14:paraId="54E896AA" w14:textId="77777777" w:rsidR="009D0DEC" w:rsidRPr="009D0DEC" w:rsidRDefault="009D0DEC" w:rsidP="009D0DEC">
            <w:pPr>
              <w:widowControl/>
              <w:jc w:val="center"/>
              <w:rPr>
                <w:b/>
                <w:i/>
                <w:sz w:val="22"/>
                <w:szCs w:val="22"/>
                <w:lang w:eastAsia="pt-BR"/>
              </w:rPr>
            </w:pPr>
            <w:r w:rsidRPr="009D0DEC">
              <w:rPr>
                <w:b/>
                <w:i/>
                <w:sz w:val="22"/>
                <w:szCs w:val="22"/>
                <w:lang w:eastAsia="pt-BR"/>
              </w:rPr>
              <w:t>Ofertas Apresentadas</w:t>
            </w:r>
          </w:p>
        </w:tc>
        <w:tc>
          <w:tcPr>
            <w:tcW w:w="1559" w:type="dxa"/>
            <w:tcMar>
              <w:top w:w="0" w:type="dxa"/>
              <w:left w:w="108" w:type="dxa"/>
              <w:bottom w:w="0" w:type="dxa"/>
              <w:right w:w="108" w:type="dxa"/>
            </w:tcMar>
            <w:vAlign w:val="center"/>
          </w:tcPr>
          <w:p w14:paraId="79E8DA23" w14:textId="77777777" w:rsidR="009D0DEC" w:rsidRPr="009D0DEC" w:rsidRDefault="009D0DEC" w:rsidP="009D0DEC">
            <w:pPr>
              <w:widowControl/>
              <w:jc w:val="center"/>
              <w:rPr>
                <w:b/>
                <w:i/>
                <w:sz w:val="22"/>
                <w:szCs w:val="22"/>
                <w:lang w:eastAsia="pt-BR"/>
              </w:rPr>
            </w:pPr>
            <w:r w:rsidRPr="009D0DEC">
              <w:rPr>
                <w:b/>
                <w:i/>
                <w:sz w:val="22"/>
                <w:szCs w:val="22"/>
                <w:lang w:eastAsia="pt-BR"/>
              </w:rPr>
              <w:t>Áreas Arrematadas</w:t>
            </w:r>
          </w:p>
        </w:tc>
      </w:tr>
      <w:tr w:rsidR="009D0DEC" w:rsidRPr="009D0DEC" w14:paraId="758CAAB4" w14:textId="77777777">
        <w:tc>
          <w:tcPr>
            <w:tcW w:w="3828" w:type="dxa"/>
            <w:tcMar>
              <w:top w:w="0" w:type="dxa"/>
              <w:left w:w="108" w:type="dxa"/>
              <w:bottom w:w="0" w:type="dxa"/>
              <w:right w:w="108" w:type="dxa"/>
            </w:tcMar>
            <w:vAlign w:val="center"/>
          </w:tcPr>
          <w:p w14:paraId="69E13A89" w14:textId="77777777" w:rsidR="009D0DEC" w:rsidRPr="009D0DEC" w:rsidRDefault="009D0DEC" w:rsidP="009D0DEC">
            <w:pPr>
              <w:widowControl/>
              <w:rPr>
                <w:i/>
                <w:sz w:val="22"/>
                <w:szCs w:val="22"/>
                <w:lang w:eastAsia="pt-BR"/>
              </w:rPr>
            </w:pPr>
            <w:r w:rsidRPr="009D0DEC">
              <w:rPr>
                <w:i/>
                <w:sz w:val="22"/>
                <w:szCs w:val="22"/>
                <w:lang w:eastAsia="pt-BR"/>
              </w:rPr>
              <w:t>Dimensional Engenharia Ltda.</w:t>
            </w:r>
          </w:p>
        </w:tc>
        <w:tc>
          <w:tcPr>
            <w:tcW w:w="1559" w:type="dxa"/>
            <w:tcMar>
              <w:top w:w="0" w:type="dxa"/>
              <w:left w:w="108" w:type="dxa"/>
              <w:bottom w:w="0" w:type="dxa"/>
              <w:right w:w="108" w:type="dxa"/>
            </w:tcMar>
            <w:vAlign w:val="center"/>
          </w:tcPr>
          <w:p w14:paraId="008F92C8" w14:textId="77777777" w:rsidR="009D0DEC" w:rsidRPr="009D0DEC" w:rsidRDefault="009D0DEC" w:rsidP="009D0DEC">
            <w:pPr>
              <w:widowControl/>
              <w:rPr>
                <w:i/>
                <w:sz w:val="22"/>
                <w:szCs w:val="22"/>
                <w:lang w:eastAsia="pt-BR"/>
              </w:rPr>
            </w:pPr>
            <w:r w:rsidRPr="009D0DEC">
              <w:rPr>
                <w:i/>
                <w:sz w:val="22"/>
                <w:szCs w:val="22"/>
                <w:lang w:eastAsia="pt-BR"/>
              </w:rPr>
              <w:t>Dimensional</w:t>
            </w:r>
          </w:p>
        </w:tc>
        <w:tc>
          <w:tcPr>
            <w:tcW w:w="1134" w:type="dxa"/>
            <w:tcMar>
              <w:top w:w="0" w:type="dxa"/>
              <w:left w:w="108" w:type="dxa"/>
              <w:bottom w:w="0" w:type="dxa"/>
              <w:right w:w="108" w:type="dxa"/>
            </w:tcMar>
            <w:vAlign w:val="center"/>
          </w:tcPr>
          <w:p w14:paraId="1EFEC38C" w14:textId="77777777" w:rsidR="009D0DEC" w:rsidRPr="009D0DEC" w:rsidRDefault="009D0DEC" w:rsidP="009D0DEC">
            <w:pPr>
              <w:widowControl/>
              <w:jc w:val="center"/>
              <w:rPr>
                <w:i/>
                <w:sz w:val="22"/>
                <w:szCs w:val="22"/>
                <w:lang w:eastAsia="pt-BR"/>
              </w:rPr>
            </w:pPr>
            <w:r w:rsidRPr="009D0DEC">
              <w:rPr>
                <w:i/>
                <w:sz w:val="22"/>
                <w:szCs w:val="22"/>
                <w:lang w:eastAsia="pt-BR"/>
              </w:rPr>
              <w:t>Brasil</w:t>
            </w:r>
          </w:p>
        </w:tc>
        <w:tc>
          <w:tcPr>
            <w:tcW w:w="1559" w:type="dxa"/>
            <w:tcMar>
              <w:top w:w="0" w:type="dxa"/>
              <w:left w:w="108" w:type="dxa"/>
              <w:bottom w:w="0" w:type="dxa"/>
              <w:right w:w="108" w:type="dxa"/>
            </w:tcMar>
            <w:vAlign w:val="center"/>
          </w:tcPr>
          <w:p w14:paraId="2EA090E0" w14:textId="77777777" w:rsidR="009D0DEC" w:rsidRPr="009D0DEC" w:rsidRDefault="009D0DEC" w:rsidP="009D0DEC">
            <w:pPr>
              <w:widowControl/>
              <w:jc w:val="center"/>
              <w:rPr>
                <w:i/>
                <w:sz w:val="22"/>
                <w:szCs w:val="22"/>
                <w:lang w:eastAsia="pt-BR"/>
              </w:rPr>
            </w:pPr>
            <w:r w:rsidRPr="009D0DEC">
              <w:rPr>
                <w:i/>
                <w:sz w:val="22"/>
                <w:szCs w:val="22"/>
                <w:lang w:eastAsia="pt-BR"/>
              </w:rPr>
              <w:t>2</w:t>
            </w:r>
          </w:p>
        </w:tc>
        <w:tc>
          <w:tcPr>
            <w:tcW w:w="1559" w:type="dxa"/>
            <w:tcMar>
              <w:top w:w="0" w:type="dxa"/>
              <w:left w:w="108" w:type="dxa"/>
              <w:bottom w:w="0" w:type="dxa"/>
              <w:right w:w="108" w:type="dxa"/>
            </w:tcMar>
            <w:vAlign w:val="center"/>
          </w:tcPr>
          <w:p w14:paraId="60E2BD7F" w14:textId="77777777" w:rsidR="009D0DEC" w:rsidRPr="009D0DEC" w:rsidRDefault="009D0DEC" w:rsidP="009D0DEC">
            <w:pPr>
              <w:widowControl/>
              <w:jc w:val="center"/>
              <w:rPr>
                <w:i/>
                <w:sz w:val="22"/>
                <w:szCs w:val="22"/>
                <w:lang w:eastAsia="pt-BR"/>
              </w:rPr>
            </w:pPr>
            <w:r w:rsidRPr="009D0DEC">
              <w:rPr>
                <w:i/>
                <w:sz w:val="22"/>
                <w:szCs w:val="22"/>
                <w:lang w:eastAsia="pt-BR"/>
              </w:rPr>
              <w:t>1</w:t>
            </w:r>
          </w:p>
        </w:tc>
      </w:tr>
      <w:tr w:rsidR="009D0DEC" w:rsidRPr="009D0DEC" w14:paraId="0460BD88" w14:textId="77777777">
        <w:tc>
          <w:tcPr>
            <w:tcW w:w="3828" w:type="dxa"/>
            <w:tcMar>
              <w:top w:w="0" w:type="dxa"/>
              <w:left w:w="108" w:type="dxa"/>
              <w:bottom w:w="0" w:type="dxa"/>
              <w:right w:w="108" w:type="dxa"/>
            </w:tcMar>
            <w:vAlign w:val="center"/>
          </w:tcPr>
          <w:p w14:paraId="307DC3C3" w14:textId="77777777" w:rsidR="009D0DEC" w:rsidRPr="009D0DEC" w:rsidRDefault="009D0DEC" w:rsidP="009D0DEC">
            <w:pPr>
              <w:widowControl/>
              <w:rPr>
                <w:i/>
                <w:sz w:val="22"/>
                <w:szCs w:val="22"/>
                <w:lang w:eastAsia="pt-BR"/>
              </w:rPr>
            </w:pPr>
            <w:r w:rsidRPr="009D0DEC">
              <w:rPr>
                <w:i/>
                <w:sz w:val="22"/>
                <w:szCs w:val="22"/>
                <w:lang w:eastAsia="pt-BR"/>
              </w:rPr>
              <w:t>Geomecânica S.A. Tecnologia de Solos, Rochas e Materiais</w:t>
            </w:r>
          </w:p>
        </w:tc>
        <w:tc>
          <w:tcPr>
            <w:tcW w:w="1559" w:type="dxa"/>
            <w:tcMar>
              <w:top w:w="0" w:type="dxa"/>
              <w:left w:w="108" w:type="dxa"/>
              <w:bottom w:w="0" w:type="dxa"/>
              <w:right w:w="108" w:type="dxa"/>
            </w:tcMar>
            <w:vAlign w:val="center"/>
          </w:tcPr>
          <w:p w14:paraId="63CBD9CB" w14:textId="77777777" w:rsidR="009D0DEC" w:rsidRPr="009D0DEC" w:rsidRDefault="009D0DEC" w:rsidP="009D0DEC">
            <w:pPr>
              <w:widowControl/>
              <w:rPr>
                <w:i/>
                <w:sz w:val="22"/>
                <w:szCs w:val="22"/>
                <w:lang w:eastAsia="pt-BR"/>
              </w:rPr>
            </w:pPr>
            <w:r w:rsidRPr="009D0DEC">
              <w:rPr>
                <w:i/>
                <w:sz w:val="22"/>
                <w:szCs w:val="22"/>
                <w:lang w:eastAsia="pt-BR"/>
              </w:rPr>
              <w:t>Geomecânica</w:t>
            </w:r>
          </w:p>
        </w:tc>
        <w:tc>
          <w:tcPr>
            <w:tcW w:w="1134" w:type="dxa"/>
            <w:tcMar>
              <w:top w:w="0" w:type="dxa"/>
              <w:left w:w="108" w:type="dxa"/>
              <w:bottom w:w="0" w:type="dxa"/>
              <w:right w:w="108" w:type="dxa"/>
            </w:tcMar>
            <w:vAlign w:val="center"/>
          </w:tcPr>
          <w:p w14:paraId="1E6F254D" w14:textId="77777777" w:rsidR="009D0DEC" w:rsidRPr="009D0DEC" w:rsidRDefault="009D0DEC" w:rsidP="009D0DEC">
            <w:pPr>
              <w:widowControl/>
              <w:jc w:val="center"/>
              <w:rPr>
                <w:i/>
                <w:sz w:val="22"/>
                <w:szCs w:val="22"/>
                <w:lang w:eastAsia="pt-BR"/>
              </w:rPr>
            </w:pPr>
            <w:r w:rsidRPr="009D0DEC">
              <w:rPr>
                <w:i/>
                <w:sz w:val="22"/>
                <w:szCs w:val="22"/>
                <w:lang w:eastAsia="pt-BR"/>
              </w:rPr>
              <w:t>Brasil</w:t>
            </w:r>
          </w:p>
        </w:tc>
        <w:tc>
          <w:tcPr>
            <w:tcW w:w="1559" w:type="dxa"/>
            <w:tcMar>
              <w:top w:w="0" w:type="dxa"/>
              <w:left w:w="108" w:type="dxa"/>
              <w:bottom w:w="0" w:type="dxa"/>
              <w:right w:w="108" w:type="dxa"/>
            </w:tcMar>
            <w:vAlign w:val="center"/>
          </w:tcPr>
          <w:p w14:paraId="28F6CBAC" w14:textId="77777777" w:rsidR="009D0DEC" w:rsidRPr="009D0DEC" w:rsidRDefault="009D0DEC" w:rsidP="009D0DEC">
            <w:pPr>
              <w:widowControl/>
              <w:jc w:val="center"/>
              <w:rPr>
                <w:i/>
                <w:sz w:val="22"/>
                <w:szCs w:val="22"/>
                <w:lang w:eastAsia="pt-BR"/>
              </w:rPr>
            </w:pPr>
            <w:r w:rsidRPr="009D0DEC">
              <w:rPr>
                <w:i/>
                <w:sz w:val="22"/>
                <w:szCs w:val="22"/>
                <w:lang w:eastAsia="pt-BR"/>
              </w:rPr>
              <w:t>2</w:t>
            </w:r>
          </w:p>
        </w:tc>
        <w:tc>
          <w:tcPr>
            <w:tcW w:w="1559" w:type="dxa"/>
            <w:tcMar>
              <w:top w:w="0" w:type="dxa"/>
              <w:left w:w="108" w:type="dxa"/>
              <w:bottom w:w="0" w:type="dxa"/>
              <w:right w:w="108" w:type="dxa"/>
            </w:tcMar>
            <w:vAlign w:val="center"/>
          </w:tcPr>
          <w:p w14:paraId="1EF05104" w14:textId="77777777" w:rsidR="009D0DEC" w:rsidRPr="009D0DEC" w:rsidRDefault="009D0DEC" w:rsidP="009D0DEC">
            <w:pPr>
              <w:widowControl/>
              <w:jc w:val="center"/>
              <w:rPr>
                <w:i/>
                <w:sz w:val="22"/>
                <w:szCs w:val="22"/>
                <w:lang w:eastAsia="pt-BR"/>
              </w:rPr>
            </w:pPr>
            <w:r w:rsidRPr="009D0DEC">
              <w:rPr>
                <w:i/>
                <w:sz w:val="22"/>
                <w:szCs w:val="22"/>
                <w:lang w:eastAsia="pt-BR"/>
              </w:rPr>
              <w:t>0</w:t>
            </w:r>
          </w:p>
        </w:tc>
      </w:tr>
      <w:tr w:rsidR="009D0DEC" w:rsidRPr="009D0DEC" w14:paraId="04E0AEE9" w14:textId="77777777">
        <w:tc>
          <w:tcPr>
            <w:tcW w:w="3828" w:type="dxa"/>
            <w:tcMar>
              <w:top w:w="0" w:type="dxa"/>
              <w:left w:w="108" w:type="dxa"/>
              <w:bottom w:w="0" w:type="dxa"/>
              <w:right w:w="108" w:type="dxa"/>
            </w:tcMar>
            <w:vAlign w:val="center"/>
          </w:tcPr>
          <w:p w14:paraId="0E53AAEE" w14:textId="77777777" w:rsidR="009D0DEC" w:rsidRPr="009D0DEC" w:rsidRDefault="009D0DEC" w:rsidP="009D0DEC">
            <w:pPr>
              <w:widowControl/>
              <w:rPr>
                <w:i/>
                <w:sz w:val="22"/>
                <w:szCs w:val="22"/>
                <w:lang w:eastAsia="pt-BR"/>
              </w:rPr>
            </w:pPr>
            <w:r w:rsidRPr="009D0DEC">
              <w:rPr>
                <w:i/>
                <w:sz w:val="22"/>
                <w:szCs w:val="22"/>
                <w:lang w:eastAsia="pt-BR"/>
              </w:rPr>
              <w:t>Imetame Energia Ltda.</w:t>
            </w:r>
          </w:p>
        </w:tc>
        <w:tc>
          <w:tcPr>
            <w:tcW w:w="1559" w:type="dxa"/>
            <w:tcMar>
              <w:top w:w="0" w:type="dxa"/>
              <w:left w:w="108" w:type="dxa"/>
              <w:bottom w:w="0" w:type="dxa"/>
              <w:right w:w="108" w:type="dxa"/>
            </w:tcMar>
            <w:vAlign w:val="center"/>
          </w:tcPr>
          <w:p w14:paraId="3AD1197E" w14:textId="77777777" w:rsidR="009D0DEC" w:rsidRPr="009D0DEC" w:rsidRDefault="009D0DEC" w:rsidP="009D0DEC">
            <w:pPr>
              <w:widowControl/>
              <w:rPr>
                <w:i/>
                <w:sz w:val="22"/>
                <w:szCs w:val="22"/>
                <w:lang w:eastAsia="pt-BR"/>
              </w:rPr>
            </w:pPr>
            <w:r w:rsidRPr="009D0DEC">
              <w:rPr>
                <w:i/>
                <w:sz w:val="22"/>
                <w:szCs w:val="22"/>
                <w:lang w:eastAsia="pt-BR"/>
              </w:rPr>
              <w:t>EP Imetame</w:t>
            </w:r>
          </w:p>
        </w:tc>
        <w:tc>
          <w:tcPr>
            <w:tcW w:w="1134" w:type="dxa"/>
            <w:tcMar>
              <w:top w:w="0" w:type="dxa"/>
              <w:left w:w="108" w:type="dxa"/>
              <w:bottom w:w="0" w:type="dxa"/>
              <w:right w:w="108" w:type="dxa"/>
            </w:tcMar>
            <w:vAlign w:val="center"/>
          </w:tcPr>
          <w:p w14:paraId="02CBD6FC" w14:textId="77777777" w:rsidR="009D0DEC" w:rsidRPr="009D0DEC" w:rsidRDefault="009D0DEC" w:rsidP="009D0DEC">
            <w:pPr>
              <w:widowControl/>
              <w:jc w:val="center"/>
              <w:rPr>
                <w:i/>
                <w:sz w:val="22"/>
                <w:szCs w:val="22"/>
                <w:lang w:eastAsia="pt-BR"/>
              </w:rPr>
            </w:pPr>
            <w:r w:rsidRPr="009D0DEC">
              <w:rPr>
                <w:i/>
                <w:sz w:val="22"/>
                <w:szCs w:val="22"/>
                <w:lang w:eastAsia="pt-BR"/>
              </w:rPr>
              <w:t>Brasil</w:t>
            </w:r>
          </w:p>
        </w:tc>
        <w:tc>
          <w:tcPr>
            <w:tcW w:w="1559" w:type="dxa"/>
            <w:tcMar>
              <w:top w:w="0" w:type="dxa"/>
              <w:left w:w="108" w:type="dxa"/>
              <w:bottom w:w="0" w:type="dxa"/>
              <w:right w:w="108" w:type="dxa"/>
            </w:tcMar>
            <w:vAlign w:val="center"/>
          </w:tcPr>
          <w:p w14:paraId="61033DB6" w14:textId="77777777" w:rsidR="009D0DEC" w:rsidRPr="009D0DEC" w:rsidRDefault="009D0DEC" w:rsidP="009D0DEC">
            <w:pPr>
              <w:widowControl/>
              <w:jc w:val="center"/>
              <w:rPr>
                <w:i/>
                <w:sz w:val="22"/>
                <w:szCs w:val="22"/>
                <w:lang w:eastAsia="pt-BR"/>
              </w:rPr>
            </w:pPr>
            <w:r w:rsidRPr="009D0DEC">
              <w:rPr>
                <w:i/>
                <w:sz w:val="22"/>
                <w:szCs w:val="22"/>
                <w:lang w:eastAsia="pt-BR"/>
              </w:rPr>
              <w:t>2</w:t>
            </w:r>
          </w:p>
        </w:tc>
        <w:tc>
          <w:tcPr>
            <w:tcW w:w="1559" w:type="dxa"/>
            <w:tcMar>
              <w:top w:w="0" w:type="dxa"/>
              <w:left w:w="108" w:type="dxa"/>
              <w:bottom w:w="0" w:type="dxa"/>
              <w:right w:w="108" w:type="dxa"/>
            </w:tcMar>
            <w:vAlign w:val="center"/>
          </w:tcPr>
          <w:p w14:paraId="546369DA" w14:textId="77777777" w:rsidR="009D0DEC" w:rsidRPr="009D0DEC" w:rsidRDefault="009D0DEC" w:rsidP="009D0DEC">
            <w:pPr>
              <w:widowControl/>
              <w:jc w:val="center"/>
              <w:rPr>
                <w:i/>
                <w:sz w:val="22"/>
                <w:szCs w:val="22"/>
                <w:lang w:eastAsia="pt-BR"/>
              </w:rPr>
            </w:pPr>
            <w:r w:rsidRPr="009D0DEC">
              <w:rPr>
                <w:i/>
                <w:sz w:val="22"/>
                <w:szCs w:val="22"/>
                <w:lang w:eastAsia="pt-BR"/>
              </w:rPr>
              <w:t>1</w:t>
            </w:r>
          </w:p>
        </w:tc>
      </w:tr>
      <w:tr w:rsidR="009D0DEC" w:rsidRPr="009D0DEC" w14:paraId="72DCBD29" w14:textId="77777777">
        <w:tc>
          <w:tcPr>
            <w:tcW w:w="3828" w:type="dxa"/>
            <w:tcMar>
              <w:top w:w="0" w:type="dxa"/>
              <w:left w:w="108" w:type="dxa"/>
              <w:bottom w:w="0" w:type="dxa"/>
              <w:right w:w="108" w:type="dxa"/>
            </w:tcMar>
            <w:vAlign w:val="center"/>
          </w:tcPr>
          <w:p w14:paraId="3AA2C489" w14:textId="77777777" w:rsidR="009D0DEC" w:rsidRPr="009D0DEC" w:rsidRDefault="009D0DEC" w:rsidP="009D0DEC">
            <w:pPr>
              <w:widowControl/>
              <w:rPr>
                <w:i/>
                <w:sz w:val="22"/>
                <w:szCs w:val="22"/>
                <w:lang w:eastAsia="pt-BR"/>
              </w:rPr>
            </w:pPr>
            <w:r w:rsidRPr="009D0DEC">
              <w:rPr>
                <w:i/>
                <w:sz w:val="22"/>
                <w:szCs w:val="22"/>
                <w:lang w:eastAsia="pt-BR"/>
              </w:rPr>
              <w:t>Muncks &amp; Reboques Brasil Ltda.</w:t>
            </w:r>
          </w:p>
        </w:tc>
        <w:tc>
          <w:tcPr>
            <w:tcW w:w="1559" w:type="dxa"/>
            <w:tcMar>
              <w:top w:w="0" w:type="dxa"/>
              <w:left w:w="108" w:type="dxa"/>
              <w:bottom w:w="0" w:type="dxa"/>
              <w:right w:w="108" w:type="dxa"/>
            </w:tcMar>
            <w:vAlign w:val="center"/>
          </w:tcPr>
          <w:p w14:paraId="115A95D6" w14:textId="77777777" w:rsidR="009D0DEC" w:rsidRPr="009D0DEC" w:rsidRDefault="009D0DEC" w:rsidP="009D0DEC">
            <w:pPr>
              <w:widowControl/>
              <w:rPr>
                <w:i/>
                <w:sz w:val="22"/>
                <w:szCs w:val="22"/>
                <w:lang w:eastAsia="pt-BR"/>
              </w:rPr>
            </w:pPr>
            <w:r w:rsidRPr="009D0DEC">
              <w:rPr>
                <w:i/>
                <w:sz w:val="22"/>
                <w:szCs w:val="22"/>
                <w:lang w:eastAsia="pt-BR"/>
              </w:rPr>
              <w:t>Muncks &amp; Reboques</w:t>
            </w:r>
          </w:p>
        </w:tc>
        <w:tc>
          <w:tcPr>
            <w:tcW w:w="1134" w:type="dxa"/>
            <w:tcMar>
              <w:top w:w="0" w:type="dxa"/>
              <w:left w:w="108" w:type="dxa"/>
              <w:bottom w:w="0" w:type="dxa"/>
              <w:right w:w="108" w:type="dxa"/>
            </w:tcMar>
            <w:vAlign w:val="center"/>
          </w:tcPr>
          <w:p w14:paraId="5B32F2F4" w14:textId="77777777" w:rsidR="009D0DEC" w:rsidRPr="009D0DEC" w:rsidRDefault="009D0DEC" w:rsidP="009D0DEC">
            <w:pPr>
              <w:widowControl/>
              <w:jc w:val="center"/>
              <w:rPr>
                <w:i/>
                <w:sz w:val="22"/>
                <w:szCs w:val="22"/>
                <w:lang w:eastAsia="pt-BR"/>
              </w:rPr>
            </w:pPr>
            <w:r w:rsidRPr="009D0DEC">
              <w:rPr>
                <w:i/>
                <w:sz w:val="22"/>
                <w:szCs w:val="22"/>
                <w:lang w:eastAsia="pt-BR"/>
              </w:rPr>
              <w:t>Brasil</w:t>
            </w:r>
          </w:p>
        </w:tc>
        <w:tc>
          <w:tcPr>
            <w:tcW w:w="1559" w:type="dxa"/>
            <w:tcMar>
              <w:top w:w="0" w:type="dxa"/>
              <w:left w:w="108" w:type="dxa"/>
              <w:bottom w:w="0" w:type="dxa"/>
              <w:right w:w="108" w:type="dxa"/>
            </w:tcMar>
            <w:vAlign w:val="center"/>
          </w:tcPr>
          <w:p w14:paraId="4C9F6E08" w14:textId="77777777" w:rsidR="009D0DEC" w:rsidRPr="009D0DEC" w:rsidRDefault="009D0DEC" w:rsidP="009D0DEC">
            <w:pPr>
              <w:widowControl/>
              <w:jc w:val="center"/>
              <w:rPr>
                <w:i/>
                <w:sz w:val="22"/>
                <w:szCs w:val="22"/>
                <w:lang w:eastAsia="pt-BR"/>
              </w:rPr>
            </w:pPr>
            <w:r w:rsidRPr="009D0DEC">
              <w:rPr>
                <w:i/>
                <w:sz w:val="22"/>
                <w:szCs w:val="22"/>
                <w:lang w:eastAsia="pt-BR"/>
              </w:rPr>
              <w:t>4</w:t>
            </w:r>
          </w:p>
        </w:tc>
        <w:tc>
          <w:tcPr>
            <w:tcW w:w="1559" w:type="dxa"/>
            <w:tcMar>
              <w:top w:w="0" w:type="dxa"/>
              <w:left w:w="108" w:type="dxa"/>
              <w:bottom w:w="0" w:type="dxa"/>
              <w:right w:w="108" w:type="dxa"/>
            </w:tcMar>
            <w:vAlign w:val="center"/>
          </w:tcPr>
          <w:p w14:paraId="1B4CF842" w14:textId="77777777" w:rsidR="009D0DEC" w:rsidRPr="009D0DEC" w:rsidRDefault="009D0DEC" w:rsidP="009D0DEC">
            <w:pPr>
              <w:widowControl/>
              <w:jc w:val="center"/>
              <w:rPr>
                <w:i/>
                <w:sz w:val="22"/>
                <w:szCs w:val="22"/>
                <w:lang w:eastAsia="pt-BR"/>
              </w:rPr>
            </w:pPr>
            <w:r w:rsidRPr="009D0DEC">
              <w:rPr>
                <w:i/>
                <w:sz w:val="22"/>
                <w:szCs w:val="22"/>
                <w:lang w:eastAsia="pt-BR"/>
              </w:rPr>
              <w:t>2</w:t>
            </w:r>
          </w:p>
        </w:tc>
      </w:tr>
      <w:tr w:rsidR="009D0DEC" w:rsidRPr="009D0DEC" w14:paraId="4BA89E35" w14:textId="77777777">
        <w:tc>
          <w:tcPr>
            <w:tcW w:w="3828" w:type="dxa"/>
            <w:tcMar>
              <w:top w:w="0" w:type="dxa"/>
              <w:left w:w="108" w:type="dxa"/>
              <w:bottom w:w="0" w:type="dxa"/>
              <w:right w:w="108" w:type="dxa"/>
            </w:tcMar>
            <w:vAlign w:val="center"/>
          </w:tcPr>
          <w:p w14:paraId="1951CF26" w14:textId="77777777" w:rsidR="009D0DEC" w:rsidRPr="009D0DEC" w:rsidRDefault="009D0DEC" w:rsidP="009D0DEC">
            <w:pPr>
              <w:widowControl/>
              <w:rPr>
                <w:i/>
                <w:sz w:val="22"/>
                <w:szCs w:val="22"/>
                <w:lang w:eastAsia="pt-BR"/>
              </w:rPr>
            </w:pPr>
            <w:r w:rsidRPr="009D0DEC">
              <w:rPr>
                <w:i/>
                <w:sz w:val="22"/>
                <w:szCs w:val="22"/>
                <w:lang w:eastAsia="pt-BR"/>
              </w:rPr>
              <w:t>Newo Óleo e Gás LTDA - ME</w:t>
            </w:r>
          </w:p>
        </w:tc>
        <w:tc>
          <w:tcPr>
            <w:tcW w:w="1559" w:type="dxa"/>
            <w:tcMar>
              <w:top w:w="0" w:type="dxa"/>
              <w:left w:w="108" w:type="dxa"/>
              <w:bottom w:w="0" w:type="dxa"/>
              <w:right w:w="108" w:type="dxa"/>
            </w:tcMar>
            <w:vAlign w:val="center"/>
          </w:tcPr>
          <w:p w14:paraId="7284A504" w14:textId="77777777" w:rsidR="009D0DEC" w:rsidRPr="009D0DEC" w:rsidRDefault="009D0DEC" w:rsidP="009D0DEC">
            <w:pPr>
              <w:widowControl/>
              <w:rPr>
                <w:i/>
                <w:sz w:val="22"/>
                <w:szCs w:val="22"/>
                <w:lang w:eastAsia="pt-BR"/>
              </w:rPr>
            </w:pPr>
            <w:r w:rsidRPr="009D0DEC">
              <w:rPr>
                <w:i/>
                <w:sz w:val="22"/>
                <w:szCs w:val="22"/>
                <w:lang w:eastAsia="pt-BR"/>
              </w:rPr>
              <w:t>Bizzo Sotomayor</w:t>
            </w:r>
          </w:p>
        </w:tc>
        <w:tc>
          <w:tcPr>
            <w:tcW w:w="1134" w:type="dxa"/>
            <w:tcMar>
              <w:top w:w="0" w:type="dxa"/>
              <w:left w:w="108" w:type="dxa"/>
              <w:bottom w:w="0" w:type="dxa"/>
              <w:right w:w="108" w:type="dxa"/>
            </w:tcMar>
            <w:vAlign w:val="center"/>
          </w:tcPr>
          <w:p w14:paraId="65BB7DD7" w14:textId="77777777" w:rsidR="009D0DEC" w:rsidRPr="009D0DEC" w:rsidRDefault="009D0DEC" w:rsidP="009D0DEC">
            <w:pPr>
              <w:widowControl/>
              <w:jc w:val="center"/>
              <w:rPr>
                <w:i/>
                <w:sz w:val="22"/>
                <w:szCs w:val="22"/>
                <w:lang w:eastAsia="pt-BR"/>
              </w:rPr>
            </w:pPr>
            <w:r w:rsidRPr="009D0DEC">
              <w:rPr>
                <w:i/>
                <w:sz w:val="22"/>
                <w:szCs w:val="22"/>
                <w:lang w:eastAsia="pt-BR"/>
              </w:rPr>
              <w:t>Brasil</w:t>
            </w:r>
          </w:p>
        </w:tc>
        <w:tc>
          <w:tcPr>
            <w:tcW w:w="1559" w:type="dxa"/>
            <w:tcMar>
              <w:top w:w="0" w:type="dxa"/>
              <w:left w:w="108" w:type="dxa"/>
              <w:bottom w:w="0" w:type="dxa"/>
              <w:right w:w="108" w:type="dxa"/>
            </w:tcMar>
            <w:vAlign w:val="center"/>
          </w:tcPr>
          <w:p w14:paraId="64D796D1" w14:textId="77777777" w:rsidR="009D0DEC" w:rsidRPr="009D0DEC" w:rsidRDefault="009D0DEC" w:rsidP="009D0DEC">
            <w:pPr>
              <w:widowControl/>
              <w:jc w:val="center"/>
              <w:rPr>
                <w:i/>
                <w:sz w:val="22"/>
                <w:szCs w:val="22"/>
                <w:lang w:eastAsia="pt-BR"/>
              </w:rPr>
            </w:pPr>
            <w:r w:rsidRPr="009D0DEC">
              <w:rPr>
                <w:i/>
                <w:sz w:val="22"/>
                <w:szCs w:val="22"/>
                <w:lang w:eastAsia="pt-BR"/>
              </w:rPr>
              <w:t>2</w:t>
            </w:r>
          </w:p>
        </w:tc>
        <w:tc>
          <w:tcPr>
            <w:tcW w:w="1559" w:type="dxa"/>
            <w:tcMar>
              <w:top w:w="0" w:type="dxa"/>
              <w:left w:w="108" w:type="dxa"/>
              <w:bottom w:w="0" w:type="dxa"/>
              <w:right w:w="108" w:type="dxa"/>
            </w:tcMar>
            <w:vAlign w:val="center"/>
          </w:tcPr>
          <w:p w14:paraId="3DC1B77A" w14:textId="77777777" w:rsidR="009D0DEC" w:rsidRPr="009D0DEC" w:rsidRDefault="009D0DEC" w:rsidP="009D0DEC">
            <w:pPr>
              <w:widowControl/>
              <w:jc w:val="center"/>
              <w:rPr>
                <w:i/>
                <w:sz w:val="22"/>
                <w:szCs w:val="22"/>
                <w:lang w:eastAsia="pt-BR"/>
              </w:rPr>
            </w:pPr>
            <w:r w:rsidRPr="009D0DEC">
              <w:rPr>
                <w:i/>
                <w:sz w:val="22"/>
                <w:szCs w:val="22"/>
                <w:lang w:eastAsia="pt-BR"/>
              </w:rPr>
              <w:t>1</w:t>
            </w:r>
          </w:p>
        </w:tc>
      </w:tr>
      <w:tr w:rsidR="009D0DEC" w:rsidRPr="009D0DEC" w14:paraId="1C6B336A" w14:textId="77777777">
        <w:tc>
          <w:tcPr>
            <w:tcW w:w="3828" w:type="dxa"/>
            <w:tcMar>
              <w:top w:w="0" w:type="dxa"/>
              <w:left w:w="108" w:type="dxa"/>
              <w:bottom w:w="0" w:type="dxa"/>
              <w:right w:w="108" w:type="dxa"/>
            </w:tcMar>
            <w:vAlign w:val="center"/>
          </w:tcPr>
          <w:p w14:paraId="1ECA3DC2" w14:textId="77777777" w:rsidR="009D0DEC" w:rsidRPr="009D0DEC" w:rsidRDefault="009D0DEC" w:rsidP="009D0DEC">
            <w:pPr>
              <w:widowControl/>
              <w:rPr>
                <w:i/>
                <w:sz w:val="22"/>
                <w:szCs w:val="22"/>
                <w:lang w:eastAsia="pt-BR"/>
              </w:rPr>
            </w:pPr>
            <w:r w:rsidRPr="009D0DEC">
              <w:rPr>
                <w:i/>
                <w:sz w:val="22"/>
                <w:szCs w:val="22"/>
                <w:lang w:eastAsia="pt-BR"/>
              </w:rPr>
              <w:lastRenderedPageBreak/>
              <w:t>Oil and Gas Investments Group Exploração e Produção Ltda.</w:t>
            </w:r>
          </w:p>
        </w:tc>
        <w:tc>
          <w:tcPr>
            <w:tcW w:w="1559" w:type="dxa"/>
            <w:tcMar>
              <w:top w:w="0" w:type="dxa"/>
              <w:left w:w="108" w:type="dxa"/>
              <w:bottom w:w="0" w:type="dxa"/>
              <w:right w:w="108" w:type="dxa"/>
            </w:tcMar>
            <w:vAlign w:val="center"/>
          </w:tcPr>
          <w:p w14:paraId="4FB00189" w14:textId="77777777" w:rsidR="009D0DEC" w:rsidRPr="009D0DEC" w:rsidRDefault="009D0DEC" w:rsidP="009D0DEC">
            <w:pPr>
              <w:widowControl/>
              <w:rPr>
                <w:i/>
                <w:sz w:val="22"/>
                <w:szCs w:val="22"/>
                <w:lang w:val="en-US" w:eastAsia="pt-BR"/>
              </w:rPr>
            </w:pPr>
            <w:r w:rsidRPr="009D0DEC">
              <w:rPr>
                <w:i/>
                <w:sz w:val="22"/>
                <w:szCs w:val="22"/>
                <w:lang w:val="en-US" w:eastAsia="pt-BR"/>
              </w:rPr>
              <w:t>OGG Investiments US Holding LLC</w:t>
            </w:r>
          </w:p>
        </w:tc>
        <w:tc>
          <w:tcPr>
            <w:tcW w:w="1134" w:type="dxa"/>
            <w:tcMar>
              <w:top w:w="0" w:type="dxa"/>
              <w:left w:w="108" w:type="dxa"/>
              <w:bottom w:w="0" w:type="dxa"/>
              <w:right w:w="108" w:type="dxa"/>
            </w:tcMar>
            <w:vAlign w:val="center"/>
          </w:tcPr>
          <w:p w14:paraId="2E37B83E" w14:textId="77777777" w:rsidR="009D0DEC" w:rsidRPr="009D0DEC" w:rsidRDefault="009D0DEC" w:rsidP="009D0DEC">
            <w:pPr>
              <w:widowControl/>
              <w:jc w:val="center"/>
              <w:rPr>
                <w:i/>
                <w:sz w:val="22"/>
                <w:szCs w:val="22"/>
                <w:lang w:eastAsia="pt-BR"/>
              </w:rPr>
            </w:pPr>
            <w:r w:rsidRPr="009D0DEC">
              <w:rPr>
                <w:i/>
                <w:sz w:val="22"/>
                <w:szCs w:val="22"/>
                <w:lang w:eastAsia="pt-BR"/>
              </w:rPr>
              <w:t>Estados unidos</w:t>
            </w:r>
          </w:p>
        </w:tc>
        <w:tc>
          <w:tcPr>
            <w:tcW w:w="1559" w:type="dxa"/>
            <w:tcMar>
              <w:top w:w="0" w:type="dxa"/>
              <w:left w:w="108" w:type="dxa"/>
              <w:bottom w:w="0" w:type="dxa"/>
              <w:right w:w="108" w:type="dxa"/>
            </w:tcMar>
            <w:vAlign w:val="center"/>
          </w:tcPr>
          <w:p w14:paraId="2AA3E357" w14:textId="77777777" w:rsidR="009D0DEC" w:rsidRPr="009D0DEC" w:rsidRDefault="009D0DEC" w:rsidP="009D0DEC">
            <w:pPr>
              <w:widowControl/>
              <w:jc w:val="center"/>
              <w:rPr>
                <w:i/>
                <w:sz w:val="22"/>
                <w:szCs w:val="22"/>
                <w:lang w:eastAsia="pt-BR"/>
              </w:rPr>
            </w:pPr>
            <w:r w:rsidRPr="009D0DEC">
              <w:rPr>
                <w:i/>
                <w:sz w:val="22"/>
                <w:szCs w:val="22"/>
                <w:lang w:eastAsia="pt-BR"/>
              </w:rPr>
              <w:t>2</w:t>
            </w:r>
          </w:p>
        </w:tc>
        <w:tc>
          <w:tcPr>
            <w:tcW w:w="1559" w:type="dxa"/>
            <w:tcMar>
              <w:top w:w="0" w:type="dxa"/>
              <w:left w:w="108" w:type="dxa"/>
              <w:bottom w:w="0" w:type="dxa"/>
              <w:right w:w="108" w:type="dxa"/>
            </w:tcMar>
            <w:vAlign w:val="center"/>
          </w:tcPr>
          <w:p w14:paraId="6C5538A6" w14:textId="77777777" w:rsidR="009D0DEC" w:rsidRPr="009D0DEC" w:rsidRDefault="009D0DEC" w:rsidP="009D0DEC">
            <w:pPr>
              <w:widowControl/>
              <w:jc w:val="center"/>
              <w:rPr>
                <w:i/>
                <w:sz w:val="22"/>
                <w:szCs w:val="22"/>
                <w:lang w:eastAsia="pt-BR"/>
              </w:rPr>
            </w:pPr>
            <w:r w:rsidRPr="009D0DEC">
              <w:rPr>
                <w:i/>
                <w:sz w:val="22"/>
                <w:szCs w:val="22"/>
                <w:lang w:eastAsia="pt-BR"/>
              </w:rPr>
              <w:t>0</w:t>
            </w:r>
          </w:p>
        </w:tc>
      </w:tr>
      <w:tr w:rsidR="009D0DEC" w:rsidRPr="009D0DEC" w14:paraId="1AA26559" w14:textId="77777777">
        <w:tc>
          <w:tcPr>
            <w:tcW w:w="3828" w:type="dxa"/>
            <w:tcMar>
              <w:top w:w="0" w:type="dxa"/>
              <w:left w:w="108" w:type="dxa"/>
              <w:bottom w:w="0" w:type="dxa"/>
              <w:right w:w="108" w:type="dxa"/>
            </w:tcMar>
            <w:vAlign w:val="center"/>
          </w:tcPr>
          <w:p w14:paraId="57A02DC4" w14:textId="77777777" w:rsidR="009D0DEC" w:rsidRPr="009D0DEC" w:rsidRDefault="009D0DEC" w:rsidP="009D0DEC">
            <w:pPr>
              <w:widowControl/>
              <w:rPr>
                <w:i/>
                <w:sz w:val="22"/>
                <w:szCs w:val="22"/>
                <w:lang w:eastAsia="pt-BR"/>
              </w:rPr>
            </w:pPr>
            <w:r w:rsidRPr="009D0DEC">
              <w:rPr>
                <w:i/>
                <w:sz w:val="22"/>
                <w:szCs w:val="22"/>
                <w:lang w:eastAsia="pt-BR"/>
              </w:rPr>
              <w:t>Petrol Serviços de Sondagem Ltda. - EPP</w:t>
            </w:r>
          </w:p>
        </w:tc>
        <w:tc>
          <w:tcPr>
            <w:tcW w:w="1559" w:type="dxa"/>
            <w:tcMar>
              <w:top w:w="0" w:type="dxa"/>
              <w:left w:w="108" w:type="dxa"/>
              <w:bottom w:w="0" w:type="dxa"/>
              <w:right w:w="108" w:type="dxa"/>
            </w:tcMar>
            <w:vAlign w:val="center"/>
          </w:tcPr>
          <w:p w14:paraId="3708A440" w14:textId="77777777" w:rsidR="009D0DEC" w:rsidRPr="009D0DEC" w:rsidRDefault="009D0DEC" w:rsidP="009D0DEC">
            <w:pPr>
              <w:widowControl/>
              <w:rPr>
                <w:i/>
                <w:sz w:val="22"/>
                <w:szCs w:val="22"/>
                <w:lang w:eastAsia="pt-BR"/>
              </w:rPr>
            </w:pPr>
            <w:r w:rsidRPr="009D0DEC">
              <w:rPr>
                <w:i/>
                <w:sz w:val="22"/>
                <w:szCs w:val="22"/>
                <w:lang w:eastAsia="pt-BR"/>
              </w:rPr>
              <w:t>Petrol</w:t>
            </w:r>
          </w:p>
        </w:tc>
        <w:tc>
          <w:tcPr>
            <w:tcW w:w="1134" w:type="dxa"/>
            <w:tcMar>
              <w:top w:w="0" w:type="dxa"/>
              <w:left w:w="108" w:type="dxa"/>
              <w:bottom w:w="0" w:type="dxa"/>
              <w:right w:w="108" w:type="dxa"/>
            </w:tcMar>
            <w:vAlign w:val="center"/>
          </w:tcPr>
          <w:p w14:paraId="6192023D" w14:textId="77777777" w:rsidR="009D0DEC" w:rsidRPr="009D0DEC" w:rsidRDefault="009D0DEC" w:rsidP="009D0DEC">
            <w:pPr>
              <w:widowControl/>
              <w:jc w:val="center"/>
              <w:rPr>
                <w:i/>
                <w:sz w:val="22"/>
                <w:szCs w:val="22"/>
                <w:lang w:eastAsia="pt-BR"/>
              </w:rPr>
            </w:pPr>
            <w:r w:rsidRPr="009D0DEC">
              <w:rPr>
                <w:i/>
                <w:sz w:val="22"/>
                <w:szCs w:val="22"/>
                <w:lang w:eastAsia="pt-BR"/>
              </w:rPr>
              <w:t>Brasil</w:t>
            </w:r>
          </w:p>
        </w:tc>
        <w:tc>
          <w:tcPr>
            <w:tcW w:w="1559" w:type="dxa"/>
            <w:tcMar>
              <w:top w:w="0" w:type="dxa"/>
              <w:left w:w="108" w:type="dxa"/>
              <w:bottom w:w="0" w:type="dxa"/>
              <w:right w:w="108" w:type="dxa"/>
            </w:tcMar>
            <w:vAlign w:val="center"/>
          </w:tcPr>
          <w:p w14:paraId="396CD9F1" w14:textId="77777777" w:rsidR="009D0DEC" w:rsidRPr="009D0DEC" w:rsidRDefault="009D0DEC" w:rsidP="009D0DEC">
            <w:pPr>
              <w:widowControl/>
              <w:jc w:val="center"/>
              <w:rPr>
                <w:i/>
                <w:sz w:val="22"/>
                <w:szCs w:val="22"/>
                <w:lang w:eastAsia="pt-BR"/>
              </w:rPr>
            </w:pPr>
            <w:r w:rsidRPr="009D0DEC">
              <w:rPr>
                <w:i/>
                <w:sz w:val="22"/>
                <w:szCs w:val="22"/>
                <w:lang w:eastAsia="pt-BR"/>
              </w:rPr>
              <w:t>1</w:t>
            </w:r>
          </w:p>
        </w:tc>
        <w:tc>
          <w:tcPr>
            <w:tcW w:w="1559" w:type="dxa"/>
            <w:tcMar>
              <w:top w:w="0" w:type="dxa"/>
              <w:left w:w="108" w:type="dxa"/>
              <w:bottom w:w="0" w:type="dxa"/>
              <w:right w:w="108" w:type="dxa"/>
            </w:tcMar>
            <w:vAlign w:val="center"/>
          </w:tcPr>
          <w:p w14:paraId="1FF1CF17" w14:textId="77777777" w:rsidR="009D0DEC" w:rsidRPr="009D0DEC" w:rsidRDefault="009D0DEC" w:rsidP="009D0DEC">
            <w:pPr>
              <w:widowControl/>
              <w:jc w:val="center"/>
              <w:rPr>
                <w:i/>
                <w:sz w:val="22"/>
                <w:szCs w:val="22"/>
                <w:lang w:eastAsia="pt-BR"/>
              </w:rPr>
            </w:pPr>
            <w:r w:rsidRPr="009D0DEC">
              <w:rPr>
                <w:i/>
                <w:sz w:val="22"/>
                <w:szCs w:val="22"/>
                <w:lang w:eastAsia="pt-BR"/>
              </w:rPr>
              <w:t>1</w:t>
            </w:r>
          </w:p>
        </w:tc>
      </w:tr>
      <w:tr w:rsidR="009D0DEC" w:rsidRPr="009D0DEC" w14:paraId="495388BB" w14:textId="77777777">
        <w:tc>
          <w:tcPr>
            <w:tcW w:w="3828" w:type="dxa"/>
            <w:tcMar>
              <w:top w:w="0" w:type="dxa"/>
              <w:left w:w="108" w:type="dxa"/>
              <w:bottom w:w="0" w:type="dxa"/>
              <w:right w:w="108" w:type="dxa"/>
            </w:tcMar>
            <w:vAlign w:val="center"/>
          </w:tcPr>
          <w:p w14:paraId="6316BF74" w14:textId="77777777" w:rsidR="009D0DEC" w:rsidRPr="009D0DEC" w:rsidRDefault="009D0DEC" w:rsidP="009D0DEC">
            <w:pPr>
              <w:widowControl/>
              <w:rPr>
                <w:i/>
                <w:sz w:val="22"/>
                <w:szCs w:val="22"/>
                <w:lang w:eastAsia="pt-BR"/>
              </w:rPr>
            </w:pPr>
            <w:r w:rsidRPr="009D0DEC">
              <w:rPr>
                <w:i/>
                <w:sz w:val="22"/>
                <w:szCs w:val="22"/>
                <w:lang w:eastAsia="pt-BR"/>
              </w:rPr>
              <w:t>Ubuntu Engenharia e Serviços Ltda. - ME</w:t>
            </w:r>
          </w:p>
        </w:tc>
        <w:tc>
          <w:tcPr>
            <w:tcW w:w="1559" w:type="dxa"/>
            <w:tcMar>
              <w:top w:w="0" w:type="dxa"/>
              <w:left w:w="108" w:type="dxa"/>
              <w:bottom w:w="0" w:type="dxa"/>
              <w:right w:w="108" w:type="dxa"/>
            </w:tcMar>
            <w:vAlign w:val="center"/>
          </w:tcPr>
          <w:p w14:paraId="7ABBA0D9" w14:textId="77777777" w:rsidR="009D0DEC" w:rsidRPr="009D0DEC" w:rsidRDefault="009D0DEC" w:rsidP="009D0DEC">
            <w:pPr>
              <w:widowControl/>
              <w:rPr>
                <w:i/>
                <w:sz w:val="22"/>
                <w:szCs w:val="22"/>
                <w:lang w:eastAsia="pt-BR"/>
              </w:rPr>
            </w:pPr>
            <w:r w:rsidRPr="009D0DEC">
              <w:rPr>
                <w:i/>
                <w:sz w:val="22"/>
                <w:szCs w:val="22"/>
                <w:lang w:eastAsia="pt-BR"/>
              </w:rPr>
              <w:t>Ubuntu Engenharia</w:t>
            </w:r>
          </w:p>
        </w:tc>
        <w:tc>
          <w:tcPr>
            <w:tcW w:w="1134" w:type="dxa"/>
            <w:tcMar>
              <w:top w:w="0" w:type="dxa"/>
              <w:left w:w="108" w:type="dxa"/>
              <w:bottom w:w="0" w:type="dxa"/>
              <w:right w:w="108" w:type="dxa"/>
            </w:tcMar>
            <w:vAlign w:val="center"/>
          </w:tcPr>
          <w:p w14:paraId="0B16B1A0" w14:textId="77777777" w:rsidR="009D0DEC" w:rsidRPr="009D0DEC" w:rsidRDefault="009D0DEC" w:rsidP="009D0DEC">
            <w:pPr>
              <w:widowControl/>
              <w:jc w:val="center"/>
              <w:rPr>
                <w:i/>
                <w:sz w:val="22"/>
                <w:szCs w:val="22"/>
                <w:lang w:eastAsia="pt-BR"/>
              </w:rPr>
            </w:pPr>
            <w:r w:rsidRPr="009D0DEC">
              <w:rPr>
                <w:i/>
                <w:sz w:val="22"/>
                <w:szCs w:val="22"/>
                <w:lang w:eastAsia="pt-BR"/>
              </w:rPr>
              <w:t>Brasil</w:t>
            </w:r>
          </w:p>
        </w:tc>
        <w:tc>
          <w:tcPr>
            <w:tcW w:w="1559" w:type="dxa"/>
            <w:tcMar>
              <w:top w:w="0" w:type="dxa"/>
              <w:left w:w="108" w:type="dxa"/>
              <w:bottom w:w="0" w:type="dxa"/>
              <w:right w:w="108" w:type="dxa"/>
            </w:tcMar>
            <w:vAlign w:val="center"/>
          </w:tcPr>
          <w:p w14:paraId="00A9064B" w14:textId="77777777" w:rsidR="009D0DEC" w:rsidRPr="009D0DEC" w:rsidRDefault="009D0DEC" w:rsidP="009D0DEC">
            <w:pPr>
              <w:widowControl/>
              <w:jc w:val="center"/>
              <w:rPr>
                <w:i/>
                <w:sz w:val="22"/>
                <w:szCs w:val="22"/>
                <w:lang w:eastAsia="pt-BR"/>
              </w:rPr>
            </w:pPr>
            <w:r w:rsidRPr="009D0DEC">
              <w:rPr>
                <w:i/>
                <w:sz w:val="22"/>
                <w:szCs w:val="22"/>
                <w:lang w:eastAsia="pt-BR"/>
              </w:rPr>
              <w:t>2</w:t>
            </w:r>
          </w:p>
        </w:tc>
        <w:tc>
          <w:tcPr>
            <w:tcW w:w="1559" w:type="dxa"/>
            <w:tcMar>
              <w:top w:w="0" w:type="dxa"/>
              <w:left w:w="108" w:type="dxa"/>
              <w:bottom w:w="0" w:type="dxa"/>
              <w:right w:w="108" w:type="dxa"/>
            </w:tcMar>
            <w:vAlign w:val="center"/>
          </w:tcPr>
          <w:p w14:paraId="6F632371" w14:textId="77777777" w:rsidR="009D0DEC" w:rsidRPr="009D0DEC" w:rsidRDefault="009D0DEC" w:rsidP="009D0DEC">
            <w:pPr>
              <w:widowControl/>
              <w:jc w:val="center"/>
              <w:rPr>
                <w:i/>
                <w:sz w:val="22"/>
                <w:szCs w:val="22"/>
                <w:lang w:eastAsia="pt-BR"/>
              </w:rPr>
            </w:pPr>
            <w:r w:rsidRPr="009D0DEC">
              <w:rPr>
                <w:i/>
                <w:sz w:val="22"/>
                <w:szCs w:val="22"/>
                <w:lang w:eastAsia="pt-BR"/>
              </w:rPr>
              <w:t>2</w:t>
            </w:r>
          </w:p>
        </w:tc>
      </w:tr>
      <w:tr w:rsidR="009D0DEC" w:rsidRPr="009D0DEC" w14:paraId="431DA5F1" w14:textId="77777777">
        <w:tc>
          <w:tcPr>
            <w:tcW w:w="9639" w:type="dxa"/>
            <w:gridSpan w:val="5"/>
            <w:tcMar>
              <w:top w:w="0" w:type="dxa"/>
              <w:left w:w="108" w:type="dxa"/>
              <w:bottom w:w="0" w:type="dxa"/>
              <w:right w:w="108" w:type="dxa"/>
            </w:tcMar>
            <w:vAlign w:val="center"/>
          </w:tcPr>
          <w:p w14:paraId="24B15BDB" w14:textId="77777777" w:rsidR="009D0DEC" w:rsidRPr="009D0DEC" w:rsidRDefault="009D0DEC" w:rsidP="009D0DEC">
            <w:pPr>
              <w:widowControl/>
              <w:jc w:val="center"/>
              <w:rPr>
                <w:b/>
                <w:i/>
                <w:sz w:val="22"/>
                <w:szCs w:val="22"/>
                <w:lang w:eastAsia="pt-BR"/>
              </w:rPr>
            </w:pPr>
            <w:r w:rsidRPr="009D0DEC">
              <w:rPr>
                <w:b/>
                <w:i/>
                <w:sz w:val="22"/>
                <w:szCs w:val="22"/>
                <w:lang w:eastAsia="pt-BR"/>
              </w:rPr>
              <w:t>TOTAL DE EMPRESAS OFERTANTES: 8</w:t>
            </w:r>
          </w:p>
        </w:tc>
      </w:tr>
    </w:tbl>
    <w:p w14:paraId="6373F008" w14:textId="77777777" w:rsidR="009D0DEC" w:rsidRPr="009D0DEC" w:rsidRDefault="009D0DEC" w:rsidP="009D0DEC">
      <w:pPr>
        <w:pStyle w:val="Relatrio"/>
        <w:numPr>
          <w:ilvl w:val="0"/>
          <w:numId w:val="0"/>
        </w:numPr>
        <w:spacing w:before="0"/>
        <w:rPr>
          <w:i/>
        </w:rPr>
      </w:pPr>
      <w:r w:rsidRPr="009D0DEC">
        <w:rPr>
          <w:i/>
        </w:rPr>
        <w:t xml:space="preserve">  </w:t>
      </w:r>
      <w:r w:rsidRPr="009D0DEC">
        <w:rPr>
          <w:i/>
        </w:rPr>
        <w:tab/>
        <w:t>FONTE: http://www.brasil-rounds-data.anp.gov.br/relatoriosbid/Empresa/OfertantesDesktop/26</w:t>
      </w:r>
    </w:p>
    <w:p w14:paraId="71CC48CE" w14:textId="77777777" w:rsidR="009D0DEC" w:rsidRPr="009D0DEC" w:rsidRDefault="009D0DEC" w:rsidP="009D0DEC">
      <w:pPr>
        <w:pStyle w:val="Relatrio"/>
        <w:spacing w:before="0"/>
        <w:rPr>
          <w:i/>
        </w:rPr>
      </w:pPr>
      <w:r w:rsidRPr="009D0DEC">
        <w:rPr>
          <w:i/>
        </w:rPr>
        <w:t>Como se vê na tabela acima</w:t>
      </w:r>
      <w:r w:rsidRPr="002C7FDD">
        <w:rPr>
          <w:i/>
        </w:rPr>
        <w:t>, as oito áreas foram arrematadas por seis licitantes vencedoras,</w:t>
      </w:r>
      <w:r w:rsidRPr="009D0DEC">
        <w:rPr>
          <w:i/>
        </w:rPr>
        <w:t xml:space="preserve"> que foram submetidas à qualificação de acordo com os termos do edital de licitação. As licitantes qualificadas cumpriram todos os requisitos previstos no edital, comprovando sua regularidade jurídica, fiscal e trabalhista, capacidade econômico-financeira e capacidade técnica.</w:t>
      </w:r>
    </w:p>
    <w:p w14:paraId="4512083D" w14:textId="77777777" w:rsidR="009D0DEC" w:rsidRPr="009D0DEC" w:rsidRDefault="009D0DEC" w:rsidP="009D0DEC">
      <w:pPr>
        <w:pStyle w:val="Relatrio"/>
        <w:spacing w:before="0"/>
        <w:rPr>
          <w:i/>
        </w:rPr>
      </w:pPr>
      <w:r w:rsidRPr="009D0DEC">
        <w:rPr>
          <w:i/>
        </w:rPr>
        <w:t xml:space="preserve">Vale dizer que houve um recurso interposto por uma das licitantes requerendo a alteração da classificação de operadora que lhe foi concedida pela CEL. De acordo com a ANP, em junho de 2017, a empresa Dimensional Engenharia Ltda. Protocolou recurso administrativo face à decisão da CEL de qualifica-la como Operadora C. </w:t>
      </w:r>
    </w:p>
    <w:p w14:paraId="5FD2DA4F" w14:textId="77777777" w:rsidR="009D0DEC" w:rsidRPr="009D0DEC" w:rsidRDefault="009D0DEC" w:rsidP="009D0DEC">
      <w:pPr>
        <w:pStyle w:val="Relatrio"/>
        <w:spacing w:before="0"/>
        <w:rPr>
          <w:i/>
        </w:rPr>
      </w:pPr>
      <w:r w:rsidRPr="009D0DEC">
        <w:rPr>
          <w:i/>
        </w:rPr>
        <w:t>A CEL analisou o recurso, o qual esclarecia algumas informações prestadas no Sumário técnico apresentado por ocasião da qualificação, e apreciou o novo relatório de qualificação técnica, financeira e jurídica da licitante, decidindo qualificá-la por fim como Operadora B.</w:t>
      </w:r>
    </w:p>
    <w:p w14:paraId="370DF3D9" w14:textId="77777777" w:rsidR="009D0DEC" w:rsidRPr="009D0DEC" w:rsidRDefault="009D0DEC" w:rsidP="009D0DEC">
      <w:pPr>
        <w:pStyle w:val="Relatrio"/>
        <w:spacing w:before="0"/>
        <w:rPr>
          <w:i/>
        </w:rPr>
      </w:pPr>
      <w:r w:rsidRPr="009D0DEC">
        <w:rPr>
          <w:i/>
        </w:rPr>
        <w:t>Dessa forma, com base nos resultados da sessão pública de apresentação de ofertas da 4ª Rodada de Licitação de Áreas com Acumulações Marginais, a CEL propôs à Diretoria Colegiada da ANP a adjudicação de oito áreas com acumulações marginais a seis licitantes vencedoras, conforme a imagem abaixo:</w:t>
      </w:r>
    </w:p>
    <w:p w14:paraId="2D509BEF" w14:textId="77777777" w:rsidR="009D0DEC" w:rsidRPr="009D0DEC" w:rsidRDefault="009D0DEC" w:rsidP="009D0DEC">
      <w:pPr>
        <w:pStyle w:val="Legenda"/>
        <w:keepNext/>
        <w:spacing w:before="0"/>
        <w:rPr>
          <w:i/>
        </w:rPr>
      </w:pPr>
      <w:r w:rsidRPr="009D0DEC">
        <w:rPr>
          <w:i/>
        </w:rPr>
        <w:t>Tabela 2 - Proposta de Adjudicação das Licitantes Vencedoras e respectivos Bônus ofertados</w:t>
      </w:r>
    </w:p>
    <w:tbl>
      <w:tblPr>
        <w:tblStyle w:val="Tabelacomgrade"/>
        <w:tblW w:w="0" w:type="auto"/>
        <w:tblInd w:w="108" w:type="dxa"/>
        <w:tblLayout w:type="fixed"/>
        <w:tblLook w:val="04A0" w:firstRow="1" w:lastRow="0" w:firstColumn="1" w:lastColumn="0" w:noHBand="0" w:noVBand="1"/>
      </w:tblPr>
      <w:tblGrid>
        <w:gridCol w:w="1276"/>
        <w:gridCol w:w="1134"/>
        <w:gridCol w:w="1559"/>
        <w:gridCol w:w="4253"/>
        <w:gridCol w:w="1417"/>
      </w:tblGrid>
      <w:tr w:rsidR="009D0DEC" w:rsidRPr="009D0DEC" w14:paraId="1DAE35BF" w14:textId="77777777">
        <w:tc>
          <w:tcPr>
            <w:tcW w:w="1276" w:type="dxa"/>
            <w:tcMar>
              <w:top w:w="0" w:type="dxa"/>
              <w:left w:w="108" w:type="dxa"/>
              <w:bottom w:w="0" w:type="dxa"/>
              <w:right w:w="108" w:type="dxa"/>
            </w:tcMar>
            <w:vAlign w:val="center"/>
          </w:tcPr>
          <w:p w14:paraId="087AD9F9" w14:textId="77777777" w:rsidR="009D0DEC" w:rsidRPr="009D0DEC" w:rsidRDefault="009D0DEC" w:rsidP="009D0DEC">
            <w:pPr>
              <w:pStyle w:val="Legenda"/>
              <w:keepNext/>
              <w:widowControl/>
              <w:spacing w:before="0"/>
              <w:rPr>
                <w:i/>
                <w:sz w:val="22"/>
                <w:szCs w:val="22"/>
              </w:rPr>
            </w:pPr>
            <w:r w:rsidRPr="009D0DEC">
              <w:rPr>
                <w:i/>
                <w:sz w:val="22"/>
                <w:szCs w:val="22"/>
              </w:rPr>
              <w:t>BACIA</w:t>
            </w:r>
          </w:p>
        </w:tc>
        <w:tc>
          <w:tcPr>
            <w:tcW w:w="1134" w:type="dxa"/>
            <w:tcMar>
              <w:top w:w="0" w:type="dxa"/>
              <w:left w:w="108" w:type="dxa"/>
              <w:bottom w:w="0" w:type="dxa"/>
              <w:right w:w="108" w:type="dxa"/>
            </w:tcMar>
            <w:vAlign w:val="center"/>
          </w:tcPr>
          <w:p w14:paraId="6C08D722" w14:textId="77777777" w:rsidR="009D0DEC" w:rsidRPr="009D0DEC" w:rsidRDefault="009D0DEC" w:rsidP="009D0DEC">
            <w:pPr>
              <w:pStyle w:val="Legenda"/>
              <w:keepNext/>
              <w:widowControl/>
              <w:spacing w:before="0"/>
              <w:rPr>
                <w:i/>
                <w:sz w:val="22"/>
                <w:szCs w:val="22"/>
              </w:rPr>
            </w:pPr>
            <w:r w:rsidRPr="009D0DEC">
              <w:rPr>
                <w:i/>
                <w:sz w:val="22"/>
                <w:szCs w:val="22"/>
              </w:rPr>
              <w:t>SETOR</w:t>
            </w:r>
          </w:p>
        </w:tc>
        <w:tc>
          <w:tcPr>
            <w:tcW w:w="1559" w:type="dxa"/>
            <w:tcMar>
              <w:top w:w="0" w:type="dxa"/>
              <w:left w:w="108" w:type="dxa"/>
              <w:bottom w:w="0" w:type="dxa"/>
              <w:right w:w="108" w:type="dxa"/>
            </w:tcMar>
            <w:vAlign w:val="center"/>
          </w:tcPr>
          <w:p w14:paraId="2A321D9A" w14:textId="77777777" w:rsidR="009D0DEC" w:rsidRPr="009D0DEC" w:rsidRDefault="009D0DEC" w:rsidP="009D0DEC">
            <w:pPr>
              <w:pStyle w:val="Legenda"/>
              <w:keepNext/>
              <w:widowControl/>
              <w:spacing w:before="0"/>
              <w:rPr>
                <w:i/>
                <w:sz w:val="22"/>
                <w:szCs w:val="22"/>
              </w:rPr>
            </w:pPr>
            <w:r w:rsidRPr="009D0DEC">
              <w:rPr>
                <w:i/>
                <w:sz w:val="22"/>
                <w:szCs w:val="22"/>
              </w:rPr>
              <w:t>NOME FANTASIA</w:t>
            </w:r>
          </w:p>
        </w:tc>
        <w:tc>
          <w:tcPr>
            <w:tcW w:w="4253" w:type="dxa"/>
            <w:tcMar>
              <w:top w:w="0" w:type="dxa"/>
              <w:left w:w="108" w:type="dxa"/>
              <w:bottom w:w="0" w:type="dxa"/>
              <w:right w:w="108" w:type="dxa"/>
            </w:tcMar>
            <w:vAlign w:val="center"/>
          </w:tcPr>
          <w:p w14:paraId="5FA6664C" w14:textId="77777777" w:rsidR="009D0DEC" w:rsidRPr="009D0DEC" w:rsidRDefault="009D0DEC" w:rsidP="009D0DEC">
            <w:pPr>
              <w:pStyle w:val="Legenda"/>
              <w:keepNext/>
              <w:widowControl/>
              <w:spacing w:before="0"/>
              <w:rPr>
                <w:i/>
                <w:sz w:val="22"/>
                <w:szCs w:val="22"/>
              </w:rPr>
            </w:pPr>
            <w:r w:rsidRPr="009D0DEC">
              <w:rPr>
                <w:i/>
                <w:sz w:val="22"/>
                <w:szCs w:val="22"/>
              </w:rPr>
              <w:t>Empresa/Consórcio (operador)</w:t>
            </w:r>
          </w:p>
        </w:tc>
        <w:tc>
          <w:tcPr>
            <w:tcW w:w="1417" w:type="dxa"/>
            <w:tcMar>
              <w:top w:w="0" w:type="dxa"/>
              <w:left w:w="108" w:type="dxa"/>
              <w:bottom w:w="0" w:type="dxa"/>
              <w:right w:w="108" w:type="dxa"/>
            </w:tcMar>
            <w:vAlign w:val="center"/>
          </w:tcPr>
          <w:p w14:paraId="0DAF6B25" w14:textId="77777777" w:rsidR="009D0DEC" w:rsidRPr="009D0DEC" w:rsidRDefault="009D0DEC" w:rsidP="009D0DEC">
            <w:pPr>
              <w:pStyle w:val="Legenda"/>
              <w:keepNext/>
              <w:widowControl/>
              <w:spacing w:before="0"/>
              <w:rPr>
                <w:i/>
                <w:sz w:val="22"/>
                <w:szCs w:val="22"/>
              </w:rPr>
            </w:pPr>
            <w:r w:rsidRPr="009D0DEC">
              <w:rPr>
                <w:i/>
                <w:sz w:val="22"/>
                <w:szCs w:val="22"/>
              </w:rPr>
              <w:t>Bônus (R$)</w:t>
            </w:r>
          </w:p>
        </w:tc>
      </w:tr>
      <w:tr w:rsidR="009D0DEC" w:rsidRPr="009D0DEC" w14:paraId="3D009550" w14:textId="77777777">
        <w:tc>
          <w:tcPr>
            <w:tcW w:w="1276" w:type="dxa"/>
            <w:tcMar>
              <w:top w:w="0" w:type="dxa"/>
              <w:left w:w="108" w:type="dxa"/>
              <w:bottom w:w="0" w:type="dxa"/>
              <w:right w:w="108" w:type="dxa"/>
            </w:tcMar>
            <w:vAlign w:val="center"/>
          </w:tcPr>
          <w:p w14:paraId="3F50A8EB" w14:textId="77777777" w:rsidR="009D0DEC" w:rsidRPr="009D0DEC" w:rsidRDefault="009D0DEC" w:rsidP="009D0DEC">
            <w:pPr>
              <w:pStyle w:val="Legenda"/>
              <w:keepNext/>
              <w:widowControl/>
              <w:spacing w:before="0"/>
              <w:rPr>
                <w:i/>
                <w:sz w:val="22"/>
                <w:szCs w:val="22"/>
              </w:rPr>
            </w:pPr>
            <w:r w:rsidRPr="009D0DEC">
              <w:rPr>
                <w:i/>
                <w:sz w:val="22"/>
                <w:szCs w:val="22"/>
              </w:rPr>
              <w:t>Espírito Santo</w:t>
            </w:r>
          </w:p>
        </w:tc>
        <w:tc>
          <w:tcPr>
            <w:tcW w:w="1134" w:type="dxa"/>
            <w:tcMar>
              <w:top w:w="0" w:type="dxa"/>
              <w:left w:w="108" w:type="dxa"/>
              <w:bottom w:w="0" w:type="dxa"/>
              <w:right w:w="108" w:type="dxa"/>
            </w:tcMar>
            <w:vAlign w:val="center"/>
          </w:tcPr>
          <w:p w14:paraId="146D129F" w14:textId="77777777" w:rsidR="009D0DEC" w:rsidRPr="009D0DEC" w:rsidRDefault="009D0DEC" w:rsidP="009D0DEC">
            <w:pPr>
              <w:pStyle w:val="Legenda"/>
              <w:keepNext/>
              <w:widowControl/>
              <w:spacing w:before="0"/>
              <w:rPr>
                <w:i/>
                <w:sz w:val="22"/>
                <w:szCs w:val="22"/>
              </w:rPr>
            </w:pPr>
            <w:r w:rsidRPr="009D0DEC">
              <w:rPr>
                <w:i/>
                <w:sz w:val="22"/>
                <w:szCs w:val="22"/>
              </w:rPr>
              <w:t>SES-T4</w:t>
            </w:r>
          </w:p>
        </w:tc>
        <w:tc>
          <w:tcPr>
            <w:tcW w:w="1559" w:type="dxa"/>
            <w:tcMar>
              <w:top w:w="0" w:type="dxa"/>
              <w:left w:w="108" w:type="dxa"/>
              <w:bottom w:w="0" w:type="dxa"/>
              <w:right w:w="108" w:type="dxa"/>
            </w:tcMar>
            <w:vAlign w:val="center"/>
          </w:tcPr>
          <w:p w14:paraId="377009AC" w14:textId="77777777" w:rsidR="009D0DEC" w:rsidRPr="009D0DEC" w:rsidRDefault="009D0DEC" w:rsidP="009D0DEC">
            <w:pPr>
              <w:pStyle w:val="Legenda"/>
              <w:keepNext/>
              <w:widowControl/>
              <w:spacing w:before="0"/>
              <w:jc w:val="left"/>
              <w:rPr>
                <w:i/>
                <w:sz w:val="22"/>
                <w:szCs w:val="22"/>
              </w:rPr>
            </w:pPr>
            <w:r w:rsidRPr="009D0DEC">
              <w:rPr>
                <w:i/>
                <w:sz w:val="22"/>
                <w:szCs w:val="22"/>
              </w:rPr>
              <w:t>Garça Branca</w:t>
            </w:r>
          </w:p>
        </w:tc>
        <w:tc>
          <w:tcPr>
            <w:tcW w:w="4253" w:type="dxa"/>
            <w:tcMar>
              <w:top w:w="0" w:type="dxa"/>
              <w:left w:w="108" w:type="dxa"/>
              <w:bottom w:w="0" w:type="dxa"/>
              <w:right w:w="108" w:type="dxa"/>
            </w:tcMar>
            <w:vAlign w:val="center"/>
          </w:tcPr>
          <w:p w14:paraId="602FCFE4" w14:textId="77777777" w:rsidR="009D0DEC" w:rsidRPr="009D0DEC" w:rsidRDefault="009D0DEC" w:rsidP="009D0DEC">
            <w:pPr>
              <w:pStyle w:val="Legenda"/>
              <w:keepNext/>
              <w:widowControl/>
              <w:spacing w:before="0"/>
              <w:jc w:val="left"/>
              <w:rPr>
                <w:i/>
                <w:sz w:val="22"/>
                <w:szCs w:val="22"/>
              </w:rPr>
            </w:pPr>
            <w:r w:rsidRPr="009D0DEC">
              <w:rPr>
                <w:i/>
                <w:sz w:val="22"/>
                <w:szCs w:val="22"/>
              </w:rPr>
              <w:t>Petrol Serviços de Sondagem Ltda. - EPP (100%)</w:t>
            </w:r>
          </w:p>
        </w:tc>
        <w:tc>
          <w:tcPr>
            <w:tcW w:w="1417" w:type="dxa"/>
            <w:tcMar>
              <w:top w:w="0" w:type="dxa"/>
              <w:left w:w="108" w:type="dxa"/>
              <w:bottom w:w="0" w:type="dxa"/>
              <w:right w:w="108" w:type="dxa"/>
            </w:tcMar>
            <w:vAlign w:val="center"/>
          </w:tcPr>
          <w:p w14:paraId="254757D0" w14:textId="77777777" w:rsidR="009D0DEC" w:rsidRPr="009D0DEC" w:rsidRDefault="009D0DEC" w:rsidP="009D0DEC">
            <w:pPr>
              <w:pStyle w:val="Legenda"/>
              <w:keepNext/>
              <w:widowControl/>
              <w:spacing w:before="0"/>
              <w:jc w:val="right"/>
              <w:rPr>
                <w:i/>
                <w:sz w:val="22"/>
                <w:szCs w:val="22"/>
              </w:rPr>
            </w:pPr>
            <w:r w:rsidRPr="009D0DEC">
              <w:rPr>
                <w:i/>
                <w:sz w:val="22"/>
                <w:szCs w:val="22"/>
              </w:rPr>
              <w:t>23.500,00</w:t>
            </w:r>
          </w:p>
        </w:tc>
      </w:tr>
      <w:tr w:rsidR="009D0DEC" w:rsidRPr="009D0DEC" w14:paraId="64BA4B71" w14:textId="77777777">
        <w:tc>
          <w:tcPr>
            <w:tcW w:w="1276" w:type="dxa"/>
            <w:tcMar>
              <w:top w:w="0" w:type="dxa"/>
              <w:left w:w="108" w:type="dxa"/>
              <w:bottom w:w="0" w:type="dxa"/>
              <w:right w:w="108" w:type="dxa"/>
            </w:tcMar>
            <w:vAlign w:val="center"/>
          </w:tcPr>
          <w:p w14:paraId="5A6CF43B" w14:textId="77777777" w:rsidR="009D0DEC" w:rsidRPr="009D0DEC" w:rsidRDefault="009D0DEC" w:rsidP="009D0DEC">
            <w:pPr>
              <w:pStyle w:val="Legenda"/>
              <w:keepNext/>
              <w:widowControl/>
              <w:spacing w:before="0"/>
              <w:rPr>
                <w:i/>
                <w:sz w:val="22"/>
                <w:szCs w:val="22"/>
              </w:rPr>
            </w:pPr>
            <w:r w:rsidRPr="009D0DEC">
              <w:rPr>
                <w:i/>
                <w:sz w:val="22"/>
                <w:szCs w:val="22"/>
              </w:rPr>
              <w:t>Espírito Santo</w:t>
            </w:r>
          </w:p>
        </w:tc>
        <w:tc>
          <w:tcPr>
            <w:tcW w:w="1134" w:type="dxa"/>
            <w:tcMar>
              <w:top w:w="0" w:type="dxa"/>
              <w:left w:w="108" w:type="dxa"/>
              <w:bottom w:w="0" w:type="dxa"/>
              <w:right w:w="108" w:type="dxa"/>
            </w:tcMar>
            <w:vAlign w:val="center"/>
          </w:tcPr>
          <w:p w14:paraId="20E250EE" w14:textId="77777777" w:rsidR="009D0DEC" w:rsidRPr="009D0DEC" w:rsidRDefault="009D0DEC" w:rsidP="009D0DEC">
            <w:pPr>
              <w:pStyle w:val="Legenda"/>
              <w:keepNext/>
              <w:widowControl/>
              <w:spacing w:before="0"/>
              <w:rPr>
                <w:i/>
                <w:sz w:val="22"/>
                <w:szCs w:val="22"/>
              </w:rPr>
            </w:pPr>
            <w:r w:rsidRPr="009D0DEC">
              <w:rPr>
                <w:i/>
                <w:sz w:val="22"/>
                <w:szCs w:val="22"/>
              </w:rPr>
              <w:t>SES-T4</w:t>
            </w:r>
          </w:p>
        </w:tc>
        <w:tc>
          <w:tcPr>
            <w:tcW w:w="1559" w:type="dxa"/>
            <w:tcMar>
              <w:top w:w="0" w:type="dxa"/>
              <w:left w:w="108" w:type="dxa"/>
              <w:bottom w:w="0" w:type="dxa"/>
              <w:right w:w="108" w:type="dxa"/>
            </w:tcMar>
            <w:vAlign w:val="center"/>
          </w:tcPr>
          <w:p w14:paraId="2547779B" w14:textId="77777777" w:rsidR="009D0DEC" w:rsidRPr="009D0DEC" w:rsidRDefault="009D0DEC" w:rsidP="009D0DEC">
            <w:pPr>
              <w:pStyle w:val="Legenda"/>
              <w:keepNext/>
              <w:widowControl/>
              <w:spacing w:before="0"/>
              <w:jc w:val="left"/>
              <w:rPr>
                <w:i/>
                <w:sz w:val="22"/>
                <w:szCs w:val="22"/>
              </w:rPr>
            </w:pPr>
            <w:r w:rsidRPr="009D0DEC">
              <w:rPr>
                <w:i/>
                <w:sz w:val="22"/>
                <w:szCs w:val="22"/>
              </w:rPr>
              <w:t>Rio Mariricu</w:t>
            </w:r>
          </w:p>
        </w:tc>
        <w:tc>
          <w:tcPr>
            <w:tcW w:w="4253" w:type="dxa"/>
            <w:tcMar>
              <w:top w:w="0" w:type="dxa"/>
              <w:left w:w="108" w:type="dxa"/>
              <w:bottom w:w="0" w:type="dxa"/>
              <w:right w:w="108" w:type="dxa"/>
            </w:tcMar>
            <w:vAlign w:val="center"/>
          </w:tcPr>
          <w:p w14:paraId="41C4312D" w14:textId="77777777" w:rsidR="009D0DEC" w:rsidRPr="009D0DEC" w:rsidRDefault="009D0DEC" w:rsidP="009D0DEC">
            <w:pPr>
              <w:pStyle w:val="Legenda"/>
              <w:keepNext/>
              <w:widowControl/>
              <w:spacing w:before="0"/>
              <w:jc w:val="left"/>
              <w:rPr>
                <w:i/>
                <w:sz w:val="22"/>
                <w:szCs w:val="22"/>
              </w:rPr>
            </w:pPr>
            <w:r w:rsidRPr="009D0DEC">
              <w:rPr>
                <w:i/>
                <w:sz w:val="22"/>
                <w:szCs w:val="22"/>
              </w:rPr>
              <w:t>Ubuntu Engenharia e Serviços Ltda. - ME (100%)</w:t>
            </w:r>
          </w:p>
        </w:tc>
        <w:tc>
          <w:tcPr>
            <w:tcW w:w="1417" w:type="dxa"/>
            <w:tcMar>
              <w:top w:w="0" w:type="dxa"/>
              <w:left w:w="108" w:type="dxa"/>
              <w:bottom w:w="0" w:type="dxa"/>
              <w:right w:w="108" w:type="dxa"/>
            </w:tcMar>
            <w:vAlign w:val="center"/>
          </w:tcPr>
          <w:p w14:paraId="1E9F6A36" w14:textId="77777777" w:rsidR="009D0DEC" w:rsidRPr="009D0DEC" w:rsidRDefault="009D0DEC" w:rsidP="009D0DEC">
            <w:pPr>
              <w:pStyle w:val="Legenda"/>
              <w:keepNext/>
              <w:widowControl/>
              <w:spacing w:before="0"/>
              <w:jc w:val="right"/>
              <w:rPr>
                <w:i/>
                <w:sz w:val="22"/>
                <w:szCs w:val="22"/>
              </w:rPr>
            </w:pPr>
            <w:r w:rsidRPr="009D0DEC">
              <w:rPr>
                <w:i/>
                <w:sz w:val="22"/>
                <w:szCs w:val="22"/>
              </w:rPr>
              <w:t>808.888,00</w:t>
            </w:r>
          </w:p>
        </w:tc>
      </w:tr>
      <w:tr w:rsidR="009D0DEC" w:rsidRPr="009D0DEC" w14:paraId="56E45FF9" w14:textId="77777777">
        <w:tc>
          <w:tcPr>
            <w:tcW w:w="1276" w:type="dxa"/>
            <w:tcMar>
              <w:top w:w="0" w:type="dxa"/>
              <w:left w:w="108" w:type="dxa"/>
              <w:bottom w:w="0" w:type="dxa"/>
              <w:right w:w="108" w:type="dxa"/>
            </w:tcMar>
            <w:vAlign w:val="center"/>
          </w:tcPr>
          <w:p w14:paraId="59ED263C" w14:textId="77777777" w:rsidR="009D0DEC" w:rsidRPr="009D0DEC" w:rsidRDefault="009D0DEC" w:rsidP="009D0DEC">
            <w:pPr>
              <w:pStyle w:val="Legenda"/>
              <w:keepNext/>
              <w:widowControl/>
              <w:spacing w:before="0"/>
              <w:rPr>
                <w:i/>
                <w:sz w:val="22"/>
                <w:szCs w:val="22"/>
              </w:rPr>
            </w:pPr>
            <w:r w:rsidRPr="009D0DEC">
              <w:rPr>
                <w:i/>
                <w:sz w:val="22"/>
                <w:szCs w:val="22"/>
              </w:rPr>
              <w:t>Potiguar</w:t>
            </w:r>
          </w:p>
        </w:tc>
        <w:tc>
          <w:tcPr>
            <w:tcW w:w="1134" w:type="dxa"/>
            <w:tcMar>
              <w:top w:w="0" w:type="dxa"/>
              <w:left w:w="108" w:type="dxa"/>
              <w:bottom w:w="0" w:type="dxa"/>
              <w:right w:w="108" w:type="dxa"/>
            </w:tcMar>
            <w:vAlign w:val="center"/>
          </w:tcPr>
          <w:p w14:paraId="79E0B31F" w14:textId="77777777" w:rsidR="009D0DEC" w:rsidRPr="009D0DEC" w:rsidRDefault="009D0DEC" w:rsidP="009D0DEC">
            <w:pPr>
              <w:pStyle w:val="Legenda"/>
              <w:keepNext/>
              <w:widowControl/>
              <w:spacing w:before="0"/>
              <w:rPr>
                <w:i/>
                <w:sz w:val="22"/>
                <w:szCs w:val="22"/>
              </w:rPr>
            </w:pPr>
            <w:r w:rsidRPr="009D0DEC">
              <w:rPr>
                <w:i/>
                <w:sz w:val="22"/>
                <w:szCs w:val="22"/>
              </w:rPr>
              <w:t>SPOT-T3</w:t>
            </w:r>
          </w:p>
        </w:tc>
        <w:tc>
          <w:tcPr>
            <w:tcW w:w="1559" w:type="dxa"/>
            <w:tcMar>
              <w:top w:w="0" w:type="dxa"/>
              <w:left w:w="108" w:type="dxa"/>
              <w:bottom w:w="0" w:type="dxa"/>
              <w:right w:w="108" w:type="dxa"/>
            </w:tcMar>
            <w:vAlign w:val="center"/>
          </w:tcPr>
          <w:p w14:paraId="3C44989C" w14:textId="77777777" w:rsidR="009D0DEC" w:rsidRPr="009D0DEC" w:rsidRDefault="009D0DEC" w:rsidP="009D0DEC">
            <w:pPr>
              <w:pStyle w:val="Legenda"/>
              <w:keepNext/>
              <w:widowControl/>
              <w:spacing w:before="0"/>
              <w:jc w:val="left"/>
              <w:rPr>
                <w:i/>
                <w:sz w:val="22"/>
                <w:szCs w:val="22"/>
              </w:rPr>
            </w:pPr>
            <w:r w:rsidRPr="009D0DEC">
              <w:rPr>
                <w:i/>
                <w:sz w:val="22"/>
                <w:szCs w:val="22"/>
              </w:rPr>
              <w:t>Urutau</w:t>
            </w:r>
          </w:p>
        </w:tc>
        <w:tc>
          <w:tcPr>
            <w:tcW w:w="4253" w:type="dxa"/>
            <w:tcMar>
              <w:top w:w="0" w:type="dxa"/>
              <w:left w:w="108" w:type="dxa"/>
              <w:bottom w:w="0" w:type="dxa"/>
              <w:right w:w="108" w:type="dxa"/>
            </w:tcMar>
            <w:vAlign w:val="center"/>
          </w:tcPr>
          <w:p w14:paraId="2E9F6553" w14:textId="77777777" w:rsidR="009D0DEC" w:rsidRPr="009D0DEC" w:rsidRDefault="009D0DEC" w:rsidP="009D0DEC">
            <w:pPr>
              <w:pStyle w:val="Legenda"/>
              <w:keepNext/>
              <w:widowControl/>
              <w:spacing w:before="0"/>
              <w:jc w:val="left"/>
              <w:rPr>
                <w:i/>
                <w:sz w:val="22"/>
                <w:szCs w:val="22"/>
              </w:rPr>
            </w:pPr>
            <w:r w:rsidRPr="009D0DEC">
              <w:rPr>
                <w:i/>
                <w:sz w:val="22"/>
                <w:szCs w:val="22"/>
              </w:rPr>
              <w:t>Ubuntu Engenharia e Serviços Ltda. - ME (100%)</w:t>
            </w:r>
          </w:p>
        </w:tc>
        <w:tc>
          <w:tcPr>
            <w:tcW w:w="1417" w:type="dxa"/>
            <w:tcMar>
              <w:top w:w="0" w:type="dxa"/>
              <w:left w:w="108" w:type="dxa"/>
              <w:bottom w:w="0" w:type="dxa"/>
              <w:right w:w="108" w:type="dxa"/>
            </w:tcMar>
            <w:vAlign w:val="center"/>
          </w:tcPr>
          <w:p w14:paraId="33FEF406" w14:textId="77777777" w:rsidR="009D0DEC" w:rsidRPr="009D0DEC" w:rsidRDefault="009D0DEC" w:rsidP="009D0DEC">
            <w:pPr>
              <w:pStyle w:val="Legenda"/>
              <w:keepNext/>
              <w:widowControl/>
              <w:spacing w:before="0"/>
              <w:jc w:val="right"/>
              <w:rPr>
                <w:i/>
                <w:sz w:val="22"/>
                <w:szCs w:val="22"/>
              </w:rPr>
            </w:pPr>
            <w:r w:rsidRPr="009D0DEC">
              <w:rPr>
                <w:i/>
                <w:sz w:val="22"/>
                <w:szCs w:val="22"/>
              </w:rPr>
              <w:t>111.111,00</w:t>
            </w:r>
          </w:p>
        </w:tc>
      </w:tr>
      <w:tr w:rsidR="009D0DEC" w:rsidRPr="009D0DEC" w14:paraId="35A03444" w14:textId="77777777">
        <w:tc>
          <w:tcPr>
            <w:tcW w:w="1276" w:type="dxa"/>
            <w:tcMar>
              <w:top w:w="0" w:type="dxa"/>
              <w:left w:w="108" w:type="dxa"/>
              <w:bottom w:w="0" w:type="dxa"/>
              <w:right w:w="108" w:type="dxa"/>
            </w:tcMar>
            <w:vAlign w:val="center"/>
          </w:tcPr>
          <w:p w14:paraId="1242AC7A" w14:textId="77777777" w:rsidR="009D0DEC" w:rsidRPr="009D0DEC" w:rsidRDefault="009D0DEC" w:rsidP="009D0DEC">
            <w:pPr>
              <w:pStyle w:val="Legenda"/>
              <w:keepNext/>
              <w:widowControl/>
              <w:spacing w:before="0"/>
              <w:rPr>
                <w:i/>
                <w:sz w:val="22"/>
                <w:szCs w:val="22"/>
              </w:rPr>
            </w:pPr>
            <w:r w:rsidRPr="009D0DEC">
              <w:rPr>
                <w:i/>
                <w:sz w:val="22"/>
                <w:szCs w:val="22"/>
              </w:rPr>
              <w:t>Potiguar</w:t>
            </w:r>
          </w:p>
        </w:tc>
        <w:tc>
          <w:tcPr>
            <w:tcW w:w="1134" w:type="dxa"/>
            <w:tcMar>
              <w:top w:w="0" w:type="dxa"/>
              <w:left w:w="108" w:type="dxa"/>
              <w:bottom w:w="0" w:type="dxa"/>
              <w:right w:w="108" w:type="dxa"/>
            </w:tcMar>
            <w:vAlign w:val="center"/>
          </w:tcPr>
          <w:p w14:paraId="22DF6FB5" w14:textId="77777777" w:rsidR="009D0DEC" w:rsidRPr="009D0DEC" w:rsidRDefault="009D0DEC" w:rsidP="009D0DEC">
            <w:pPr>
              <w:pStyle w:val="Legenda"/>
              <w:keepNext/>
              <w:widowControl/>
              <w:spacing w:before="0"/>
              <w:rPr>
                <w:i/>
                <w:sz w:val="22"/>
                <w:szCs w:val="22"/>
              </w:rPr>
            </w:pPr>
            <w:r w:rsidRPr="009D0DEC">
              <w:rPr>
                <w:i/>
                <w:sz w:val="22"/>
                <w:szCs w:val="22"/>
              </w:rPr>
              <w:t>SPOT-T4</w:t>
            </w:r>
          </w:p>
        </w:tc>
        <w:tc>
          <w:tcPr>
            <w:tcW w:w="1559" w:type="dxa"/>
            <w:tcMar>
              <w:top w:w="0" w:type="dxa"/>
              <w:left w:w="108" w:type="dxa"/>
              <w:bottom w:w="0" w:type="dxa"/>
              <w:right w:w="108" w:type="dxa"/>
            </w:tcMar>
            <w:vAlign w:val="center"/>
          </w:tcPr>
          <w:p w14:paraId="70CD2CBF" w14:textId="77777777" w:rsidR="009D0DEC" w:rsidRPr="009D0DEC" w:rsidRDefault="009D0DEC" w:rsidP="009D0DEC">
            <w:pPr>
              <w:pStyle w:val="Legenda"/>
              <w:keepNext/>
              <w:widowControl/>
              <w:spacing w:before="0"/>
              <w:jc w:val="left"/>
              <w:rPr>
                <w:i/>
                <w:sz w:val="22"/>
                <w:szCs w:val="22"/>
              </w:rPr>
            </w:pPr>
            <w:r w:rsidRPr="009D0DEC">
              <w:rPr>
                <w:i/>
                <w:sz w:val="22"/>
                <w:szCs w:val="22"/>
              </w:rPr>
              <w:t>Iraúna</w:t>
            </w:r>
          </w:p>
        </w:tc>
        <w:tc>
          <w:tcPr>
            <w:tcW w:w="4253" w:type="dxa"/>
            <w:tcMar>
              <w:top w:w="0" w:type="dxa"/>
              <w:left w:w="108" w:type="dxa"/>
              <w:bottom w:w="0" w:type="dxa"/>
              <w:right w:w="108" w:type="dxa"/>
            </w:tcMar>
            <w:vAlign w:val="center"/>
          </w:tcPr>
          <w:p w14:paraId="0A3A8BDC" w14:textId="77777777" w:rsidR="009D0DEC" w:rsidRPr="009D0DEC" w:rsidRDefault="009D0DEC" w:rsidP="009D0DEC">
            <w:pPr>
              <w:pStyle w:val="Legenda"/>
              <w:keepNext/>
              <w:widowControl/>
              <w:spacing w:before="0"/>
              <w:jc w:val="left"/>
              <w:rPr>
                <w:i/>
                <w:sz w:val="22"/>
                <w:szCs w:val="22"/>
              </w:rPr>
            </w:pPr>
            <w:r w:rsidRPr="009D0DEC">
              <w:rPr>
                <w:i/>
                <w:sz w:val="22"/>
                <w:szCs w:val="22"/>
              </w:rPr>
              <w:t>Imetame Energia Ltda. (100%)</w:t>
            </w:r>
          </w:p>
        </w:tc>
        <w:tc>
          <w:tcPr>
            <w:tcW w:w="1417" w:type="dxa"/>
            <w:tcMar>
              <w:top w:w="0" w:type="dxa"/>
              <w:left w:w="108" w:type="dxa"/>
              <w:bottom w:w="0" w:type="dxa"/>
              <w:right w:w="108" w:type="dxa"/>
            </w:tcMar>
            <w:vAlign w:val="center"/>
          </w:tcPr>
          <w:p w14:paraId="03141CC4" w14:textId="77777777" w:rsidR="009D0DEC" w:rsidRPr="009D0DEC" w:rsidRDefault="009D0DEC" w:rsidP="009D0DEC">
            <w:pPr>
              <w:pStyle w:val="Legenda"/>
              <w:keepNext/>
              <w:widowControl/>
              <w:spacing w:before="0"/>
              <w:jc w:val="right"/>
              <w:rPr>
                <w:i/>
                <w:sz w:val="22"/>
                <w:szCs w:val="22"/>
              </w:rPr>
            </w:pPr>
            <w:r w:rsidRPr="009D0DEC">
              <w:rPr>
                <w:i/>
                <w:sz w:val="22"/>
                <w:szCs w:val="22"/>
              </w:rPr>
              <w:t>70.061,00</w:t>
            </w:r>
          </w:p>
        </w:tc>
      </w:tr>
      <w:tr w:rsidR="009D0DEC" w:rsidRPr="009D0DEC" w14:paraId="726A780D" w14:textId="77777777">
        <w:tc>
          <w:tcPr>
            <w:tcW w:w="1276" w:type="dxa"/>
            <w:tcMar>
              <w:top w:w="0" w:type="dxa"/>
              <w:left w:w="108" w:type="dxa"/>
              <w:bottom w:w="0" w:type="dxa"/>
              <w:right w:w="108" w:type="dxa"/>
            </w:tcMar>
            <w:vAlign w:val="center"/>
          </w:tcPr>
          <w:p w14:paraId="5E01DCDC" w14:textId="77777777" w:rsidR="009D0DEC" w:rsidRPr="009D0DEC" w:rsidRDefault="009D0DEC" w:rsidP="009D0DEC">
            <w:pPr>
              <w:pStyle w:val="Legenda"/>
              <w:keepNext/>
              <w:widowControl/>
              <w:spacing w:before="0"/>
              <w:rPr>
                <w:i/>
                <w:sz w:val="22"/>
                <w:szCs w:val="22"/>
              </w:rPr>
            </w:pPr>
            <w:r w:rsidRPr="009D0DEC">
              <w:rPr>
                <w:i/>
                <w:sz w:val="22"/>
                <w:szCs w:val="22"/>
              </w:rPr>
              <w:t>Recôncavo</w:t>
            </w:r>
          </w:p>
        </w:tc>
        <w:tc>
          <w:tcPr>
            <w:tcW w:w="1134" w:type="dxa"/>
            <w:tcMar>
              <w:top w:w="0" w:type="dxa"/>
              <w:left w:w="108" w:type="dxa"/>
              <w:bottom w:w="0" w:type="dxa"/>
              <w:right w:w="108" w:type="dxa"/>
            </w:tcMar>
            <w:vAlign w:val="center"/>
          </w:tcPr>
          <w:p w14:paraId="0882D1B2" w14:textId="77777777" w:rsidR="009D0DEC" w:rsidRPr="009D0DEC" w:rsidRDefault="009D0DEC" w:rsidP="009D0DEC">
            <w:pPr>
              <w:pStyle w:val="Legenda"/>
              <w:keepNext/>
              <w:widowControl/>
              <w:spacing w:before="0"/>
              <w:rPr>
                <w:i/>
                <w:sz w:val="22"/>
                <w:szCs w:val="22"/>
              </w:rPr>
            </w:pPr>
            <w:r w:rsidRPr="009D0DEC">
              <w:rPr>
                <w:i/>
                <w:sz w:val="22"/>
                <w:szCs w:val="22"/>
              </w:rPr>
              <w:t>SREC-C</w:t>
            </w:r>
          </w:p>
        </w:tc>
        <w:tc>
          <w:tcPr>
            <w:tcW w:w="1559" w:type="dxa"/>
            <w:tcMar>
              <w:top w:w="0" w:type="dxa"/>
              <w:left w:w="108" w:type="dxa"/>
              <w:bottom w:w="0" w:type="dxa"/>
              <w:right w:w="108" w:type="dxa"/>
            </w:tcMar>
            <w:vAlign w:val="center"/>
          </w:tcPr>
          <w:p w14:paraId="1DB3511D" w14:textId="77777777" w:rsidR="009D0DEC" w:rsidRPr="009D0DEC" w:rsidRDefault="009D0DEC" w:rsidP="009D0DEC">
            <w:pPr>
              <w:pStyle w:val="Legenda"/>
              <w:keepNext/>
              <w:widowControl/>
              <w:spacing w:before="0"/>
              <w:jc w:val="left"/>
              <w:rPr>
                <w:i/>
                <w:sz w:val="22"/>
                <w:szCs w:val="22"/>
              </w:rPr>
            </w:pPr>
            <w:r w:rsidRPr="009D0DEC">
              <w:rPr>
                <w:i/>
                <w:sz w:val="22"/>
                <w:szCs w:val="22"/>
              </w:rPr>
              <w:t>Itaparica</w:t>
            </w:r>
          </w:p>
        </w:tc>
        <w:tc>
          <w:tcPr>
            <w:tcW w:w="4253" w:type="dxa"/>
            <w:tcMar>
              <w:top w:w="0" w:type="dxa"/>
              <w:left w:w="108" w:type="dxa"/>
              <w:bottom w:w="0" w:type="dxa"/>
              <w:right w:w="108" w:type="dxa"/>
            </w:tcMar>
            <w:vAlign w:val="center"/>
          </w:tcPr>
          <w:p w14:paraId="033B88E6" w14:textId="77777777" w:rsidR="009D0DEC" w:rsidRPr="009D0DEC" w:rsidRDefault="009D0DEC" w:rsidP="009D0DEC">
            <w:pPr>
              <w:pStyle w:val="Legenda"/>
              <w:keepNext/>
              <w:widowControl/>
              <w:spacing w:before="0"/>
              <w:jc w:val="left"/>
              <w:rPr>
                <w:i/>
                <w:sz w:val="22"/>
                <w:szCs w:val="22"/>
              </w:rPr>
            </w:pPr>
            <w:r w:rsidRPr="009D0DEC">
              <w:rPr>
                <w:i/>
                <w:sz w:val="22"/>
                <w:szCs w:val="22"/>
              </w:rPr>
              <w:t>Newo Óleo e Gás Ltda. - ME (100%)</w:t>
            </w:r>
          </w:p>
        </w:tc>
        <w:tc>
          <w:tcPr>
            <w:tcW w:w="1417" w:type="dxa"/>
            <w:tcMar>
              <w:top w:w="0" w:type="dxa"/>
              <w:left w:w="108" w:type="dxa"/>
              <w:bottom w:w="0" w:type="dxa"/>
              <w:right w:w="108" w:type="dxa"/>
            </w:tcMar>
            <w:vAlign w:val="center"/>
          </w:tcPr>
          <w:p w14:paraId="1DFF9E59" w14:textId="77777777" w:rsidR="009D0DEC" w:rsidRPr="009D0DEC" w:rsidRDefault="009D0DEC" w:rsidP="009D0DEC">
            <w:pPr>
              <w:pStyle w:val="Legenda"/>
              <w:keepNext/>
              <w:widowControl/>
              <w:spacing w:before="0"/>
              <w:jc w:val="right"/>
              <w:rPr>
                <w:i/>
                <w:sz w:val="22"/>
                <w:szCs w:val="22"/>
              </w:rPr>
            </w:pPr>
            <w:r w:rsidRPr="009D0DEC">
              <w:rPr>
                <w:i/>
                <w:sz w:val="22"/>
                <w:szCs w:val="22"/>
              </w:rPr>
              <w:t>5.710.000,00</w:t>
            </w:r>
          </w:p>
        </w:tc>
      </w:tr>
      <w:tr w:rsidR="009D0DEC" w:rsidRPr="009D0DEC" w14:paraId="1D15184D" w14:textId="77777777">
        <w:tc>
          <w:tcPr>
            <w:tcW w:w="1276" w:type="dxa"/>
            <w:tcMar>
              <w:top w:w="0" w:type="dxa"/>
              <w:left w:w="108" w:type="dxa"/>
              <w:bottom w:w="0" w:type="dxa"/>
              <w:right w:w="108" w:type="dxa"/>
            </w:tcMar>
            <w:vAlign w:val="center"/>
          </w:tcPr>
          <w:p w14:paraId="798C72A5" w14:textId="77777777" w:rsidR="009D0DEC" w:rsidRPr="009D0DEC" w:rsidRDefault="009D0DEC" w:rsidP="009D0DEC">
            <w:pPr>
              <w:pStyle w:val="Legenda"/>
              <w:keepNext/>
              <w:widowControl/>
              <w:spacing w:before="0"/>
              <w:rPr>
                <w:i/>
                <w:sz w:val="22"/>
                <w:szCs w:val="22"/>
              </w:rPr>
            </w:pPr>
            <w:r w:rsidRPr="009D0DEC">
              <w:rPr>
                <w:i/>
                <w:sz w:val="22"/>
                <w:szCs w:val="22"/>
              </w:rPr>
              <w:t>Recôncavo</w:t>
            </w:r>
          </w:p>
        </w:tc>
        <w:tc>
          <w:tcPr>
            <w:tcW w:w="1134" w:type="dxa"/>
            <w:tcMar>
              <w:top w:w="0" w:type="dxa"/>
              <w:left w:w="108" w:type="dxa"/>
              <w:bottom w:w="0" w:type="dxa"/>
              <w:right w:w="108" w:type="dxa"/>
            </w:tcMar>
            <w:vAlign w:val="center"/>
          </w:tcPr>
          <w:p w14:paraId="1C1721C0" w14:textId="77777777" w:rsidR="009D0DEC" w:rsidRPr="009D0DEC" w:rsidRDefault="009D0DEC" w:rsidP="009D0DEC">
            <w:pPr>
              <w:pStyle w:val="Legenda"/>
              <w:keepNext/>
              <w:widowControl/>
              <w:spacing w:before="0"/>
              <w:rPr>
                <w:i/>
                <w:sz w:val="22"/>
                <w:szCs w:val="22"/>
              </w:rPr>
            </w:pPr>
            <w:r w:rsidRPr="009D0DEC">
              <w:rPr>
                <w:i/>
                <w:sz w:val="22"/>
                <w:szCs w:val="22"/>
              </w:rPr>
              <w:t>SREC-T2</w:t>
            </w:r>
          </w:p>
        </w:tc>
        <w:tc>
          <w:tcPr>
            <w:tcW w:w="1559" w:type="dxa"/>
            <w:tcMar>
              <w:top w:w="0" w:type="dxa"/>
              <w:left w:w="108" w:type="dxa"/>
              <w:bottom w:w="0" w:type="dxa"/>
              <w:right w:w="108" w:type="dxa"/>
            </w:tcMar>
            <w:vAlign w:val="center"/>
          </w:tcPr>
          <w:p w14:paraId="3E767554" w14:textId="77777777" w:rsidR="009D0DEC" w:rsidRPr="009D0DEC" w:rsidRDefault="009D0DEC" w:rsidP="009D0DEC">
            <w:pPr>
              <w:pStyle w:val="Legenda"/>
              <w:keepNext/>
              <w:widowControl/>
              <w:spacing w:before="0"/>
              <w:jc w:val="left"/>
              <w:rPr>
                <w:i/>
                <w:sz w:val="22"/>
                <w:szCs w:val="22"/>
              </w:rPr>
            </w:pPr>
            <w:r w:rsidRPr="009D0DEC">
              <w:rPr>
                <w:i/>
                <w:sz w:val="22"/>
                <w:szCs w:val="22"/>
              </w:rPr>
              <w:t>Araçás Leste</w:t>
            </w:r>
          </w:p>
        </w:tc>
        <w:tc>
          <w:tcPr>
            <w:tcW w:w="4253" w:type="dxa"/>
            <w:tcMar>
              <w:top w:w="0" w:type="dxa"/>
              <w:left w:w="108" w:type="dxa"/>
              <w:bottom w:w="0" w:type="dxa"/>
              <w:right w:w="108" w:type="dxa"/>
            </w:tcMar>
            <w:vAlign w:val="center"/>
          </w:tcPr>
          <w:p w14:paraId="617FE24B" w14:textId="77777777" w:rsidR="009D0DEC" w:rsidRPr="009D0DEC" w:rsidRDefault="009D0DEC" w:rsidP="009D0DEC">
            <w:pPr>
              <w:pStyle w:val="Legenda"/>
              <w:keepNext/>
              <w:widowControl/>
              <w:spacing w:before="0"/>
              <w:jc w:val="left"/>
              <w:rPr>
                <w:i/>
                <w:sz w:val="22"/>
                <w:szCs w:val="22"/>
              </w:rPr>
            </w:pPr>
            <w:r w:rsidRPr="009D0DEC">
              <w:rPr>
                <w:i/>
                <w:sz w:val="22"/>
                <w:szCs w:val="22"/>
              </w:rPr>
              <w:t>Muncks &amp; Reboques Brasil Ltda. (100%)</w:t>
            </w:r>
          </w:p>
        </w:tc>
        <w:tc>
          <w:tcPr>
            <w:tcW w:w="1417" w:type="dxa"/>
            <w:tcMar>
              <w:top w:w="0" w:type="dxa"/>
              <w:left w:w="108" w:type="dxa"/>
              <w:bottom w:w="0" w:type="dxa"/>
              <w:right w:w="108" w:type="dxa"/>
            </w:tcMar>
            <w:vAlign w:val="center"/>
          </w:tcPr>
          <w:p w14:paraId="02193BBB" w14:textId="77777777" w:rsidR="009D0DEC" w:rsidRPr="009D0DEC" w:rsidRDefault="009D0DEC" w:rsidP="009D0DEC">
            <w:pPr>
              <w:pStyle w:val="Legenda"/>
              <w:keepNext/>
              <w:widowControl/>
              <w:spacing w:before="0"/>
              <w:jc w:val="right"/>
              <w:rPr>
                <w:i/>
                <w:sz w:val="22"/>
                <w:szCs w:val="22"/>
              </w:rPr>
            </w:pPr>
            <w:r w:rsidRPr="009D0DEC">
              <w:rPr>
                <w:i/>
                <w:sz w:val="22"/>
                <w:szCs w:val="22"/>
              </w:rPr>
              <w:t>357.777,00</w:t>
            </w:r>
          </w:p>
        </w:tc>
      </w:tr>
      <w:tr w:rsidR="009D0DEC" w:rsidRPr="009D0DEC" w14:paraId="72BB2F92" w14:textId="77777777">
        <w:tc>
          <w:tcPr>
            <w:tcW w:w="1276" w:type="dxa"/>
            <w:tcMar>
              <w:top w:w="0" w:type="dxa"/>
              <w:left w:w="108" w:type="dxa"/>
              <w:bottom w:w="0" w:type="dxa"/>
              <w:right w:w="108" w:type="dxa"/>
            </w:tcMar>
            <w:vAlign w:val="center"/>
          </w:tcPr>
          <w:p w14:paraId="4D5211A0" w14:textId="77777777" w:rsidR="009D0DEC" w:rsidRPr="009D0DEC" w:rsidRDefault="009D0DEC" w:rsidP="009D0DEC">
            <w:pPr>
              <w:pStyle w:val="Legenda"/>
              <w:keepNext/>
              <w:widowControl/>
              <w:spacing w:before="0"/>
              <w:rPr>
                <w:i/>
                <w:sz w:val="22"/>
                <w:szCs w:val="22"/>
              </w:rPr>
            </w:pPr>
            <w:r w:rsidRPr="009D0DEC">
              <w:rPr>
                <w:i/>
                <w:sz w:val="22"/>
                <w:szCs w:val="22"/>
              </w:rPr>
              <w:t>Recôncavo</w:t>
            </w:r>
          </w:p>
        </w:tc>
        <w:tc>
          <w:tcPr>
            <w:tcW w:w="1134" w:type="dxa"/>
            <w:tcMar>
              <w:top w:w="0" w:type="dxa"/>
              <w:left w:w="108" w:type="dxa"/>
              <w:bottom w:w="0" w:type="dxa"/>
              <w:right w:w="108" w:type="dxa"/>
            </w:tcMar>
            <w:vAlign w:val="center"/>
          </w:tcPr>
          <w:p w14:paraId="607AF4D3" w14:textId="77777777" w:rsidR="009D0DEC" w:rsidRPr="009D0DEC" w:rsidRDefault="009D0DEC" w:rsidP="009D0DEC">
            <w:pPr>
              <w:pStyle w:val="Legenda"/>
              <w:keepNext/>
              <w:widowControl/>
              <w:spacing w:before="0"/>
              <w:rPr>
                <w:i/>
                <w:sz w:val="22"/>
                <w:szCs w:val="22"/>
              </w:rPr>
            </w:pPr>
            <w:r w:rsidRPr="009D0DEC">
              <w:rPr>
                <w:i/>
                <w:sz w:val="22"/>
                <w:szCs w:val="22"/>
              </w:rPr>
              <w:t>SREC-T3</w:t>
            </w:r>
          </w:p>
        </w:tc>
        <w:tc>
          <w:tcPr>
            <w:tcW w:w="1559" w:type="dxa"/>
            <w:tcMar>
              <w:top w:w="0" w:type="dxa"/>
              <w:left w:w="108" w:type="dxa"/>
              <w:bottom w:w="0" w:type="dxa"/>
              <w:right w:w="108" w:type="dxa"/>
            </w:tcMar>
            <w:vAlign w:val="center"/>
          </w:tcPr>
          <w:p w14:paraId="680F2A5A" w14:textId="77777777" w:rsidR="009D0DEC" w:rsidRPr="009D0DEC" w:rsidRDefault="009D0DEC" w:rsidP="009D0DEC">
            <w:pPr>
              <w:pStyle w:val="Legenda"/>
              <w:keepNext/>
              <w:widowControl/>
              <w:spacing w:before="0"/>
              <w:jc w:val="left"/>
              <w:rPr>
                <w:i/>
                <w:sz w:val="22"/>
                <w:szCs w:val="22"/>
              </w:rPr>
            </w:pPr>
            <w:r w:rsidRPr="009D0DEC">
              <w:rPr>
                <w:i/>
                <w:sz w:val="22"/>
                <w:szCs w:val="22"/>
              </w:rPr>
              <w:t>Jacumirim</w:t>
            </w:r>
          </w:p>
        </w:tc>
        <w:tc>
          <w:tcPr>
            <w:tcW w:w="4253" w:type="dxa"/>
            <w:tcMar>
              <w:top w:w="0" w:type="dxa"/>
              <w:left w:w="108" w:type="dxa"/>
              <w:bottom w:w="0" w:type="dxa"/>
              <w:right w:w="108" w:type="dxa"/>
            </w:tcMar>
            <w:vAlign w:val="center"/>
          </w:tcPr>
          <w:p w14:paraId="28D8A786" w14:textId="77777777" w:rsidR="009D0DEC" w:rsidRPr="009D0DEC" w:rsidRDefault="009D0DEC" w:rsidP="009D0DEC">
            <w:pPr>
              <w:pStyle w:val="Legenda"/>
              <w:keepNext/>
              <w:widowControl/>
              <w:spacing w:before="0"/>
              <w:jc w:val="left"/>
              <w:rPr>
                <w:i/>
                <w:sz w:val="22"/>
                <w:szCs w:val="22"/>
              </w:rPr>
            </w:pPr>
            <w:r w:rsidRPr="009D0DEC">
              <w:rPr>
                <w:i/>
                <w:sz w:val="22"/>
                <w:szCs w:val="22"/>
              </w:rPr>
              <w:t>Muncks &amp; Reboques Brasil Ltda. (100%)</w:t>
            </w:r>
          </w:p>
        </w:tc>
        <w:tc>
          <w:tcPr>
            <w:tcW w:w="1417" w:type="dxa"/>
            <w:tcMar>
              <w:top w:w="0" w:type="dxa"/>
              <w:left w:w="108" w:type="dxa"/>
              <w:bottom w:w="0" w:type="dxa"/>
              <w:right w:w="108" w:type="dxa"/>
            </w:tcMar>
            <w:vAlign w:val="center"/>
          </w:tcPr>
          <w:p w14:paraId="1A9F7794" w14:textId="77777777" w:rsidR="009D0DEC" w:rsidRPr="009D0DEC" w:rsidRDefault="009D0DEC" w:rsidP="009D0DEC">
            <w:pPr>
              <w:pStyle w:val="Legenda"/>
              <w:keepNext/>
              <w:widowControl/>
              <w:spacing w:before="0"/>
              <w:jc w:val="right"/>
              <w:rPr>
                <w:i/>
                <w:sz w:val="22"/>
                <w:szCs w:val="22"/>
              </w:rPr>
            </w:pPr>
            <w:r w:rsidRPr="009D0DEC">
              <w:rPr>
                <w:i/>
                <w:sz w:val="22"/>
                <w:szCs w:val="22"/>
              </w:rPr>
              <w:t>132.000,00</w:t>
            </w:r>
          </w:p>
        </w:tc>
      </w:tr>
      <w:tr w:rsidR="009D0DEC" w:rsidRPr="009D0DEC" w14:paraId="62B7A5EE" w14:textId="77777777">
        <w:tc>
          <w:tcPr>
            <w:tcW w:w="1276" w:type="dxa"/>
            <w:tcMar>
              <w:top w:w="0" w:type="dxa"/>
              <w:left w:w="108" w:type="dxa"/>
              <w:bottom w:w="0" w:type="dxa"/>
              <w:right w:w="108" w:type="dxa"/>
            </w:tcMar>
            <w:vAlign w:val="center"/>
          </w:tcPr>
          <w:p w14:paraId="121CE6D5" w14:textId="77777777" w:rsidR="009D0DEC" w:rsidRPr="009D0DEC" w:rsidRDefault="009D0DEC" w:rsidP="009D0DEC">
            <w:pPr>
              <w:pStyle w:val="Legenda"/>
              <w:keepNext/>
              <w:widowControl/>
              <w:spacing w:before="0"/>
              <w:rPr>
                <w:i/>
                <w:sz w:val="22"/>
                <w:szCs w:val="22"/>
              </w:rPr>
            </w:pPr>
            <w:r w:rsidRPr="009D0DEC">
              <w:rPr>
                <w:i/>
                <w:sz w:val="22"/>
                <w:szCs w:val="22"/>
              </w:rPr>
              <w:t>Recôncavo</w:t>
            </w:r>
          </w:p>
        </w:tc>
        <w:tc>
          <w:tcPr>
            <w:tcW w:w="1134" w:type="dxa"/>
            <w:tcMar>
              <w:top w:w="0" w:type="dxa"/>
              <w:left w:w="108" w:type="dxa"/>
              <w:bottom w:w="0" w:type="dxa"/>
              <w:right w:w="108" w:type="dxa"/>
            </w:tcMar>
            <w:vAlign w:val="center"/>
          </w:tcPr>
          <w:p w14:paraId="79D03757" w14:textId="77777777" w:rsidR="009D0DEC" w:rsidRPr="009D0DEC" w:rsidRDefault="009D0DEC" w:rsidP="009D0DEC">
            <w:pPr>
              <w:pStyle w:val="Legenda"/>
              <w:keepNext/>
              <w:widowControl/>
              <w:spacing w:before="0"/>
              <w:rPr>
                <w:i/>
                <w:sz w:val="22"/>
                <w:szCs w:val="22"/>
              </w:rPr>
            </w:pPr>
            <w:r w:rsidRPr="009D0DEC">
              <w:rPr>
                <w:i/>
                <w:sz w:val="22"/>
                <w:szCs w:val="22"/>
              </w:rPr>
              <w:t>SREC-T4</w:t>
            </w:r>
          </w:p>
        </w:tc>
        <w:tc>
          <w:tcPr>
            <w:tcW w:w="1559" w:type="dxa"/>
            <w:tcMar>
              <w:top w:w="0" w:type="dxa"/>
              <w:left w:w="108" w:type="dxa"/>
              <w:bottom w:w="0" w:type="dxa"/>
              <w:right w:w="108" w:type="dxa"/>
            </w:tcMar>
            <w:vAlign w:val="center"/>
          </w:tcPr>
          <w:p w14:paraId="43E80D20" w14:textId="77777777" w:rsidR="009D0DEC" w:rsidRPr="009D0DEC" w:rsidRDefault="009D0DEC" w:rsidP="009D0DEC">
            <w:pPr>
              <w:pStyle w:val="Legenda"/>
              <w:keepNext/>
              <w:widowControl/>
              <w:spacing w:before="0"/>
              <w:jc w:val="left"/>
              <w:rPr>
                <w:i/>
                <w:sz w:val="22"/>
                <w:szCs w:val="22"/>
              </w:rPr>
            </w:pPr>
            <w:r w:rsidRPr="009D0DEC">
              <w:rPr>
                <w:i/>
                <w:sz w:val="22"/>
                <w:szCs w:val="22"/>
              </w:rPr>
              <w:t>Vale do Quiricó</w:t>
            </w:r>
          </w:p>
        </w:tc>
        <w:tc>
          <w:tcPr>
            <w:tcW w:w="4253" w:type="dxa"/>
            <w:tcMar>
              <w:top w:w="0" w:type="dxa"/>
              <w:left w:w="108" w:type="dxa"/>
              <w:bottom w:w="0" w:type="dxa"/>
              <w:right w:w="108" w:type="dxa"/>
            </w:tcMar>
            <w:vAlign w:val="center"/>
          </w:tcPr>
          <w:p w14:paraId="384C5CAB" w14:textId="77777777" w:rsidR="009D0DEC" w:rsidRPr="009D0DEC" w:rsidRDefault="009D0DEC" w:rsidP="009D0DEC">
            <w:pPr>
              <w:pStyle w:val="Legenda"/>
              <w:keepNext/>
              <w:widowControl/>
              <w:spacing w:before="0"/>
              <w:jc w:val="left"/>
              <w:rPr>
                <w:i/>
                <w:sz w:val="22"/>
                <w:szCs w:val="22"/>
              </w:rPr>
            </w:pPr>
            <w:r w:rsidRPr="009D0DEC">
              <w:rPr>
                <w:i/>
                <w:sz w:val="22"/>
                <w:szCs w:val="22"/>
              </w:rPr>
              <w:t>Dimensional Engenharia Ltda. (100%)</w:t>
            </w:r>
          </w:p>
        </w:tc>
        <w:tc>
          <w:tcPr>
            <w:tcW w:w="1417" w:type="dxa"/>
            <w:tcMar>
              <w:top w:w="0" w:type="dxa"/>
              <w:left w:w="108" w:type="dxa"/>
              <w:bottom w:w="0" w:type="dxa"/>
              <w:right w:w="108" w:type="dxa"/>
            </w:tcMar>
            <w:vAlign w:val="center"/>
          </w:tcPr>
          <w:p w14:paraId="648BD001" w14:textId="77777777" w:rsidR="009D0DEC" w:rsidRPr="009D0DEC" w:rsidRDefault="009D0DEC" w:rsidP="009D0DEC">
            <w:pPr>
              <w:pStyle w:val="Legenda"/>
              <w:keepNext/>
              <w:widowControl/>
              <w:spacing w:before="0"/>
              <w:jc w:val="right"/>
              <w:rPr>
                <w:i/>
                <w:sz w:val="22"/>
                <w:szCs w:val="22"/>
              </w:rPr>
            </w:pPr>
            <w:r w:rsidRPr="009D0DEC">
              <w:rPr>
                <w:i/>
                <w:sz w:val="22"/>
                <w:szCs w:val="22"/>
              </w:rPr>
              <w:t>764.646,46</w:t>
            </w:r>
          </w:p>
        </w:tc>
      </w:tr>
      <w:tr w:rsidR="009D0DEC" w:rsidRPr="009D0DEC" w14:paraId="33BA876B" w14:textId="77777777">
        <w:tc>
          <w:tcPr>
            <w:tcW w:w="8222" w:type="dxa"/>
            <w:gridSpan w:val="4"/>
            <w:tcMar>
              <w:top w:w="0" w:type="dxa"/>
              <w:left w:w="108" w:type="dxa"/>
              <w:bottom w:w="0" w:type="dxa"/>
              <w:right w:w="108" w:type="dxa"/>
            </w:tcMar>
            <w:vAlign w:val="center"/>
          </w:tcPr>
          <w:p w14:paraId="3A65870F" w14:textId="77777777" w:rsidR="009D0DEC" w:rsidRPr="009D0DEC" w:rsidRDefault="009D0DEC" w:rsidP="009D0DEC">
            <w:pPr>
              <w:pStyle w:val="Legenda"/>
              <w:keepNext/>
              <w:widowControl/>
              <w:spacing w:before="0"/>
              <w:rPr>
                <w:b/>
                <w:i/>
                <w:sz w:val="22"/>
                <w:szCs w:val="22"/>
              </w:rPr>
            </w:pPr>
            <w:r w:rsidRPr="009D0DEC">
              <w:rPr>
                <w:b/>
                <w:i/>
                <w:sz w:val="22"/>
                <w:szCs w:val="22"/>
              </w:rPr>
              <w:t>TOTAL</w:t>
            </w:r>
          </w:p>
        </w:tc>
        <w:tc>
          <w:tcPr>
            <w:tcW w:w="1417" w:type="dxa"/>
            <w:tcMar>
              <w:top w:w="0" w:type="dxa"/>
              <w:left w:w="108" w:type="dxa"/>
              <w:bottom w:w="0" w:type="dxa"/>
              <w:right w:w="108" w:type="dxa"/>
            </w:tcMar>
            <w:vAlign w:val="center"/>
          </w:tcPr>
          <w:p w14:paraId="63FB1DFE" w14:textId="77777777" w:rsidR="009D0DEC" w:rsidRPr="009D0DEC" w:rsidRDefault="009D0DEC" w:rsidP="009D0DEC">
            <w:pPr>
              <w:pStyle w:val="Legenda"/>
              <w:keepNext/>
              <w:widowControl/>
              <w:spacing w:before="0"/>
              <w:jc w:val="right"/>
              <w:rPr>
                <w:b/>
                <w:i/>
                <w:sz w:val="22"/>
                <w:szCs w:val="22"/>
              </w:rPr>
            </w:pPr>
            <w:r w:rsidRPr="009D0DEC">
              <w:rPr>
                <w:b/>
                <w:i/>
                <w:sz w:val="22"/>
                <w:szCs w:val="22"/>
              </w:rPr>
              <w:t>7.977.983,46</w:t>
            </w:r>
          </w:p>
        </w:tc>
      </w:tr>
    </w:tbl>
    <w:p w14:paraId="15E9EE2A" w14:textId="77777777" w:rsidR="009D0DEC" w:rsidRPr="009D0DEC" w:rsidRDefault="009D0DEC" w:rsidP="009D0DEC">
      <w:pPr>
        <w:pStyle w:val="Relatrio"/>
        <w:numPr>
          <w:ilvl w:val="0"/>
          <w:numId w:val="0"/>
        </w:numPr>
        <w:spacing w:before="0"/>
        <w:rPr>
          <w:i/>
        </w:rPr>
      </w:pPr>
      <w:r w:rsidRPr="009D0DEC">
        <w:rPr>
          <w:i/>
        </w:rPr>
        <w:tab/>
        <w:t>FONTE: ANP (Peça 31)</w:t>
      </w:r>
    </w:p>
    <w:p w14:paraId="4A627003" w14:textId="77777777" w:rsidR="009D0DEC" w:rsidRPr="009D0DEC" w:rsidRDefault="009D0DEC" w:rsidP="009D0DEC">
      <w:pPr>
        <w:pStyle w:val="Relatrio"/>
        <w:spacing w:before="0"/>
        <w:rPr>
          <w:i/>
        </w:rPr>
      </w:pPr>
      <w:r w:rsidRPr="009D0DEC">
        <w:rPr>
          <w:i/>
        </w:rPr>
        <w:t>Concluída a fase de julgamento das propostas, a ANP homologou o relatório de julgamento da Comissão Especial de Licitação (CEL) e adjudicou o objeto da licitação aos vencedores, conforme decisão publicada no DOU do dia 20 de julho de 2017 (Peça 31).</w:t>
      </w:r>
    </w:p>
    <w:p w14:paraId="3D700A1E" w14:textId="77777777" w:rsidR="009D0DEC" w:rsidRPr="001A636B" w:rsidRDefault="001A636B" w:rsidP="009D0DEC">
      <w:pPr>
        <w:pStyle w:val="Ttulo1"/>
        <w:keepLines w:val="0"/>
        <w:suppressAutoHyphens/>
        <w:ind w:left="340" w:hanging="340"/>
        <w:rPr>
          <w:b w:val="0"/>
          <w:color w:val="auto"/>
        </w:rPr>
      </w:pPr>
      <w:r>
        <w:rPr>
          <w:b w:val="0"/>
          <w:color w:val="auto"/>
        </w:rPr>
        <w:t>[...]</w:t>
      </w:r>
    </w:p>
    <w:p w14:paraId="0E40F160" w14:textId="77777777" w:rsidR="009D0DEC" w:rsidRPr="001A636B" w:rsidRDefault="009D0DEC" w:rsidP="009D0DEC">
      <w:pPr>
        <w:pStyle w:val="Ttulo1"/>
        <w:keepLines w:val="0"/>
        <w:suppressAutoHyphens/>
        <w:ind w:left="340" w:hanging="340"/>
        <w:rPr>
          <w:i/>
          <w:color w:val="auto"/>
        </w:rPr>
      </w:pPr>
      <w:r w:rsidRPr="001A636B">
        <w:rPr>
          <w:i/>
          <w:color w:val="auto"/>
        </w:rPr>
        <w:t>Proposta de Encaminhamento</w:t>
      </w:r>
    </w:p>
    <w:p w14:paraId="6C78A67F" w14:textId="77777777" w:rsidR="009D0DEC" w:rsidRPr="009D0DEC" w:rsidRDefault="009D0DEC" w:rsidP="009D0DEC">
      <w:pPr>
        <w:pStyle w:val="Relatrio"/>
        <w:numPr>
          <w:ilvl w:val="0"/>
          <w:numId w:val="4"/>
        </w:numPr>
        <w:tabs>
          <w:tab w:val="left" w:pos="432"/>
        </w:tabs>
        <w:spacing w:before="0"/>
        <w:rPr>
          <w:i/>
        </w:rPr>
      </w:pPr>
      <w:r w:rsidRPr="009D0DEC">
        <w:rPr>
          <w:i/>
        </w:rPr>
        <w:t>Ante o exposto, uma vez que não foram verificadas irregularidades nos procedimentos ora analisados relativos ao Terceiro Estágio da avaliação da Quarta Rodada de Licitação de Áreas com Acumulações Marginais, submetem-se os autos à consideração superior propondo:</w:t>
      </w:r>
    </w:p>
    <w:p w14:paraId="6B983FEF" w14:textId="77777777" w:rsidR="009D0DEC" w:rsidRPr="009D0DEC" w:rsidRDefault="009D0DEC" w:rsidP="009D0DEC">
      <w:pPr>
        <w:pStyle w:val="listadeinformaes"/>
        <w:numPr>
          <w:ilvl w:val="0"/>
          <w:numId w:val="3"/>
        </w:numPr>
        <w:spacing w:before="0"/>
        <w:rPr>
          <w:i/>
        </w:rPr>
      </w:pPr>
      <w:r w:rsidRPr="009D0DEC">
        <w:rPr>
          <w:i/>
        </w:rPr>
        <w:lastRenderedPageBreak/>
        <w:t>aprovar o Terceiro Estágio de acompanhamento, nos termos do artigo 7°, inciso I, da IN TCU 27/1998, relativos à Quarta Rodada de Licitação de Áreas com Acumulações Marginais;</w:t>
      </w:r>
    </w:p>
    <w:p w14:paraId="4AD99FF2" w14:textId="77777777" w:rsidR="009D0DEC" w:rsidRPr="009D0DEC" w:rsidRDefault="009D0DEC" w:rsidP="009D0DEC">
      <w:pPr>
        <w:pStyle w:val="listadeinformaes"/>
        <w:numPr>
          <w:ilvl w:val="0"/>
          <w:numId w:val="3"/>
        </w:numPr>
        <w:spacing w:before="0"/>
        <w:rPr>
          <w:i/>
        </w:rPr>
      </w:pPr>
      <w:r w:rsidRPr="009D0DEC">
        <w:rPr>
          <w:i/>
        </w:rPr>
        <w:t>encaminhar cópia do Acórdão que vier a ser proferido, acompanhado do Voto e do Relatório que o fundamentarem à Agência Nacional do Petróleo, Gás Natural e Biocombustíveis, ao Conselho Nacional de Política Energética, e ao Ministério de Minas e Energia, e</w:t>
      </w:r>
    </w:p>
    <w:p w14:paraId="19D9E4F4" w14:textId="77777777" w:rsidR="009D0DEC" w:rsidRPr="001A636B" w:rsidRDefault="009D0DEC" w:rsidP="009D0DEC">
      <w:pPr>
        <w:pStyle w:val="listadeinformaes"/>
        <w:numPr>
          <w:ilvl w:val="0"/>
          <w:numId w:val="3"/>
        </w:numPr>
        <w:spacing w:before="0"/>
        <w:rPr>
          <w:i/>
        </w:rPr>
      </w:pPr>
      <w:r w:rsidRPr="009D0DEC">
        <w:rPr>
          <w:i/>
        </w:rPr>
        <w:t>restituir os autos à SeinfraPetróleo para acompanhamento dos Quarto estágio previsto na IN TCU 27/1998.</w:t>
      </w:r>
      <w:r w:rsidR="001A636B">
        <w:t>”</w:t>
      </w:r>
    </w:p>
    <w:p w14:paraId="5731168B" w14:textId="77777777" w:rsidR="0086374D" w:rsidRPr="0086374D" w:rsidRDefault="0086374D" w:rsidP="0086374D">
      <w:pPr>
        <w:pStyle w:val="listadeinformaes"/>
        <w:numPr>
          <w:ilvl w:val="0"/>
          <w:numId w:val="0"/>
        </w:numPr>
        <w:tabs>
          <w:tab w:val="left" w:pos="1134"/>
        </w:tabs>
        <w:spacing w:before="120"/>
      </w:pPr>
      <w:r>
        <w:tab/>
        <w:t xml:space="preserve">5. Da mesma forma como procedi diante da análise do estágio anterior, proferi despacho (peça 36) para restituir os autos à SeinfraPetróleo para continuidade do acompanhamento. </w:t>
      </w:r>
    </w:p>
    <w:p w14:paraId="113AAB4A" w14:textId="77777777" w:rsidR="001A636B" w:rsidRPr="001A636B" w:rsidRDefault="001A636B" w:rsidP="001A636B">
      <w:pPr>
        <w:pStyle w:val="listadeinformaes"/>
        <w:numPr>
          <w:ilvl w:val="0"/>
          <w:numId w:val="0"/>
        </w:numPr>
        <w:spacing w:before="120"/>
        <w:rPr>
          <w:b/>
        </w:rPr>
      </w:pPr>
      <w:r w:rsidRPr="001A636B">
        <w:rPr>
          <w:b/>
        </w:rPr>
        <w:t>III – QUARTO ESTÁGIO (peça 39):</w:t>
      </w:r>
    </w:p>
    <w:p w14:paraId="12C9F2BA" w14:textId="77777777" w:rsidR="001A636B" w:rsidRPr="00FC2C70" w:rsidRDefault="001A636B" w:rsidP="001A636B">
      <w:pPr>
        <w:pStyle w:val="Relatrio"/>
        <w:numPr>
          <w:ilvl w:val="0"/>
          <w:numId w:val="0"/>
        </w:numPr>
        <w:rPr>
          <w:i/>
        </w:rPr>
      </w:pPr>
      <w:r>
        <w:t>“</w:t>
      </w:r>
      <w:r>
        <w:rPr>
          <w:i/>
        </w:rPr>
        <w:t xml:space="preserve">13. </w:t>
      </w:r>
      <w:r w:rsidRPr="001A636B">
        <w:rPr>
          <w:i/>
        </w:rPr>
        <w:t xml:space="preserve">O exame do quarto estágio tem por objetivo </w:t>
      </w:r>
      <w:r w:rsidRPr="00FC2C70">
        <w:rPr>
          <w:i/>
        </w:rPr>
        <w:t>verificar se os contratos de concessão assinados estão de acordo com as características pré-definidas do empreendimento. Cada contrato assinado deverá, portanto, estar em consonância com a minuta previamente aprovada, integrante do edital, e o resultado do leilão. Conforme disposto no inciso IV do art. 7º da IN TCU 27/1998, os documentos objeto de análise são:</w:t>
      </w:r>
    </w:p>
    <w:p w14:paraId="68718FED" w14:textId="77777777" w:rsidR="001A636B" w:rsidRPr="00FC2C70" w:rsidRDefault="001A636B" w:rsidP="001A636B">
      <w:pPr>
        <w:pStyle w:val="listadeinformaes"/>
        <w:numPr>
          <w:ilvl w:val="0"/>
          <w:numId w:val="0"/>
        </w:numPr>
        <w:rPr>
          <w:i/>
        </w:rPr>
      </w:pPr>
      <w:r w:rsidRPr="00FC2C70">
        <w:rPr>
          <w:i/>
        </w:rPr>
        <w:t xml:space="preserve">a) ato de outorga; </w:t>
      </w:r>
    </w:p>
    <w:p w14:paraId="67AB6670" w14:textId="77777777" w:rsidR="001A636B" w:rsidRPr="00FC2C70" w:rsidRDefault="001A636B" w:rsidP="001A636B">
      <w:pPr>
        <w:pStyle w:val="listadeinformaes"/>
        <w:numPr>
          <w:ilvl w:val="0"/>
          <w:numId w:val="0"/>
        </w:numPr>
        <w:rPr>
          <w:i/>
        </w:rPr>
      </w:pPr>
      <w:r w:rsidRPr="00FC2C70">
        <w:rPr>
          <w:i/>
        </w:rPr>
        <w:t>b) contrato de concessão ou de permissão.</w:t>
      </w:r>
    </w:p>
    <w:p w14:paraId="3585D3BE" w14:textId="77777777" w:rsidR="001A636B" w:rsidRPr="00FC2C70" w:rsidRDefault="001A636B" w:rsidP="001A636B">
      <w:pPr>
        <w:pStyle w:val="TCU-Ac-itens1a8"/>
        <w:rPr>
          <w:i/>
        </w:rPr>
      </w:pPr>
      <w:r w:rsidRPr="00FC2C70">
        <w:rPr>
          <w:i/>
        </w:rPr>
        <w:t>O aviso da homologação do Relatório de Julgamento da Quarta Rodada de Licitações de Acumulações Marginais e da adjudicação do objeto da licitação às licitantes vencedoras foi publicado no Diário Oficial da União no dia 20/7/2017 (peça 38).</w:t>
      </w:r>
    </w:p>
    <w:p w14:paraId="6A18FFEE" w14:textId="77777777" w:rsidR="001A636B" w:rsidRPr="00FC2C70" w:rsidRDefault="001A636B" w:rsidP="001A636B">
      <w:pPr>
        <w:pStyle w:val="TCU-Ac-itens1a8"/>
        <w:rPr>
          <w:i/>
        </w:rPr>
      </w:pPr>
      <w:r w:rsidRPr="00FC2C70">
        <w:rPr>
          <w:i/>
        </w:rPr>
        <w:t xml:space="preserve">As cópias digitalizadas dos oito contratos de concessão da Quarta Rodada de Licitações de Áreas com Acumulações Marginais foram encaminhadas a este Tribunal por meio dos Ofícios 040/2017/AUD e 036/2018/AUD (peças 32 e 37). </w:t>
      </w:r>
    </w:p>
    <w:p w14:paraId="5C1F3A7B" w14:textId="77777777" w:rsidR="001A636B" w:rsidRPr="00FC2C70" w:rsidRDefault="001A636B" w:rsidP="001A636B">
      <w:pPr>
        <w:pStyle w:val="TCU-Ac-itens1a8"/>
        <w:rPr>
          <w:i/>
        </w:rPr>
      </w:pPr>
      <w:r w:rsidRPr="00FC2C70">
        <w:rPr>
          <w:i/>
        </w:rPr>
        <w:t xml:space="preserve">Conforme prazo previsto no inciso IV do art. 8º da IN TCU 27/1998, a documentação relativa ao quarto estágio deverá ser encaminhada a este Tribunal no prazo de até cinco dias após a assinatura do termo contratual. </w:t>
      </w:r>
    </w:p>
    <w:p w14:paraId="3513658A" w14:textId="77777777" w:rsidR="001A636B" w:rsidRPr="00FC2C70" w:rsidRDefault="001A636B" w:rsidP="001A636B">
      <w:pPr>
        <w:pStyle w:val="TCU-Ac-itens1a8"/>
        <w:rPr>
          <w:i/>
        </w:rPr>
      </w:pPr>
      <w:r w:rsidRPr="00FC2C70">
        <w:rPr>
          <w:i/>
        </w:rPr>
        <w:t xml:space="preserve">Considerando que a assinatura dos oito contratos de concessão deu-se em momentos distintos, a análise do atendimento desse prazo legal deve observar o envio da documentação conforme </w:t>
      </w:r>
      <w:r w:rsidRPr="00FC2C70">
        <w:rPr>
          <w:b/>
          <w:i/>
        </w:rPr>
        <w:t>Tabela 2</w:t>
      </w:r>
      <w:r w:rsidRPr="00FC2C70">
        <w:rPr>
          <w:i/>
        </w:rPr>
        <w:t>.</w:t>
      </w:r>
    </w:p>
    <w:p w14:paraId="442B2557" w14:textId="77777777" w:rsidR="001A636B" w:rsidRPr="00FC2C70" w:rsidRDefault="001A636B" w:rsidP="001A636B">
      <w:pPr>
        <w:pStyle w:val="TCU-Ac-itens1a8"/>
        <w:rPr>
          <w:i/>
        </w:rPr>
      </w:pPr>
      <w:r w:rsidRPr="00FC2C70">
        <w:rPr>
          <w:i/>
        </w:rPr>
        <w:t>Assim sendo, o prazo foi atendido na assinatura dos 7 contratos de concessão encaminhados no Ofício 040/2017/AUD. No entanto, no contrato de concessão relativo à área de Garça Branca, encaminhado no Ofício 036/2018/AUD, o lapso temporal, entre a assinatura do termo e o envio da cópia do contrato para o TCU, foi de 41 dias, em desacordo ao previsto no Inciso IV do art. 8º da IN TCU 27/1998.</w:t>
      </w:r>
    </w:p>
    <w:p w14:paraId="46445C03" w14:textId="77777777" w:rsidR="001A636B" w:rsidRPr="001A636B" w:rsidRDefault="001A636B" w:rsidP="001A636B">
      <w:pPr>
        <w:pStyle w:val="Relatrio"/>
        <w:numPr>
          <w:ilvl w:val="0"/>
          <w:numId w:val="0"/>
        </w:numPr>
        <w:spacing w:before="0"/>
        <w:ind w:left="357"/>
        <w:jc w:val="center"/>
        <w:rPr>
          <w:i/>
        </w:rPr>
      </w:pPr>
      <w:r w:rsidRPr="001A636B">
        <w:rPr>
          <w:b/>
          <w:i/>
        </w:rPr>
        <w:t>Tabela 2</w:t>
      </w:r>
      <w:r w:rsidRPr="001A636B">
        <w:rPr>
          <w:i/>
        </w:rPr>
        <w:t xml:space="preserve"> - Atendimento ao Inciso IV do art. 8º da IN TCU 27/1998</w:t>
      </w:r>
    </w:p>
    <w:tbl>
      <w:tblPr>
        <w:tblStyle w:val="Tabelacomgrade"/>
        <w:tblW w:w="0" w:type="auto"/>
        <w:jc w:val="center"/>
        <w:tblInd w:w="0" w:type="dxa"/>
        <w:tblLook w:val="04A0" w:firstRow="1" w:lastRow="0" w:firstColumn="1" w:lastColumn="0" w:noHBand="0" w:noVBand="1"/>
      </w:tblPr>
      <w:tblGrid>
        <w:gridCol w:w="1933"/>
        <w:gridCol w:w="3064"/>
        <w:gridCol w:w="3031"/>
        <w:gridCol w:w="1505"/>
      </w:tblGrid>
      <w:tr w:rsidR="001A636B" w:rsidRPr="001A636B" w14:paraId="00764019" w14:textId="77777777">
        <w:trPr>
          <w:jc w:val="center"/>
        </w:trPr>
        <w:tc>
          <w:tcPr>
            <w:tcW w:w="1933" w:type="dxa"/>
            <w:tcMar>
              <w:top w:w="0" w:type="dxa"/>
              <w:left w:w="108" w:type="dxa"/>
              <w:bottom w:w="0" w:type="dxa"/>
              <w:right w:w="108" w:type="dxa"/>
            </w:tcMar>
          </w:tcPr>
          <w:p w14:paraId="478ABE06" w14:textId="77777777" w:rsidR="001A636B" w:rsidRPr="001A636B" w:rsidRDefault="001A636B" w:rsidP="001A636B">
            <w:pPr>
              <w:pStyle w:val="tabela"/>
              <w:widowControl/>
              <w:rPr>
                <w:i/>
                <w:sz w:val="22"/>
                <w:szCs w:val="22"/>
              </w:rPr>
            </w:pPr>
            <w:r w:rsidRPr="001A636B">
              <w:rPr>
                <w:i/>
                <w:sz w:val="22"/>
                <w:szCs w:val="22"/>
              </w:rPr>
              <w:t xml:space="preserve">Número do Ofício </w:t>
            </w:r>
          </w:p>
        </w:tc>
        <w:tc>
          <w:tcPr>
            <w:tcW w:w="3064" w:type="dxa"/>
            <w:tcMar>
              <w:top w:w="0" w:type="dxa"/>
              <w:left w:w="108" w:type="dxa"/>
              <w:bottom w:w="0" w:type="dxa"/>
              <w:right w:w="108" w:type="dxa"/>
            </w:tcMar>
          </w:tcPr>
          <w:p w14:paraId="30A8CB57" w14:textId="77777777" w:rsidR="001A636B" w:rsidRPr="001A636B" w:rsidRDefault="001A636B" w:rsidP="001A636B">
            <w:pPr>
              <w:pStyle w:val="tabela"/>
              <w:widowControl/>
              <w:rPr>
                <w:i/>
                <w:sz w:val="22"/>
                <w:szCs w:val="22"/>
              </w:rPr>
            </w:pPr>
            <w:r w:rsidRPr="001A636B">
              <w:rPr>
                <w:i/>
                <w:sz w:val="22"/>
                <w:szCs w:val="22"/>
              </w:rPr>
              <w:t xml:space="preserve">Data de assinatura dos contratos de concessão </w:t>
            </w:r>
          </w:p>
        </w:tc>
        <w:tc>
          <w:tcPr>
            <w:tcW w:w="3031" w:type="dxa"/>
            <w:tcMar>
              <w:top w:w="0" w:type="dxa"/>
              <w:left w:w="108" w:type="dxa"/>
              <w:bottom w:w="0" w:type="dxa"/>
              <w:right w:w="108" w:type="dxa"/>
            </w:tcMar>
          </w:tcPr>
          <w:p w14:paraId="568D964E" w14:textId="77777777" w:rsidR="001A636B" w:rsidRPr="001A636B" w:rsidRDefault="001A636B" w:rsidP="001A636B">
            <w:pPr>
              <w:pStyle w:val="tabela"/>
              <w:widowControl/>
              <w:rPr>
                <w:i/>
                <w:sz w:val="22"/>
                <w:szCs w:val="22"/>
              </w:rPr>
            </w:pPr>
            <w:r w:rsidRPr="001A636B">
              <w:rPr>
                <w:i/>
                <w:sz w:val="22"/>
                <w:szCs w:val="22"/>
              </w:rPr>
              <w:t xml:space="preserve">Data do Oficio que enviou Cópia digitalizada dos Contratos Assinados </w:t>
            </w:r>
          </w:p>
        </w:tc>
        <w:tc>
          <w:tcPr>
            <w:tcW w:w="1505" w:type="dxa"/>
            <w:tcMar>
              <w:top w:w="0" w:type="dxa"/>
              <w:left w:w="108" w:type="dxa"/>
              <w:bottom w:w="0" w:type="dxa"/>
              <w:right w:w="108" w:type="dxa"/>
            </w:tcMar>
          </w:tcPr>
          <w:p w14:paraId="10CC160A" w14:textId="77777777" w:rsidR="001A636B" w:rsidRPr="001A636B" w:rsidRDefault="001A636B" w:rsidP="001A636B">
            <w:pPr>
              <w:pStyle w:val="tabela"/>
              <w:widowControl/>
              <w:rPr>
                <w:i/>
                <w:sz w:val="22"/>
                <w:szCs w:val="22"/>
              </w:rPr>
            </w:pPr>
            <w:r w:rsidRPr="001A636B">
              <w:rPr>
                <w:i/>
                <w:sz w:val="22"/>
                <w:szCs w:val="22"/>
              </w:rPr>
              <w:t xml:space="preserve">Lapso Temporal </w:t>
            </w:r>
          </w:p>
        </w:tc>
      </w:tr>
      <w:tr w:rsidR="001A636B" w:rsidRPr="001A636B" w14:paraId="0BD98A7D" w14:textId="77777777">
        <w:trPr>
          <w:jc w:val="center"/>
        </w:trPr>
        <w:tc>
          <w:tcPr>
            <w:tcW w:w="1933" w:type="dxa"/>
            <w:tcMar>
              <w:top w:w="0" w:type="dxa"/>
              <w:left w:w="108" w:type="dxa"/>
              <w:bottom w:w="0" w:type="dxa"/>
              <w:right w:w="108" w:type="dxa"/>
            </w:tcMar>
          </w:tcPr>
          <w:p w14:paraId="5385B6FA" w14:textId="77777777" w:rsidR="001A636B" w:rsidRPr="001A636B" w:rsidRDefault="001A636B" w:rsidP="001A636B">
            <w:pPr>
              <w:pStyle w:val="tabela"/>
              <w:widowControl/>
              <w:rPr>
                <w:i/>
                <w:sz w:val="20"/>
              </w:rPr>
            </w:pPr>
            <w:r w:rsidRPr="001A636B">
              <w:rPr>
                <w:i/>
                <w:sz w:val="20"/>
              </w:rPr>
              <w:t>040/2017/AUD</w:t>
            </w:r>
          </w:p>
        </w:tc>
        <w:tc>
          <w:tcPr>
            <w:tcW w:w="3064" w:type="dxa"/>
            <w:tcMar>
              <w:top w:w="0" w:type="dxa"/>
              <w:left w:w="108" w:type="dxa"/>
              <w:bottom w:w="0" w:type="dxa"/>
              <w:right w:w="108" w:type="dxa"/>
            </w:tcMar>
          </w:tcPr>
          <w:p w14:paraId="4BC981FE" w14:textId="77777777" w:rsidR="001A636B" w:rsidRPr="001A636B" w:rsidRDefault="001A636B" w:rsidP="001A636B">
            <w:pPr>
              <w:pStyle w:val="tabela"/>
              <w:widowControl/>
              <w:rPr>
                <w:i/>
                <w:sz w:val="20"/>
              </w:rPr>
            </w:pPr>
            <w:r w:rsidRPr="001A636B">
              <w:rPr>
                <w:i/>
                <w:sz w:val="20"/>
              </w:rPr>
              <w:t>31/8/2017</w:t>
            </w:r>
          </w:p>
        </w:tc>
        <w:tc>
          <w:tcPr>
            <w:tcW w:w="3031" w:type="dxa"/>
            <w:tcMar>
              <w:top w:w="0" w:type="dxa"/>
              <w:left w:w="108" w:type="dxa"/>
              <w:bottom w:w="0" w:type="dxa"/>
              <w:right w:w="108" w:type="dxa"/>
            </w:tcMar>
          </w:tcPr>
          <w:p w14:paraId="0C8CC52B" w14:textId="77777777" w:rsidR="001A636B" w:rsidRPr="001A636B" w:rsidRDefault="001A636B" w:rsidP="001A636B">
            <w:pPr>
              <w:pStyle w:val="tabela"/>
              <w:widowControl/>
              <w:rPr>
                <w:i/>
                <w:sz w:val="20"/>
              </w:rPr>
            </w:pPr>
            <w:r w:rsidRPr="001A636B">
              <w:rPr>
                <w:i/>
                <w:sz w:val="20"/>
              </w:rPr>
              <w:t>5/9/2017</w:t>
            </w:r>
          </w:p>
        </w:tc>
        <w:tc>
          <w:tcPr>
            <w:tcW w:w="1505" w:type="dxa"/>
            <w:tcMar>
              <w:top w:w="0" w:type="dxa"/>
              <w:left w:w="108" w:type="dxa"/>
              <w:bottom w:w="0" w:type="dxa"/>
              <w:right w:w="108" w:type="dxa"/>
            </w:tcMar>
          </w:tcPr>
          <w:p w14:paraId="0F74B893" w14:textId="77777777" w:rsidR="001A636B" w:rsidRPr="001A636B" w:rsidRDefault="001A636B" w:rsidP="001A636B">
            <w:pPr>
              <w:pStyle w:val="tabela"/>
              <w:widowControl/>
              <w:rPr>
                <w:i/>
                <w:sz w:val="20"/>
              </w:rPr>
            </w:pPr>
            <w:r w:rsidRPr="001A636B">
              <w:rPr>
                <w:i/>
                <w:sz w:val="20"/>
              </w:rPr>
              <w:t>5 dias</w:t>
            </w:r>
          </w:p>
        </w:tc>
      </w:tr>
      <w:tr w:rsidR="001A636B" w:rsidRPr="001A636B" w14:paraId="66D6F13F" w14:textId="77777777">
        <w:trPr>
          <w:jc w:val="center"/>
        </w:trPr>
        <w:tc>
          <w:tcPr>
            <w:tcW w:w="1933" w:type="dxa"/>
            <w:tcMar>
              <w:top w:w="0" w:type="dxa"/>
              <w:left w:w="108" w:type="dxa"/>
              <w:bottom w:w="0" w:type="dxa"/>
              <w:right w:w="108" w:type="dxa"/>
            </w:tcMar>
          </w:tcPr>
          <w:p w14:paraId="33A2A1E5" w14:textId="77777777" w:rsidR="001A636B" w:rsidRPr="001A636B" w:rsidRDefault="001A636B" w:rsidP="001A636B">
            <w:pPr>
              <w:pStyle w:val="tabela"/>
              <w:widowControl/>
              <w:rPr>
                <w:i/>
                <w:sz w:val="20"/>
              </w:rPr>
            </w:pPr>
            <w:r w:rsidRPr="001A636B">
              <w:rPr>
                <w:i/>
                <w:sz w:val="20"/>
              </w:rPr>
              <w:t>036/2018/AUD</w:t>
            </w:r>
          </w:p>
        </w:tc>
        <w:tc>
          <w:tcPr>
            <w:tcW w:w="3064" w:type="dxa"/>
            <w:tcMar>
              <w:top w:w="0" w:type="dxa"/>
              <w:left w:w="108" w:type="dxa"/>
              <w:bottom w:w="0" w:type="dxa"/>
              <w:right w:w="108" w:type="dxa"/>
            </w:tcMar>
          </w:tcPr>
          <w:p w14:paraId="0129A8C9" w14:textId="77777777" w:rsidR="001A636B" w:rsidRPr="001A636B" w:rsidRDefault="001A636B" w:rsidP="001A636B">
            <w:pPr>
              <w:pStyle w:val="tabela"/>
              <w:widowControl/>
              <w:rPr>
                <w:i/>
                <w:sz w:val="20"/>
              </w:rPr>
            </w:pPr>
            <w:r w:rsidRPr="001A636B">
              <w:rPr>
                <w:i/>
                <w:sz w:val="20"/>
              </w:rPr>
              <w:t>27/4/2018</w:t>
            </w:r>
          </w:p>
        </w:tc>
        <w:tc>
          <w:tcPr>
            <w:tcW w:w="3031" w:type="dxa"/>
            <w:tcMar>
              <w:top w:w="0" w:type="dxa"/>
              <w:left w:w="108" w:type="dxa"/>
              <w:bottom w:w="0" w:type="dxa"/>
              <w:right w:w="108" w:type="dxa"/>
            </w:tcMar>
          </w:tcPr>
          <w:p w14:paraId="363CCB49" w14:textId="77777777" w:rsidR="001A636B" w:rsidRPr="001A636B" w:rsidRDefault="001A636B" w:rsidP="001A636B">
            <w:pPr>
              <w:pStyle w:val="tabela"/>
              <w:widowControl/>
              <w:rPr>
                <w:i/>
                <w:sz w:val="20"/>
              </w:rPr>
            </w:pPr>
            <w:r w:rsidRPr="001A636B">
              <w:rPr>
                <w:i/>
                <w:sz w:val="20"/>
              </w:rPr>
              <w:t>7/6/2018</w:t>
            </w:r>
          </w:p>
        </w:tc>
        <w:tc>
          <w:tcPr>
            <w:tcW w:w="1505" w:type="dxa"/>
            <w:tcMar>
              <w:top w:w="0" w:type="dxa"/>
              <w:left w:w="108" w:type="dxa"/>
              <w:bottom w:w="0" w:type="dxa"/>
              <w:right w:w="108" w:type="dxa"/>
            </w:tcMar>
          </w:tcPr>
          <w:p w14:paraId="554F8610" w14:textId="77777777" w:rsidR="001A636B" w:rsidRPr="001A636B" w:rsidRDefault="001A636B" w:rsidP="001A636B">
            <w:pPr>
              <w:pStyle w:val="tabela"/>
              <w:widowControl/>
              <w:rPr>
                <w:i/>
                <w:sz w:val="20"/>
              </w:rPr>
            </w:pPr>
            <w:r w:rsidRPr="001A636B">
              <w:rPr>
                <w:i/>
                <w:sz w:val="20"/>
              </w:rPr>
              <w:t>41 dias</w:t>
            </w:r>
          </w:p>
        </w:tc>
      </w:tr>
    </w:tbl>
    <w:p w14:paraId="5EF1EB21" w14:textId="77777777" w:rsidR="001A636B" w:rsidRPr="001A636B" w:rsidRDefault="001A636B" w:rsidP="001A636B">
      <w:pPr>
        <w:pStyle w:val="Relatrio"/>
        <w:numPr>
          <w:ilvl w:val="0"/>
          <w:numId w:val="0"/>
        </w:numPr>
        <w:spacing w:before="0"/>
        <w:ind w:firstLine="709"/>
        <w:rPr>
          <w:i/>
          <w:sz w:val="20"/>
          <w:szCs w:val="20"/>
        </w:rPr>
      </w:pPr>
      <w:r w:rsidRPr="001A636B">
        <w:rPr>
          <w:i/>
          <w:sz w:val="20"/>
          <w:szCs w:val="20"/>
        </w:rPr>
        <w:t>Fonte: elaboração própria</w:t>
      </w:r>
    </w:p>
    <w:p w14:paraId="01D64AC0" w14:textId="77777777" w:rsidR="001A636B" w:rsidRPr="00FC2C70" w:rsidRDefault="001A636B" w:rsidP="001A636B">
      <w:pPr>
        <w:pStyle w:val="TCU-Ac-itens1a8"/>
        <w:rPr>
          <w:i/>
        </w:rPr>
      </w:pPr>
      <w:r w:rsidRPr="001A636B">
        <w:rPr>
          <w:i/>
        </w:rPr>
        <w:t xml:space="preserve">Acerca do contrato de concessão da área de Garça Branca, cabe salientar que no dia 31/8/2017 a ANP publicou no DOU um comunicado informando que o prazo limite de assinatura estava suspenso até deliberação da Diretoria Colegiada sobre eventual prorrogação. Ocorreram duas prorrogações do prazo para apresentação da garantia do Programa de Trabalho Inicial (PTI) e para a assinatura dos contratos da área de Garça Branca, conforme publicações no DOU de 16/10/2017 e 19/1/2018. Por fim, o contrato de concessão para reabilitação e produção de petróleo e gás natural </w:t>
      </w:r>
      <w:r w:rsidRPr="001A636B">
        <w:rPr>
          <w:i/>
        </w:rPr>
        <w:lastRenderedPageBreak/>
        <w:t xml:space="preserve">na área com </w:t>
      </w:r>
      <w:r w:rsidRPr="00FC2C70">
        <w:rPr>
          <w:i/>
        </w:rPr>
        <w:t>acumulações marginais de Garça Branca foi assinado em 27/4/2018 e o respectivo extrato publicado no DOU de 30/4/2018.</w:t>
      </w:r>
    </w:p>
    <w:p w14:paraId="14FE6199" w14:textId="77777777" w:rsidR="001A636B" w:rsidRPr="001A636B" w:rsidRDefault="001A636B" w:rsidP="001A636B">
      <w:pPr>
        <w:pStyle w:val="TCU-Ac-itens1a8"/>
        <w:rPr>
          <w:i/>
        </w:rPr>
      </w:pPr>
      <w:r w:rsidRPr="00FC2C70">
        <w:rPr>
          <w:i/>
        </w:rPr>
        <w:t>O envio de um contrato fora do prazo regulamentar não atrapalhou as análises consubstanciadas na presente instrução. Todavia, cabe dar ciência à Agência Nacional do Petróleo, Gás Natural e Biocombustíveis (ANP) que</w:t>
      </w:r>
      <w:r w:rsidRPr="001A636B">
        <w:rPr>
          <w:i/>
        </w:rPr>
        <w:t xml:space="preserve"> encaminhar contrato de concessão, em prazo superior a cinco dias da celebração, contraria o disposto no art. 8°, inciso IV, da IN TCU 27/1998.</w:t>
      </w:r>
    </w:p>
    <w:p w14:paraId="7DF2E6C0" w14:textId="77777777" w:rsidR="001A636B" w:rsidRPr="001A636B" w:rsidRDefault="001A636B" w:rsidP="001A636B">
      <w:pPr>
        <w:pStyle w:val="TCU-Ac-itens1a8"/>
        <w:rPr>
          <w:i/>
        </w:rPr>
      </w:pPr>
      <w:r w:rsidRPr="001A636B">
        <w:rPr>
          <w:i/>
        </w:rPr>
        <w:t xml:space="preserve">Os contratos foram verificados em relação à aderência com a minuta encaminhada previamente a este Tribunal (peça 24), a qual foi submetida à análise durante o segundo estágio, sem que fossem identificadas irregularidades nos seus procedimentos (Despacho do Relator, peça 29). </w:t>
      </w:r>
    </w:p>
    <w:p w14:paraId="6A8B3F1F" w14:textId="77777777" w:rsidR="001A636B" w:rsidRPr="001A636B" w:rsidRDefault="001A636B" w:rsidP="001A636B">
      <w:pPr>
        <w:pStyle w:val="TCU-Ac-itens1a8"/>
        <w:rPr>
          <w:i/>
        </w:rPr>
      </w:pPr>
      <w:r w:rsidRPr="001A636B">
        <w:rPr>
          <w:i/>
        </w:rPr>
        <w:t xml:space="preserve">Essa análise demonstrou que não houve alterações dos fundamentos dos contratos escolhidos em relação à minuta previamente estabelecida, estando, assim, em consonância com os propósitos desta fase de acompanhamento.    </w:t>
      </w:r>
    </w:p>
    <w:p w14:paraId="7B016D56" w14:textId="77777777" w:rsidR="001A636B" w:rsidRDefault="001A636B" w:rsidP="001A636B">
      <w:pPr>
        <w:pStyle w:val="TCU-Ac-itens1a8"/>
        <w:rPr>
          <w:i/>
        </w:rPr>
      </w:pPr>
      <w:r w:rsidRPr="001A636B">
        <w:rPr>
          <w:i/>
        </w:rPr>
        <w:t>Ante o exposto, tendo em vista que os contratos de concessão estão de acordo com a legislação aplicável à matéria e com a minuta de contrato analisada anteriormente, propõe-se considerar, com fundamento no art. 258, inciso II, do Regimento Interno do TCU, que sob o ponto de vista formal, a Agência Nacional do Petróleo, Gás Natural e Biocombustíveis (ANP) atendeu aos requisitos previstos no art. 7°, incisos IV, e art. 8°, inciso IV, referentes ao Quarto Estágio da Instrução Normativa TCU 27/1998, para a concessão de exploração de petróleo e gás natural no âmbito da Quarta Rodada de Licitações de Áreas com Acumulações Marginais e o arquivamento do presente processo.</w:t>
      </w:r>
    </w:p>
    <w:p w14:paraId="00CC7DB9" w14:textId="77777777" w:rsidR="001A636B" w:rsidRPr="001A636B" w:rsidRDefault="001A636B" w:rsidP="001A636B">
      <w:pPr>
        <w:pStyle w:val="Relatrio"/>
        <w:numPr>
          <w:ilvl w:val="0"/>
          <w:numId w:val="0"/>
        </w:numPr>
        <w:spacing w:before="0"/>
      </w:pPr>
      <w:r>
        <w:t>[...]</w:t>
      </w:r>
    </w:p>
    <w:p w14:paraId="3FFFD0E3" w14:textId="77777777" w:rsidR="001A636B" w:rsidRPr="001A636B" w:rsidRDefault="001A636B" w:rsidP="001A636B">
      <w:pPr>
        <w:pStyle w:val="Ttulo1"/>
        <w:rPr>
          <w:i/>
          <w:caps/>
          <w:color w:val="auto"/>
        </w:rPr>
      </w:pPr>
      <w:r w:rsidRPr="001A636B">
        <w:rPr>
          <w:i/>
          <w:caps/>
          <w:color w:val="auto"/>
        </w:rPr>
        <w:t>5. Proposta de Encaminhamento</w:t>
      </w:r>
    </w:p>
    <w:p w14:paraId="53FD7486" w14:textId="77777777" w:rsidR="001A636B" w:rsidRPr="001A636B" w:rsidRDefault="001A636B" w:rsidP="001A636B">
      <w:pPr>
        <w:pStyle w:val="Relatrio"/>
        <w:numPr>
          <w:ilvl w:val="0"/>
          <w:numId w:val="0"/>
        </w:numPr>
        <w:tabs>
          <w:tab w:val="left" w:pos="1134"/>
        </w:tabs>
        <w:spacing w:before="0"/>
        <w:rPr>
          <w:i/>
        </w:rPr>
      </w:pPr>
      <w:r>
        <w:rPr>
          <w:i/>
        </w:rPr>
        <w:t xml:space="preserve">30. </w:t>
      </w:r>
      <w:r w:rsidRPr="001A636B">
        <w:rPr>
          <w:i/>
        </w:rPr>
        <w:t>Ante o exposto, submetem-se os autos à consideração superior, para posterior envio ao gabinete do Ministro Relator José Múcio Monteiro, propondo:</w:t>
      </w:r>
    </w:p>
    <w:p w14:paraId="3D6C18BD" w14:textId="77777777" w:rsidR="001A636B" w:rsidRPr="001A636B" w:rsidRDefault="001A636B" w:rsidP="001A636B">
      <w:pPr>
        <w:pStyle w:val="Listadeinformaescorreto"/>
        <w:numPr>
          <w:ilvl w:val="0"/>
          <w:numId w:val="6"/>
        </w:numPr>
        <w:tabs>
          <w:tab w:val="clear" w:pos="1134"/>
        </w:tabs>
        <w:spacing w:before="0"/>
        <w:ind w:left="0" w:firstLine="0"/>
        <w:rPr>
          <w:i/>
        </w:rPr>
      </w:pPr>
      <w:r w:rsidRPr="001A636B">
        <w:rPr>
          <w:i/>
        </w:rPr>
        <w:t>considerar, com fundamento no art. 258, inciso II, do Regimento Interno do TCU, que sob o ponto de vista formal, a Agência Nacional do Petróleo, Gás Natural e Biocombustíveis (ANP) atendeu aos requisitos previstos no art. 7°, inciso IV, e art. 8°, inciso IV, referentes ao Quarto Estágio da Instrução Normativa TCU 27/1998, para a concessão de exploração de petróleo e gás natural no âmbito da Quarta Rodada de Licitações de Áreas com Acumulações Marginais;</w:t>
      </w:r>
    </w:p>
    <w:p w14:paraId="76FDDF40" w14:textId="77777777" w:rsidR="001A636B" w:rsidRPr="001A636B" w:rsidRDefault="001A636B" w:rsidP="001A636B">
      <w:pPr>
        <w:pStyle w:val="Listadeinformaescorreto"/>
        <w:numPr>
          <w:ilvl w:val="0"/>
          <w:numId w:val="6"/>
        </w:numPr>
        <w:tabs>
          <w:tab w:val="clear" w:pos="1134"/>
        </w:tabs>
        <w:spacing w:before="0"/>
        <w:ind w:left="0" w:firstLine="0"/>
        <w:rPr>
          <w:i/>
        </w:rPr>
      </w:pPr>
      <w:r w:rsidRPr="001A636B">
        <w:rPr>
          <w:i/>
        </w:rPr>
        <w:t>dar ciência à Agência Nacional do Petróleo, Gás Natural e Biocombustíveis (ANP) que encaminhar contrato de concessão, em prazo superior a cinco dias da celebração, contraria o disposto no art. 8°, inciso IV, da IN TCU 27/1998 e que o não encaminhamento do edital da licitação, acompanhado da minuta do contrato, afronta o disposto no art. 8º, inciso II, alínea c, da Instrução Normativa TCU 27/1998;</w:t>
      </w:r>
    </w:p>
    <w:p w14:paraId="046A9D3B" w14:textId="77777777" w:rsidR="001A636B" w:rsidRPr="001A636B" w:rsidRDefault="001A636B" w:rsidP="001A636B">
      <w:pPr>
        <w:pStyle w:val="Listadeinformaescorreto"/>
        <w:numPr>
          <w:ilvl w:val="0"/>
          <w:numId w:val="6"/>
        </w:numPr>
        <w:tabs>
          <w:tab w:val="clear" w:pos="1134"/>
        </w:tabs>
        <w:spacing w:before="0"/>
        <w:ind w:left="0" w:firstLine="0"/>
        <w:rPr>
          <w:i/>
        </w:rPr>
      </w:pPr>
      <w:r w:rsidRPr="001A636B">
        <w:rPr>
          <w:i/>
        </w:rPr>
        <w:t xml:space="preserve">encaminhar cópia do Acórdão que vier a ser proferido à Agência Nacional do Petróleo, Gás Natural e Biocombustíveis (ANP), ao Conselho Nacional de Política Energética (CNPE) e ao Ministério de Minas e Energia (MME), informando-os que o conteúdo da decisão poderá ser consultado no endereço </w:t>
      </w:r>
      <w:hyperlink r:id="rId11" w:history="1">
        <w:r w:rsidRPr="001A636B">
          <w:rPr>
            <w:i/>
          </w:rPr>
          <w:t>www.tcu.gov.br/acordaos</w:t>
        </w:r>
      </w:hyperlink>
      <w:r w:rsidRPr="001A636B">
        <w:rPr>
          <w:i/>
        </w:rPr>
        <w:t xml:space="preserve"> e que o inteiro teor dos acórdãos, incluindo os relatórios e os votos, pode ser obtido no dia seguinte ao de sua oficialização;</w:t>
      </w:r>
    </w:p>
    <w:p w14:paraId="091E8108" w14:textId="77777777" w:rsidR="001A636B" w:rsidRPr="001A636B" w:rsidRDefault="001A636B" w:rsidP="001A636B">
      <w:pPr>
        <w:pStyle w:val="Listadeinformaescorreto"/>
        <w:numPr>
          <w:ilvl w:val="0"/>
          <w:numId w:val="6"/>
        </w:numPr>
        <w:tabs>
          <w:tab w:val="clear" w:pos="1134"/>
        </w:tabs>
        <w:spacing w:before="0"/>
        <w:ind w:left="0" w:firstLine="0"/>
        <w:rPr>
          <w:i/>
        </w:rPr>
      </w:pPr>
      <w:r w:rsidRPr="001A636B">
        <w:rPr>
          <w:i/>
        </w:rPr>
        <w:t>encerrar o processo, em observância ao art. 169, inciso V, do Regimento Interno do TCU.</w:t>
      </w:r>
      <w:r>
        <w:t>”</w:t>
      </w:r>
    </w:p>
    <w:p w14:paraId="7248C3E7" w14:textId="77777777" w:rsidR="001A636B" w:rsidRDefault="001A636B" w:rsidP="001A636B">
      <w:pPr>
        <w:pStyle w:val="Listadeinformaescorreto"/>
        <w:spacing w:before="0"/>
        <w:ind w:left="1134"/>
      </w:pPr>
    </w:p>
    <w:p w14:paraId="6C90775E" w14:textId="77777777" w:rsidR="001A636B" w:rsidRPr="001A636B" w:rsidRDefault="001A636B" w:rsidP="001A636B">
      <w:pPr>
        <w:pStyle w:val="Listadeinformaescorreto"/>
        <w:spacing w:before="0"/>
        <w:ind w:left="1134"/>
      </w:pPr>
      <w:r>
        <w:t>É o relatório.</w:t>
      </w:r>
    </w:p>
    <w:p w14:paraId="7D403420" w14:textId="77777777" w:rsidR="009D0DEC" w:rsidRPr="009D0DEC" w:rsidRDefault="009D0DEC" w:rsidP="009D0DEC">
      <w:pPr>
        <w:tabs>
          <w:tab w:val="left" w:pos="1701"/>
        </w:tabs>
        <w:jc w:val="both"/>
        <w:rPr>
          <w:i/>
        </w:rPr>
      </w:pPr>
    </w:p>
    <w:p w14:paraId="231CADE2" w14:textId="77777777" w:rsidR="00AA4BFB" w:rsidRPr="009D0DEC" w:rsidRDefault="00AA4BFB" w:rsidP="009D0DEC">
      <w:pPr>
        <w:pStyle w:val="TCU-Epgrafe"/>
        <w:tabs>
          <w:tab w:val="left" w:pos="1134"/>
        </w:tabs>
        <w:ind w:left="0"/>
        <w:rPr>
          <w:i/>
        </w:rPr>
      </w:pPr>
      <w:r w:rsidRPr="009D0DEC">
        <w:rPr>
          <w:i/>
        </w:rPr>
        <w:br w:type="page"/>
      </w:r>
    </w:p>
    <w:p w14:paraId="1E476D21" w14:textId="77777777" w:rsidR="00AD3C90" w:rsidRPr="0039071C" w:rsidRDefault="00AD3C90" w:rsidP="00AD3C90">
      <w:pPr>
        <w:pStyle w:val="Normal0"/>
        <w:jc w:val="both"/>
        <w:rPr>
          <w:szCs w:val="24"/>
        </w:rPr>
      </w:pPr>
    </w:p>
    <w:p w14:paraId="35323D0B" w14:textId="77777777" w:rsidR="00EA61D7" w:rsidRPr="0039071C" w:rsidRDefault="00EF3978" w:rsidP="008D43AA">
      <w:pPr>
        <w:pStyle w:val="TCU-Epgrafe0"/>
        <w:ind w:left="0"/>
        <w:jc w:val="center"/>
        <w:rPr>
          <w:u w:val="single"/>
        </w:rPr>
      </w:pPr>
      <w:r w:rsidRPr="0039071C">
        <w:t>VOTO</w:t>
      </w:r>
    </w:p>
    <w:p w14:paraId="635C8F5C" w14:textId="77777777" w:rsidR="001F54E2" w:rsidRPr="0039071C" w:rsidRDefault="001F54E2" w:rsidP="008D43AA">
      <w:pPr>
        <w:pStyle w:val="TCU-Epgrafe0"/>
        <w:ind w:left="0"/>
        <w:jc w:val="center"/>
      </w:pPr>
    </w:p>
    <w:p w14:paraId="70F49762" w14:textId="77777777" w:rsidR="00D720A2" w:rsidRDefault="00D720A2" w:rsidP="00D720A2">
      <w:pPr>
        <w:pStyle w:val="TCU-Epgrafe0"/>
        <w:tabs>
          <w:tab w:val="left" w:pos="1134"/>
        </w:tabs>
        <w:ind w:left="0" w:firstLine="1134"/>
      </w:pPr>
      <w:r>
        <w:t xml:space="preserve">Tratam os autos de acompanhamento da quarta rodada de licitações para outorga de concessões de áreas inativas com acumulações marginais para atividades de reabilitação e produção de petróleo e gás natural, realizada pela Agência Nacional de Petróleo, Gás Natural e Biocombustíveis (ANP). As áreas objeto da licitação foram Garça Branca, Rio Mairicu, Iraúna, Noroeste do Morro Rosado, Uruau, Araças Leste, Itaparica, Jacumirim e Vale do Quiricó, todas </w:t>
      </w:r>
      <w:r>
        <w:rPr>
          <w:b/>
        </w:rPr>
        <w:t>onshore</w:t>
      </w:r>
      <w:r>
        <w:t xml:space="preserve"> e distribuídas nas bacias sedimentares do Potiguar, Recôncavo e Espírito Santo.</w:t>
      </w:r>
    </w:p>
    <w:p w14:paraId="72607812" w14:textId="77777777" w:rsidR="00D720A2" w:rsidRDefault="00D720A2" w:rsidP="00D720A2">
      <w:pPr>
        <w:pStyle w:val="TCU-Epgrafe0"/>
        <w:tabs>
          <w:tab w:val="left" w:pos="1134"/>
        </w:tabs>
        <w:ind w:left="0"/>
      </w:pPr>
      <w:r>
        <w:tab/>
      </w:r>
      <w:r w:rsidR="00426096">
        <w:t>2</w:t>
      </w:r>
      <w:r>
        <w:t>. Na Sessão de 7/12/2016, o Plenário apreciou os estudos de viabilidade técnica e econômica do objeto da licitação e, na ocasião, proferiu o Acórdão 3.169/2016 (peça 12) sem o apontamento de inconformidades nos documentos auditados.</w:t>
      </w:r>
    </w:p>
    <w:p w14:paraId="79EB32E9" w14:textId="77777777" w:rsidR="00D720A2" w:rsidRDefault="00426096" w:rsidP="00D720A2">
      <w:pPr>
        <w:pStyle w:val="TCU-Epgrafe0"/>
        <w:tabs>
          <w:tab w:val="left" w:pos="1134"/>
        </w:tabs>
        <w:ind w:left="0"/>
      </w:pPr>
      <w:r>
        <w:tab/>
        <w:t>3</w:t>
      </w:r>
      <w:r w:rsidR="00D720A2">
        <w:t>. Nesta fase processual, apreciam-se os segundo, terceiro e quarto estágios do acompanhamento efetuado pelo Tribunal a partir dos parâmetros estabelecidos pela Instrução Normativa 27/1998.</w:t>
      </w:r>
    </w:p>
    <w:p w14:paraId="4F0D15E5" w14:textId="77777777" w:rsidR="009D4DFC" w:rsidRDefault="00426096" w:rsidP="00D720A2">
      <w:pPr>
        <w:pStyle w:val="TCU-Epgrafe0"/>
        <w:tabs>
          <w:tab w:val="left" w:pos="1134"/>
        </w:tabs>
        <w:ind w:left="0"/>
      </w:pPr>
      <w:r>
        <w:tab/>
        <w:t>4</w:t>
      </w:r>
      <w:r w:rsidR="00D720A2">
        <w:t>. Conforme consignei no relatório, o único critério de classificação das propostas utilizado no certame foi o valor do bônus de assinatura. Das nove áreas licitadas, oito foram arrematadas (Noroeste do Morro Rosada não foi) pelo valor total de R$ 7.977.983,46, o que constituiu um ágio médio de 1.991,52%. O total de investimentos constante dos compromissos exploratório assumidos pelos novos concessionários para desenvolvimento inicial da exploraç</w:t>
      </w:r>
      <w:r w:rsidR="009D4DFC">
        <w:t>ão totaliz</w:t>
      </w:r>
      <w:r>
        <w:t>ou</w:t>
      </w:r>
      <w:r w:rsidR="009D4DFC">
        <w:t xml:space="preserve"> R$ 9.100.000,00. Oito diferentes empresas apresentaram propostas, sendo que seis obtiveram êxito no certame.</w:t>
      </w:r>
    </w:p>
    <w:p w14:paraId="440DD8C5" w14:textId="77777777" w:rsidR="009D4DFC" w:rsidRDefault="00426096" w:rsidP="00D720A2">
      <w:pPr>
        <w:pStyle w:val="TCU-Epgrafe0"/>
        <w:tabs>
          <w:tab w:val="left" w:pos="1134"/>
        </w:tabs>
        <w:ind w:left="0"/>
      </w:pPr>
      <w:r>
        <w:tab/>
        <w:t>5</w:t>
      </w:r>
      <w:r w:rsidR="009D4DFC">
        <w:t>. A SeinfraPetróleo analisou os documentos afetos: i) ao pré-edital, edital, minuta de contrato (segundo estágio); ii) à habilitação, julgamento das propostas, homologação e adjudicação (terceiro estágio); e iii) contrato celebrado (quarto estágio).</w:t>
      </w:r>
    </w:p>
    <w:p w14:paraId="6241CA97" w14:textId="77777777" w:rsidR="00896F2A" w:rsidRDefault="00426096" w:rsidP="009D4DFC">
      <w:pPr>
        <w:pStyle w:val="TCU-Epgrafe0"/>
        <w:tabs>
          <w:tab w:val="left" w:pos="1134"/>
        </w:tabs>
        <w:ind w:left="0"/>
      </w:pPr>
      <w:r>
        <w:tab/>
        <w:t>6</w:t>
      </w:r>
      <w:r w:rsidR="009D4DFC">
        <w:t>. Constatou-se que a ANP não cumpriu o prazo previsto no art. 8º</w:t>
      </w:r>
      <w:r w:rsidR="00192CA8">
        <w:t>, inciso II, alínea “c”,</w:t>
      </w:r>
      <w:r w:rsidR="009D4DFC">
        <w:t xml:space="preserve"> da IN 27/1998, que trata do encaminhamento do pré-edital</w:t>
      </w:r>
      <w:r w:rsidR="00192CA8">
        <w:t xml:space="preserve"> e </w:t>
      </w:r>
      <w:r w:rsidR="009D4DFC">
        <w:t xml:space="preserve">do edital </w:t>
      </w:r>
      <w:r w:rsidR="00192CA8">
        <w:t xml:space="preserve">publicados, nem o estipulado no art. 8º, inciso IV, do referido normativo, que fixa prazo para envio ao TCU do </w:t>
      </w:r>
      <w:r w:rsidR="009D4DFC">
        <w:t xml:space="preserve">contrato de </w:t>
      </w:r>
      <w:r w:rsidR="00192CA8">
        <w:t>concessão assinado.</w:t>
      </w:r>
      <w:r w:rsidR="009D4DFC">
        <w:t xml:space="preserve"> A unidade instrutiva destacou, contudo, que o “</w:t>
      </w:r>
      <w:r w:rsidR="009D4DFC">
        <w:rPr>
          <w:i/>
        </w:rPr>
        <w:t>encaminhamento intempestivo não prejudicou as análises efetuadas</w:t>
      </w:r>
      <w:r w:rsidR="009D4DFC">
        <w:t xml:space="preserve">”, uma vez que foi possível ter acesso aos documentos por meio da internet. </w:t>
      </w:r>
      <w:r w:rsidR="00192CA8">
        <w:t>Sendo assim</w:t>
      </w:r>
      <w:r w:rsidR="009D4DFC">
        <w:t xml:space="preserve">, </w:t>
      </w:r>
      <w:r w:rsidR="00192CA8">
        <w:t xml:space="preserve">e levando-se em conta </w:t>
      </w:r>
      <w:r w:rsidR="00896F2A">
        <w:t xml:space="preserve">as alterações no rito de acompanhamento pelo Tribunal desses certames, a partir da publicação da IN 81/2018, julgo que </w:t>
      </w:r>
      <w:r w:rsidR="00192CA8">
        <w:t xml:space="preserve">o </w:t>
      </w:r>
      <w:r w:rsidR="00896F2A">
        <w:t xml:space="preserve">mero </w:t>
      </w:r>
      <w:r w:rsidR="00192CA8">
        <w:t>recebimento da notificação da deliberação que submeto ao Tribunal será suficiente para que a agência tome ciência da falha.</w:t>
      </w:r>
      <w:r w:rsidR="00896F2A">
        <w:t xml:space="preserve"> Em relação aos demais elementos fiscalizados, a SeinfraPetróleo concluiu que estão aderentes à legislação setorial.</w:t>
      </w:r>
    </w:p>
    <w:p w14:paraId="1105F892" w14:textId="77777777" w:rsidR="00896F2A" w:rsidRPr="00D720A2" w:rsidRDefault="00896F2A" w:rsidP="009D4DFC">
      <w:pPr>
        <w:pStyle w:val="TCU-Epgrafe0"/>
        <w:tabs>
          <w:tab w:val="left" w:pos="1134"/>
        </w:tabs>
        <w:ind w:left="0"/>
      </w:pPr>
      <w:r>
        <w:tab/>
        <w:t>Anuo às análises efetuadas pela unidade técnica e voto por q</w:t>
      </w:r>
      <w:r w:rsidR="00426096">
        <w:t>ue este colegiado adote o acórdão</w:t>
      </w:r>
      <w:r>
        <w:t xml:space="preserve"> que ora submeto ao Tribunal.</w:t>
      </w:r>
    </w:p>
    <w:p w14:paraId="2D1DBA3A" w14:textId="77777777" w:rsidR="001A55BB" w:rsidRPr="0039071C" w:rsidRDefault="001A55BB" w:rsidP="008D43AA">
      <w:pPr>
        <w:pStyle w:val="TCU-Epgrafe0"/>
        <w:ind w:left="0"/>
        <w:jc w:val="center"/>
      </w:pPr>
    </w:p>
    <w:p w14:paraId="687E1DF5" w14:textId="77777777" w:rsidR="001F54E2" w:rsidRPr="0039071C" w:rsidRDefault="001F54E2" w:rsidP="008D43AA">
      <w:pPr>
        <w:pStyle w:val="TCU-Epgrafe0"/>
        <w:ind w:left="0"/>
        <w:jc w:val="center"/>
      </w:pPr>
    </w:p>
    <w:p w14:paraId="49502681" w14:textId="77777777" w:rsidR="001F54E2" w:rsidRPr="0039071C" w:rsidRDefault="001F54E2" w:rsidP="008D43AA">
      <w:pPr>
        <w:pStyle w:val="TCU-Epgrafe0"/>
        <w:ind w:left="0"/>
        <w:jc w:val="center"/>
      </w:pPr>
    </w:p>
    <w:p w14:paraId="22E20F49" w14:textId="77777777" w:rsidR="001F54E2" w:rsidRPr="0039071C" w:rsidRDefault="001F54E2" w:rsidP="008D43AA">
      <w:pPr>
        <w:pStyle w:val="TCU-Epgrafe0"/>
        <w:ind w:left="0"/>
        <w:jc w:val="center"/>
      </w:pPr>
    </w:p>
    <w:p w14:paraId="557136FD" w14:textId="77777777" w:rsidR="001F54E2" w:rsidRPr="0039071C" w:rsidRDefault="001F54E2" w:rsidP="008D43AA">
      <w:pPr>
        <w:pStyle w:val="TCU-Epgrafe0"/>
        <w:ind w:left="0"/>
        <w:jc w:val="center"/>
      </w:pPr>
    </w:p>
    <w:p w14:paraId="73576F15" w14:textId="77777777" w:rsidR="001F54E2" w:rsidRPr="0039071C" w:rsidRDefault="001F54E2" w:rsidP="001F54E2">
      <w:pPr>
        <w:pStyle w:val="BodyText0"/>
        <w:ind w:firstLine="1134"/>
      </w:pPr>
      <w:r w:rsidRPr="0039071C">
        <w:t xml:space="preserve">TCU, Sala das Sessões Ministro Luciano Brandão Alves de Souza, em </w:t>
      </w:r>
      <w:r w:rsidR="007948FB">
        <w:t>1 de agosto de 2018</w:t>
      </w:r>
      <w:r w:rsidRPr="0039071C">
        <w:t>.</w:t>
      </w:r>
    </w:p>
    <w:p w14:paraId="7C4D7D66" w14:textId="77777777" w:rsidR="001F54E2" w:rsidRPr="0039071C" w:rsidRDefault="001F54E2" w:rsidP="001F54E2">
      <w:pPr>
        <w:pStyle w:val="BodyText0"/>
        <w:jc w:val="center"/>
      </w:pPr>
    </w:p>
    <w:p w14:paraId="43D0AD29" w14:textId="77777777" w:rsidR="001F54E2" w:rsidRPr="0039071C" w:rsidRDefault="001F54E2" w:rsidP="001F54E2">
      <w:pPr>
        <w:pStyle w:val="BodyText0"/>
        <w:jc w:val="center"/>
      </w:pPr>
    </w:p>
    <w:p w14:paraId="378FE885" w14:textId="77777777" w:rsidR="001F54E2" w:rsidRPr="0039071C" w:rsidRDefault="001F54E2" w:rsidP="001F54E2">
      <w:pPr>
        <w:pStyle w:val="BodyText0"/>
        <w:jc w:val="center"/>
      </w:pPr>
    </w:p>
    <w:p w14:paraId="26D7FC00" w14:textId="77777777" w:rsidR="00EB4D72" w:rsidRPr="0039071C" w:rsidRDefault="00EB4D72" w:rsidP="001F54E2">
      <w:pPr>
        <w:pStyle w:val="BodyText0"/>
        <w:jc w:val="center"/>
      </w:pPr>
    </w:p>
    <w:p w14:paraId="46EB62FE" w14:textId="77777777" w:rsidR="001F54E2" w:rsidRPr="0039071C" w:rsidRDefault="00A513B2" w:rsidP="001F54E2">
      <w:pPr>
        <w:pStyle w:val="BodyText0"/>
        <w:jc w:val="center"/>
      </w:pPr>
      <w:r w:rsidRPr="0039071C">
        <w:t xml:space="preserve">JOSÉ MÚCIO MONTEIRO </w:t>
      </w:r>
    </w:p>
    <w:p w14:paraId="4F417FB1" w14:textId="77777777" w:rsidR="00EA61D7" w:rsidRPr="0039071C" w:rsidRDefault="00F5286C" w:rsidP="00896F2A">
      <w:pPr>
        <w:pStyle w:val="BodyText0"/>
        <w:jc w:val="center"/>
      </w:pPr>
      <w:r>
        <w:t>Relator</w:t>
      </w:r>
    </w:p>
    <w:p w14:paraId="1ECC85D7" w14:textId="77777777" w:rsidR="00EA61D7" w:rsidRPr="0039071C" w:rsidRDefault="00EA61D7" w:rsidP="00AD3C90">
      <w:pPr>
        <w:pStyle w:val="TCU-Epgrafe0"/>
        <w:ind w:left="0"/>
        <w:rPr>
          <w:szCs w:val="24"/>
          <w:u w:val="single"/>
        </w:rPr>
      </w:pPr>
    </w:p>
    <w:p w14:paraId="27374919" w14:textId="77777777" w:rsidR="00AA4BFB" w:rsidRPr="009D0DEC" w:rsidRDefault="00AA4BFB" w:rsidP="009D0DEC">
      <w:pPr>
        <w:pStyle w:val="TCU-Epgrafe"/>
        <w:tabs>
          <w:tab w:val="left" w:pos="1134"/>
        </w:tabs>
        <w:ind w:left="0"/>
        <w:rPr>
          <w:i/>
        </w:rPr>
      </w:pPr>
      <w:r w:rsidRPr="009D0DEC">
        <w:rPr>
          <w:i/>
        </w:rPr>
        <w:lastRenderedPageBreak/>
        <w:br w:type="page"/>
      </w:r>
    </w:p>
    <w:p w14:paraId="0EFBFC35" w14:textId="77777777" w:rsidR="0033110C" w:rsidRPr="00DE0343" w:rsidRDefault="0033110C" w:rsidP="0033110C">
      <w:pPr>
        <w:pStyle w:val="Normal1"/>
        <w:widowControl w:val="0"/>
        <w:tabs>
          <w:tab w:val="left" w:pos="-142"/>
        </w:tabs>
        <w:autoSpaceDE w:val="0"/>
        <w:autoSpaceDN w:val="0"/>
        <w:ind w:left="360"/>
        <w:rPr>
          <w:szCs w:val="24"/>
        </w:rPr>
      </w:pPr>
    </w:p>
    <w:p w14:paraId="7407329A" w14:textId="77777777" w:rsidR="00F24798" w:rsidRPr="00DE0343" w:rsidRDefault="00F24798" w:rsidP="00F24798">
      <w:pPr>
        <w:pStyle w:val="Normal1"/>
        <w:widowControl w:val="0"/>
        <w:tabs>
          <w:tab w:val="left" w:pos="-142"/>
        </w:tabs>
        <w:autoSpaceDE w:val="0"/>
        <w:autoSpaceDN w:val="0"/>
        <w:ind w:left="360"/>
        <w:jc w:val="center"/>
        <w:rPr>
          <w:szCs w:val="24"/>
        </w:rPr>
      </w:pPr>
      <w:r w:rsidRPr="00DE0343">
        <w:rPr>
          <w:szCs w:val="24"/>
        </w:rPr>
        <w:t>ACÓRDÃO Nº 1769/2018</w:t>
      </w:r>
      <w:r w:rsidR="00AB2D19">
        <w:rPr>
          <w:szCs w:val="24"/>
        </w:rPr>
        <w:t xml:space="preserve"> </w:t>
      </w:r>
      <w:r w:rsidR="00EC3F30" w:rsidRPr="00DE0343">
        <w:rPr>
          <w:szCs w:val="24"/>
        </w:rPr>
        <w:t>–</w:t>
      </w:r>
      <w:r w:rsidR="00AB2D19">
        <w:rPr>
          <w:szCs w:val="24"/>
        </w:rPr>
        <w:t xml:space="preserve"> </w:t>
      </w:r>
      <w:r w:rsidRPr="00DE0343">
        <w:rPr>
          <w:szCs w:val="24"/>
        </w:rPr>
        <w:t>TCU</w:t>
      </w:r>
      <w:r w:rsidR="00AB2D19">
        <w:rPr>
          <w:szCs w:val="24"/>
        </w:rPr>
        <w:t xml:space="preserve"> </w:t>
      </w:r>
      <w:r w:rsidRPr="00DE0343">
        <w:rPr>
          <w:szCs w:val="24"/>
        </w:rPr>
        <w:t>–</w:t>
      </w:r>
      <w:r w:rsidR="00AB2D19">
        <w:rPr>
          <w:szCs w:val="24"/>
        </w:rPr>
        <w:t xml:space="preserve"> </w:t>
      </w:r>
      <w:r w:rsidRPr="00DE0343">
        <w:rPr>
          <w:szCs w:val="24"/>
        </w:rPr>
        <w:t>Plenário</w:t>
      </w:r>
    </w:p>
    <w:p w14:paraId="532D245F" w14:textId="77777777" w:rsidR="00F24798" w:rsidRPr="00DE0343" w:rsidRDefault="00F24798" w:rsidP="00F24798">
      <w:pPr>
        <w:pStyle w:val="TCU-Epgrafe1"/>
        <w:ind w:left="0"/>
        <w:jc w:val="center"/>
        <w:rPr>
          <w:szCs w:val="24"/>
        </w:rPr>
      </w:pPr>
    </w:p>
    <w:p w14:paraId="05D9360B" w14:textId="77777777" w:rsidR="00F24798" w:rsidRPr="00DE0343" w:rsidRDefault="00F41BF6" w:rsidP="00F2091E">
      <w:pPr>
        <w:pStyle w:val="Normal1"/>
        <w:widowControl w:val="0"/>
        <w:tabs>
          <w:tab w:val="left" w:pos="284"/>
        </w:tabs>
        <w:autoSpaceDE w:val="0"/>
        <w:autoSpaceDN w:val="0"/>
        <w:jc w:val="both"/>
        <w:rPr>
          <w:szCs w:val="24"/>
        </w:rPr>
      </w:pPr>
      <w:r>
        <w:rPr>
          <w:szCs w:val="24"/>
        </w:rPr>
        <w:t>1</w:t>
      </w:r>
      <w:r w:rsidR="00F2091E" w:rsidRPr="00DE0343">
        <w:rPr>
          <w:szCs w:val="24"/>
        </w:rPr>
        <w:t xml:space="preserve">. </w:t>
      </w:r>
      <w:r w:rsidR="0013330D">
        <w:rPr>
          <w:szCs w:val="24"/>
        </w:rPr>
        <w:t>Processo nº TC 029.248/2016-7</w:t>
      </w:r>
      <w:r w:rsidR="00F24798" w:rsidRPr="00DE0343">
        <w:rPr>
          <w:szCs w:val="24"/>
        </w:rPr>
        <w:t xml:space="preserve"> </w:t>
      </w:r>
    </w:p>
    <w:p w14:paraId="78FAFC30" w14:textId="77777777" w:rsidR="00F24798" w:rsidRPr="00DE0343" w:rsidRDefault="00F2091E" w:rsidP="00F2091E">
      <w:pPr>
        <w:pStyle w:val="Normal1"/>
        <w:widowControl w:val="0"/>
        <w:tabs>
          <w:tab w:val="left" w:pos="284"/>
        </w:tabs>
        <w:autoSpaceDE w:val="0"/>
        <w:autoSpaceDN w:val="0"/>
        <w:jc w:val="both"/>
        <w:rPr>
          <w:szCs w:val="24"/>
        </w:rPr>
      </w:pPr>
      <w:r w:rsidRPr="00DE0343">
        <w:rPr>
          <w:szCs w:val="24"/>
        </w:rPr>
        <w:t xml:space="preserve">2. </w:t>
      </w:r>
      <w:r w:rsidR="00F24798" w:rsidRPr="00DE0343">
        <w:rPr>
          <w:szCs w:val="24"/>
        </w:rPr>
        <w:t>Grupo I – Classe</w:t>
      </w:r>
      <w:r w:rsidR="009429CF">
        <w:rPr>
          <w:szCs w:val="24"/>
        </w:rPr>
        <w:t>:</w:t>
      </w:r>
      <w:r w:rsidR="0013330D">
        <w:rPr>
          <w:szCs w:val="24"/>
        </w:rPr>
        <w:t xml:space="preserve"> V - </w:t>
      </w:r>
      <w:r w:rsidR="008C3D62" w:rsidRPr="008659BF">
        <w:rPr>
          <w:szCs w:val="24"/>
        </w:rPr>
        <w:t>Desestatização</w:t>
      </w:r>
      <w:r w:rsidR="00C237DD" w:rsidRPr="00DE0343">
        <w:rPr>
          <w:szCs w:val="24"/>
        </w:rPr>
        <w:t xml:space="preserve"> </w:t>
      </w:r>
    </w:p>
    <w:p w14:paraId="4FA9C67B" w14:textId="77777777" w:rsidR="00C237DD" w:rsidRPr="00DE0343" w:rsidRDefault="00F2091E" w:rsidP="00F2091E">
      <w:pPr>
        <w:pStyle w:val="Normal1"/>
        <w:widowControl w:val="0"/>
        <w:tabs>
          <w:tab w:val="left" w:pos="284"/>
        </w:tabs>
        <w:autoSpaceDE w:val="0"/>
        <w:autoSpaceDN w:val="0"/>
        <w:jc w:val="both"/>
        <w:rPr>
          <w:szCs w:val="24"/>
        </w:rPr>
      </w:pPr>
      <w:r w:rsidRPr="00DE0343">
        <w:rPr>
          <w:szCs w:val="24"/>
        </w:rPr>
        <w:t xml:space="preserve">3. </w:t>
      </w:r>
      <w:r w:rsidR="00F24798" w:rsidRPr="00DE0343">
        <w:rPr>
          <w:szCs w:val="24"/>
        </w:rPr>
        <w:t>Responsáve</w:t>
      </w:r>
      <w:r w:rsidR="00DF00F7">
        <w:rPr>
          <w:szCs w:val="24"/>
        </w:rPr>
        <w:t>l</w:t>
      </w:r>
      <w:r w:rsidR="00F24798" w:rsidRPr="00DE0343">
        <w:rPr>
          <w:szCs w:val="24"/>
        </w:rPr>
        <w:t xml:space="preserve">: </w:t>
      </w:r>
      <w:r w:rsidR="00DF00F7" w:rsidRPr="00DF00F7">
        <w:rPr>
          <w:szCs w:val="24"/>
        </w:rPr>
        <w:t>Décio Fabricio Oddone da Costa</w:t>
      </w:r>
      <w:r w:rsidR="00DF00F7">
        <w:rPr>
          <w:szCs w:val="24"/>
        </w:rPr>
        <w:t xml:space="preserve">, Diretor-Geral (CPF </w:t>
      </w:r>
      <w:r w:rsidR="00DF00F7" w:rsidRPr="00DF00F7">
        <w:rPr>
          <w:szCs w:val="24"/>
        </w:rPr>
        <w:t>449.112.110-91</w:t>
      </w:r>
      <w:r w:rsidR="00DF00F7">
        <w:rPr>
          <w:szCs w:val="24"/>
        </w:rPr>
        <w:t>)</w:t>
      </w:r>
    </w:p>
    <w:p w14:paraId="3F303F11" w14:textId="77777777" w:rsidR="00F24798" w:rsidRPr="00DE0343" w:rsidRDefault="00F2091E" w:rsidP="00F2091E">
      <w:pPr>
        <w:pStyle w:val="Normal1"/>
        <w:widowControl w:val="0"/>
        <w:tabs>
          <w:tab w:val="left" w:pos="284"/>
        </w:tabs>
        <w:autoSpaceDE w:val="0"/>
        <w:autoSpaceDN w:val="0"/>
        <w:jc w:val="both"/>
        <w:rPr>
          <w:szCs w:val="24"/>
        </w:rPr>
      </w:pPr>
      <w:r w:rsidRPr="00DE0343">
        <w:rPr>
          <w:szCs w:val="24"/>
        </w:rPr>
        <w:t xml:space="preserve">4. </w:t>
      </w:r>
      <w:r w:rsidR="0013330D">
        <w:rPr>
          <w:szCs w:val="24"/>
        </w:rPr>
        <w:t>Unidade</w:t>
      </w:r>
      <w:r w:rsidR="00F24798" w:rsidRPr="00DE0343">
        <w:rPr>
          <w:szCs w:val="24"/>
        </w:rPr>
        <w:t>: Agência Nacional do Petróleo, Gás Natural e Biocombustíveis</w:t>
      </w:r>
      <w:r w:rsidR="0013330D">
        <w:rPr>
          <w:szCs w:val="24"/>
        </w:rPr>
        <w:t xml:space="preserve"> (ANP)</w:t>
      </w:r>
    </w:p>
    <w:p w14:paraId="38F0359C" w14:textId="77777777" w:rsidR="00F24798" w:rsidRPr="00DE0343" w:rsidRDefault="00F2091E" w:rsidP="00F2091E">
      <w:pPr>
        <w:pStyle w:val="Normal1"/>
        <w:widowControl w:val="0"/>
        <w:tabs>
          <w:tab w:val="left" w:pos="284"/>
        </w:tabs>
        <w:autoSpaceDE w:val="0"/>
        <w:autoSpaceDN w:val="0"/>
        <w:jc w:val="both"/>
        <w:rPr>
          <w:szCs w:val="24"/>
        </w:rPr>
      </w:pPr>
      <w:r w:rsidRPr="00DE0343">
        <w:rPr>
          <w:szCs w:val="24"/>
        </w:rPr>
        <w:t xml:space="preserve">5. </w:t>
      </w:r>
      <w:r w:rsidR="00F24798" w:rsidRPr="00DE0343">
        <w:rPr>
          <w:szCs w:val="24"/>
        </w:rPr>
        <w:t>Relator: Ministro José Múcio Monteiro</w:t>
      </w:r>
    </w:p>
    <w:p w14:paraId="7245719E" w14:textId="77777777" w:rsidR="00F24798" w:rsidRPr="00DE0343" w:rsidRDefault="00F2091E" w:rsidP="00F2091E">
      <w:pPr>
        <w:pStyle w:val="Normal1"/>
        <w:widowControl w:val="0"/>
        <w:tabs>
          <w:tab w:val="left" w:pos="284"/>
        </w:tabs>
        <w:autoSpaceDE w:val="0"/>
        <w:autoSpaceDN w:val="0"/>
        <w:jc w:val="both"/>
        <w:rPr>
          <w:szCs w:val="24"/>
        </w:rPr>
      </w:pPr>
      <w:r w:rsidRPr="00DE0343">
        <w:rPr>
          <w:szCs w:val="24"/>
        </w:rPr>
        <w:t xml:space="preserve">6. </w:t>
      </w:r>
      <w:r w:rsidR="00F24798" w:rsidRPr="00DE0343">
        <w:rPr>
          <w:szCs w:val="24"/>
        </w:rPr>
        <w:t>Representante do Ministério Público: não atuou</w:t>
      </w:r>
    </w:p>
    <w:p w14:paraId="6D24B355" w14:textId="77777777" w:rsidR="00F24798" w:rsidRPr="00DE0343" w:rsidRDefault="00F2091E" w:rsidP="00F2091E">
      <w:pPr>
        <w:pStyle w:val="Normal1"/>
        <w:widowControl w:val="0"/>
        <w:tabs>
          <w:tab w:val="left" w:pos="284"/>
        </w:tabs>
        <w:autoSpaceDE w:val="0"/>
        <w:autoSpaceDN w:val="0"/>
        <w:jc w:val="both"/>
        <w:rPr>
          <w:szCs w:val="24"/>
        </w:rPr>
      </w:pPr>
      <w:r w:rsidRPr="00DE0343">
        <w:rPr>
          <w:szCs w:val="24"/>
        </w:rPr>
        <w:t xml:space="preserve">7. </w:t>
      </w:r>
      <w:r w:rsidR="00F24798" w:rsidRPr="00DE0343">
        <w:rPr>
          <w:szCs w:val="24"/>
        </w:rPr>
        <w:t>Unidade Técnica: Secretaria de Fiscalização de Infraestrutura de Petróleo e Gás Natural (SeinfraPet</w:t>
      </w:r>
      <w:r w:rsidR="0013330D">
        <w:rPr>
          <w:szCs w:val="24"/>
        </w:rPr>
        <w:t>róleo</w:t>
      </w:r>
      <w:r w:rsidR="00F24798" w:rsidRPr="00DE0343">
        <w:rPr>
          <w:szCs w:val="24"/>
        </w:rPr>
        <w:t>)</w:t>
      </w:r>
    </w:p>
    <w:p w14:paraId="3400A450" w14:textId="77777777" w:rsidR="00F24798" w:rsidRPr="00DE0343" w:rsidRDefault="00F2091E" w:rsidP="00F2091E">
      <w:pPr>
        <w:pStyle w:val="Normal1"/>
        <w:widowControl w:val="0"/>
        <w:tabs>
          <w:tab w:val="left" w:pos="284"/>
        </w:tabs>
        <w:autoSpaceDE w:val="0"/>
        <w:autoSpaceDN w:val="0"/>
        <w:jc w:val="both"/>
        <w:rPr>
          <w:szCs w:val="24"/>
        </w:rPr>
      </w:pPr>
      <w:r w:rsidRPr="00DE0343">
        <w:rPr>
          <w:szCs w:val="24"/>
        </w:rPr>
        <w:t xml:space="preserve">8. </w:t>
      </w:r>
      <w:r w:rsidR="0013330D">
        <w:rPr>
          <w:szCs w:val="24"/>
        </w:rPr>
        <w:t>Advogados constituídos nos autos</w:t>
      </w:r>
      <w:r w:rsidR="00F24798" w:rsidRPr="00DE0343">
        <w:rPr>
          <w:szCs w:val="24"/>
        </w:rPr>
        <w:t>: não há</w:t>
      </w:r>
    </w:p>
    <w:p w14:paraId="17AC6236" w14:textId="77777777" w:rsidR="00142D83" w:rsidRDefault="00142D83" w:rsidP="009F2172">
      <w:pPr>
        <w:pStyle w:val="Normal1"/>
        <w:widowControl w:val="0"/>
        <w:tabs>
          <w:tab w:val="left" w:pos="284"/>
        </w:tabs>
        <w:autoSpaceDE w:val="0"/>
        <w:autoSpaceDN w:val="0"/>
        <w:jc w:val="both"/>
        <w:rPr>
          <w:szCs w:val="24"/>
        </w:rPr>
      </w:pPr>
    </w:p>
    <w:p w14:paraId="4B408097" w14:textId="77777777" w:rsidR="005150A7" w:rsidRDefault="00F2091E" w:rsidP="009F2172">
      <w:pPr>
        <w:pStyle w:val="Normal1"/>
        <w:widowControl w:val="0"/>
        <w:tabs>
          <w:tab w:val="left" w:pos="284"/>
        </w:tabs>
        <w:autoSpaceDE w:val="0"/>
        <w:autoSpaceDN w:val="0"/>
        <w:jc w:val="both"/>
        <w:rPr>
          <w:szCs w:val="24"/>
        </w:rPr>
      </w:pPr>
      <w:r w:rsidRPr="00DE0343">
        <w:rPr>
          <w:szCs w:val="24"/>
        </w:rPr>
        <w:t xml:space="preserve">9. </w:t>
      </w:r>
      <w:r w:rsidR="00F24798" w:rsidRPr="00DE0343">
        <w:rPr>
          <w:szCs w:val="24"/>
        </w:rPr>
        <w:t>Acórdão:</w:t>
      </w:r>
    </w:p>
    <w:p w14:paraId="04920BEF" w14:textId="77777777" w:rsidR="00F330F3" w:rsidRDefault="00584355" w:rsidP="00584355">
      <w:pPr>
        <w:pStyle w:val="Normal1"/>
        <w:widowControl w:val="0"/>
        <w:tabs>
          <w:tab w:val="left" w:pos="1134"/>
        </w:tabs>
        <w:autoSpaceDE w:val="0"/>
        <w:autoSpaceDN w:val="0"/>
        <w:jc w:val="both"/>
      </w:pPr>
      <w:r>
        <w:rPr>
          <w:szCs w:val="24"/>
        </w:rPr>
        <w:tab/>
        <w:t xml:space="preserve">VISTOS, relatados e discutidos estes autos, que, nesta fase processual, tratam da continuidade do acompanhamento da </w:t>
      </w:r>
      <w:r>
        <w:t>quarta rodada de licitações para outorga de concessões de áreas inativas com acumulações marginais para atividades de reabilitação e produção de petróleo e gás natural, realizada pela Agência Nacional de Petróleo, Gás Natural e Biocombustíveis (ANP).</w:t>
      </w:r>
    </w:p>
    <w:p w14:paraId="71E07297" w14:textId="77777777" w:rsidR="00584355" w:rsidRDefault="00584355" w:rsidP="00584355">
      <w:pPr>
        <w:pStyle w:val="Normal1"/>
        <w:widowControl w:val="0"/>
        <w:tabs>
          <w:tab w:val="left" w:pos="1134"/>
        </w:tabs>
        <w:autoSpaceDE w:val="0"/>
        <w:autoSpaceDN w:val="0"/>
        <w:jc w:val="both"/>
      </w:pPr>
      <w:r>
        <w:tab/>
        <w:t>ACORDAM os Ministros do Tribunal de Contas da União, reunidos em sessão do Plenário, ante as razões expostas pelo relator e com fundamento no art. 169, inciso V, do Regimento Interno do TCU, em:</w:t>
      </w:r>
    </w:p>
    <w:p w14:paraId="4A98EF7C" w14:textId="77777777" w:rsidR="00584355" w:rsidRDefault="00584355" w:rsidP="00584355">
      <w:pPr>
        <w:pStyle w:val="Normal1"/>
        <w:widowControl w:val="0"/>
        <w:tabs>
          <w:tab w:val="left" w:pos="1134"/>
        </w:tabs>
        <w:autoSpaceDE w:val="0"/>
        <w:autoSpaceDN w:val="0"/>
        <w:jc w:val="both"/>
      </w:pPr>
      <w:r>
        <w:tab/>
        <w:t>9.1. arquivar o presente processo;</w:t>
      </w:r>
    </w:p>
    <w:p w14:paraId="68283FC9" w14:textId="77777777" w:rsidR="00584355" w:rsidRPr="008639E2" w:rsidRDefault="00584355" w:rsidP="00584355">
      <w:pPr>
        <w:pStyle w:val="Normal1"/>
        <w:widowControl w:val="0"/>
        <w:tabs>
          <w:tab w:val="left" w:pos="1134"/>
        </w:tabs>
        <w:autoSpaceDE w:val="0"/>
        <w:autoSpaceDN w:val="0"/>
        <w:jc w:val="both"/>
        <w:rPr>
          <w:szCs w:val="24"/>
        </w:rPr>
      </w:pPr>
      <w:r>
        <w:tab/>
        <w:t xml:space="preserve">9.2. notificar a Agência Nacional de Petróleo, Gás Natural e Biocombustíveis (ANP), o Ministério de Minas e Energia (MME) e o Conselho Naconal de Política Energética (CNPE) desta deliberação. </w:t>
      </w:r>
    </w:p>
    <w:p w14:paraId="6B23F6C1" w14:textId="77777777" w:rsidR="00142D83" w:rsidRDefault="00142D83" w:rsidP="00A14B5A">
      <w:pPr>
        <w:pStyle w:val="Normal1"/>
        <w:jc w:val="both"/>
        <w:rPr>
          <w:color w:val="000000"/>
          <w:szCs w:val="24"/>
        </w:rPr>
      </w:pPr>
    </w:p>
    <w:p w14:paraId="5DBE4A2A" w14:textId="77777777" w:rsidR="00A64B75" w:rsidRDefault="00A64B75" w:rsidP="00A14B5A">
      <w:pPr>
        <w:pStyle w:val="Normal1"/>
        <w:jc w:val="both"/>
        <w:rPr>
          <w:color w:val="000000"/>
          <w:szCs w:val="24"/>
        </w:rPr>
      </w:pPr>
      <w:r>
        <w:rPr>
          <w:color w:val="000000"/>
          <w:szCs w:val="24"/>
        </w:rPr>
        <w:t>10. Ata n° 29/2018 – Plenário</w:t>
      </w:r>
      <w:r w:rsidR="00E964BF">
        <w:rPr>
          <w:color w:val="000000"/>
          <w:szCs w:val="24"/>
        </w:rPr>
        <w:t>.</w:t>
      </w:r>
    </w:p>
    <w:p w14:paraId="6830176E" w14:textId="77777777" w:rsidR="00A64B75" w:rsidRDefault="00A64B75" w:rsidP="00A14B5A">
      <w:pPr>
        <w:pStyle w:val="Normal1"/>
        <w:jc w:val="both"/>
        <w:rPr>
          <w:color w:val="000000"/>
          <w:szCs w:val="24"/>
        </w:rPr>
      </w:pPr>
      <w:r>
        <w:rPr>
          <w:color w:val="000000"/>
          <w:szCs w:val="24"/>
        </w:rPr>
        <w:t>11. Data da Sessão: 1/8/2018 – Ordinária</w:t>
      </w:r>
      <w:r w:rsidR="00E964BF">
        <w:rPr>
          <w:color w:val="000000"/>
          <w:szCs w:val="24"/>
        </w:rPr>
        <w:t>.</w:t>
      </w:r>
    </w:p>
    <w:p w14:paraId="17FFBF90" w14:textId="77777777" w:rsidR="00A64B75" w:rsidRDefault="00A64B75" w:rsidP="00A14B5A">
      <w:pPr>
        <w:pStyle w:val="Normal1"/>
        <w:jc w:val="both"/>
        <w:rPr>
          <w:color w:val="000000"/>
          <w:szCs w:val="24"/>
        </w:rPr>
      </w:pPr>
      <w:r>
        <w:rPr>
          <w:color w:val="000000"/>
          <w:szCs w:val="24"/>
        </w:rPr>
        <w:t>12. Código eletrônico para localização na página do TCU na Internet: AC-1769-29/18-P</w:t>
      </w:r>
      <w:r w:rsidR="00E964BF">
        <w:rPr>
          <w:color w:val="000000"/>
          <w:szCs w:val="24"/>
        </w:rPr>
        <w:t>.</w:t>
      </w:r>
    </w:p>
    <w:p w14:paraId="4964C0AB" w14:textId="77777777" w:rsidR="00A64B75" w:rsidRDefault="00A64B75" w:rsidP="00A14B5A">
      <w:pPr>
        <w:pStyle w:val="Normal1"/>
        <w:jc w:val="both"/>
        <w:rPr>
          <w:szCs w:val="24"/>
        </w:rPr>
      </w:pPr>
      <w:r>
        <w:rPr>
          <w:color w:val="000000"/>
          <w:szCs w:val="24"/>
        </w:rPr>
        <w:t>13. Especificação do quorum:</w:t>
      </w:r>
      <w:r w:rsidR="00E102DC">
        <w:rPr>
          <w:color w:val="000000"/>
          <w:szCs w:val="24"/>
        </w:rPr>
        <w:t xml:space="preserve"> </w:t>
      </w:r>
    </w:p>
    <w:p w14:paraId="3940334B" w14:textId="77777777" w:rsidR="00A64B75" w:rsidRDefault="00A64B75" w:rsidP="00A14B5A">
      <w:pPr>
        <w:pStyle w:val="Normal1"/>
        <w:jc w:val="both"/>
        <w:rPr>
          <w:szCs w:val="24"/>
        </w:rPr>
      </w:pPr>
      <w:r>
        <w:rPr>
          <w:szCs w:val="24"/>
        </w:rPr>
        <w:t>13.1. Ministros presentes: Raimundo Carreiro (Presidente), Walton Alencar Rodrigues, Benjamin Zymler, Augusto Nardes, Aroldo Cedraz, José Múcio Monteiro (Relator) e Ana Arraes.</w:t>
      </w:r>
    </w:p>
    <w:p w14:paraId="6EFC8F8C" w14:textId="77777777" w:rsidR="00A64B75" w:rsidRDefault="00A64B75" w:rsidP="00A14B5A">
      <w:pPr>
        <w:pStyle w:val="Normal1"/>
        <w:jc w:val="both"/>
        <w:rPr>
          <w:szCs w:val="24"/>
        </w:rPr>
      </w:pPr>
      <w:r>
        <w:rPr>
          <w:szCs w:val="24"/>
        </w:rPr>
        <w:t>13.2. Ministro-Substituto convocado: Augusto Sherman Cavalcanti.</w:t>
      </w:r>
    </w:p>
    <w:p w14:paraId="6A1BDCC0" w14:textId="77777777" w:rsidR="00A64B75" w:rsidRDefault="00A64B75" w:rsidP="00A14B5A">
      <w:pPr>
        <w:pStyle w:val="Normal1"/>
        <w:jc w:val="both"/>
        <w:rPr>
          <w:szCs w:val="24"/>
        </w:rPr>
      </w:pPr>
      <w:r>
        <w:rPr>
          <w:szCs w:val="24"/>
        </w:rPr>
        <w:t>13.3. Ministros-Substitutos presentes: Marcos Bemquerer Costa, André Luís de Carvalho e Weder de Oliveira.</w:t>
      </w:r>
    </w:p>
    <w:p w14:paraId="49F0AB5C" w14:textId="77777777" w:rsidR="00A64B75" w:rsidRDefault="00A64B75" w:rsidP="00A14B5A">
      <w:pPr>
        <w:pStyle w:val="Normal1"/>
        <w:jc w:val="both"/>
        <w:rPr>
          <w:color w:val="000000"/>
          <w:szCs w:val="24"/>
        </w:rPr>
      </w:pPr>
    </w:p>
    <w:p w14:paraId="30EABAB2" w14:textId="77777777" w:rsidR="008F477F" w:rsidRDefault="008F477F" w:rsidP="00A14B5A">
      <w:pPr>
        <w:pStyle w:val="Normal1"/>
        <w:jc w:val="both"/>
        <w:rPr>
          <w:color w:val="000000"/>
          <w:szCs w:val="24"/>
        </w:rPr>
      </w:pPr>
    </w:p>
    <w:tbl>
      <w:tblPr>
        <w:tblW w:w="10200" w:type="dxa"/>
        <w:jc w:val="center"/>
        <w:tblLayout w:type="fixed"/>
        <w:tblCellMar>
          <w:left w:w="0" w:type="dxa"/>
          <w:right w:w="0" w:type="dxa"/>
        </w:tblCellMar>
        <w:tblLook w:val="04A0" w:firstRow="1" w:lastRow="0" w:firstColumn="1" w:lastColumn="0" w:noHBand="0" w:noVBand="1"/>
      </w:tblPr>
      <w:tblGrid>
        <w:gridCol w:w="5100"/>
        <w:gridCol w:w="5100"/>
      </w:tblGrid>
      <w:tr w:rsidR="008F477F" w14:paraId="098C9B7C" w14:textId="77777777">
        <w:trPr>
          <w:jc w:val="center"/>
        </w:trPr>
        <w:tc>
          <w:tcPr>
            <w:tcW w:w="5100" w:type="dxa"/>
            <w:tcBorders>
              <w:top w:val="nil"/>
              <w:left w:val="nil"/>
              <w:bottom w:val="nil"/>
              <w:right w:val="nil"/>
            </w:tcBorders>
            <w:tcMar>
              <w:top w:w="0" w:type="dxa"/>
              <w:left w:w="0" w:type="dxa"/>
              <w:bottom w:w="0" w:type="dxa"/>
              <w:right w:w="0" w:type="dxa"/>
            </w:tcMar>
          </w:tcPr>
          <w:p w14:paraId="38090313" w14:textId="77777777" w:rsidR="008F477F" w:rsidRDefault="008F477F" w:rsidP="008F477F">
            <w:pPr>
              <w:pStyle w:val="Normal1"/>
              <w:jc w:val="center"/>
              <w:rPr>
                <w:color w:val="000000"/>
                <w:sz w:val="20"/>
              </w:rPr>
            </w:pPr>
            <w:r>
              <w:rPr>
                <w:color w:val="000000"/>
                <w:sz w:val="20"/>
              </w:rPr>
              <w:t>(Assinado Eletronicamente)</w:t>
            </w:r>
          </w:p>
          <w:p w14:paraId="4CC7C386" w14:textId="77777777" w:rsidR="008F477F" w:rsidRDefault="008F477F" w:rsidP="00D32800">
            <w:pPr>
              <w:pStyle w:val="Normal1"/>
              <w:jc w:val="center"/>
              <w:rPr>
                <w:color w:val="000000"/>
                <w:szCs w:val="24"/>
              </w:rPr>
            </w:pPr>
            <w:r>
              <w:rPr>
                <w:color w:val="000000"/>
                <w:szCs w:val="24"/>
              </w:rPr>
              <w:t>RAIMUNDO CARREIRO</w:t>
            </w:r>
          </w:p>
        </w:tc>
        <w:tc>
          <w:tcPr>
            <w:tcW w:w="5100" w:type="dxa"/>
            <w:tcBorders>
              <w:top w:val="nil"/>
              <w:left w:val="nil"/>
              <w:bottom w:val="nil"/>
              <w:right w:val="nil"/>
            </w:tcBorders>
            <w:tcMar>
              <w:top w:w="0" w:type="dxa"/>
              <w:left w:w="0" w:type="dxa"/>
              <w:bottom w:w="0" w:type="dxa"/>
              <w:right w:w="0" w:type="dxa"/>
            </w:tcMar>
          </w:tcPr>
          <w:p w14:paraId="26A4BA6E" w14:textId="77777777" w:rsidR="008F477F" w:rsidRDefault="008F477F" w:rsidP="008F477F">
            <w:pPr>
              <w:pStyle w:val="Normal1"/>
              <w:jc w:val="center"/>
              <w:rPr>
                <w:color w:val="000000"/>
                <w:sz w:val="20"/>
              </w:rPr>
            </w:pPr>
            <w:r>
              <w:rPr>
                <w:color w:val="000000"/>
                <w:sz w:val="20"/>
              </w:rPr>
              <w:t>(Assinado Eletronicamente)</w:t>
            </w:r>
          </w:p>
          <w:p w14:paraId="1890E422" w14:textId="77777777" w:rsidR="008F477F" w:rsidRDefault="008F477F" w:rsidP="00D32800">
            <w:pPr>
              <w:pStyle w:val="Normal1"/>
              <w:jc w:val="center"/>
              <w:rPr>
                <w:color w:val="000000"/>
                <w:szCs w:val="24"/>
              </w:rPr>
            </w:pPr>
            <w:r>
              <w:rPr>
                <w:color w:val="000000"/>
                <w:szCs w:val="24"/>
              </w:rPr>
              <w:t>JOSÉ MÚCIO MONTEIRO</w:t>
            </w:r>
          </w:p>
        </w:tc>
      </w:tr>
      <w:tr w:rsidR="008F477F" w14:paraId="4F3BCF0E" w14:textId="77777777">
        <w:trPr>
          <w:jc w:val="center"/>
        </w:trPr>
        <w:tc>
          <w:tcPr>
            <w:tcW w:w="5100" w:type="dxa"/>
            <w:tcBorders>
              <w:top w:val="nil"/>
              <w:left w:val="nil"/>
              <w:bottom w:val="nil"/>
              <w:right w:val="nil"/>
            </w:tcBorders>
            <w:tcMar>
              <w:top w:w="0" w:type="dxa"/>
              <w:left w:w="0" w:type="dxa"/>
              <w:bottom w:w="0" w:type="dxa"/>
              <w:right w:w="0" w:type="dxa"/>
            </w:tcMar>
          </w:tcPr>
          <w:p w14:paraId="7235A130" w14:textId="77777777" w:rsidR="008F477F" w:rsidRDefault="008F477F" w:rsidP="00D32800">
            <w:pPr>
              <w:pStyle w:val="Normal1"/>
              <w:jc w:val="center"/>
              <w:rPr>
                <w:color w:val="000000"/>
                <w:szCs w:val="24"/>
              </w:rPr>
            </w:pPr>
            <w:r>
              <w:rPr>
                <w:color w:val="000000"/>
                <w:szCs w:val="24"/>
              </w:rPr>
              <w:t>Presidente</w:t>
            </w:r>
          </w:p>
        </w:tc>
        <w:tc>
          <w:tcPr>
            <w:tcW w:w="5100" w:type="dxa"/>
            <w:tcBorders>
              <w:top w:val="nil"/>
              <w:left w:val="nil"/>
              <w:bottom w:val="nil"/>
              <w:right w:val="nil"/>
            </w:tcBorders>
            <w:tcMar>
              <w:top w:w="0" w:type="dxa"/>
              <w:left w:w="0" w:type="dxa"/>
              <w:bottom w:w="0" w:type="dxa"/>
              <w:right w:w="0" w:type="dxa"/>
            </w:tcMar>
          </w:tcPr>
          <w:p w14:paraId="0E7590AC" w14:textId="77777777" w:rsidR="008F477F" w:rsidRDefault="008F477F" w:rsidP="00D32800">
            <w:pPr>
              <w:pStyle w:val="Normal1"/>
              <w:jc w:val="center"/>
              <w:rPr>
                <w:color w:val="000000"/>
                <w:szCs w:val="24"/>
              </w:rPr>
            </w:pPr>
            <w:r>
              <w:rPr>
                <w:color w:val="000000"/>
                <w:szCs w:val="24"/>
              </w:rPr>
              <w:t>Relator</w:t>
            </w:r>
          </w:p>
        </w:tc>
      </w:tr>
    </w:tbl>
    <w:p w14:paraId="44832B3F" w14:textId="77777777" w:rsidR="008F477F" w:rsidRDefault="008F477F" w:rsidP="008F477F">
      <w:pPr>
        <w:pStyle w:val="Normal1"/>
        <w:jc w:val="center"/>
        <w:rPr>
          <w:color w:val="000000"/>
          <w:szCs w:val="24"/>
        </w:rPr>
      </w:pPr>
    </w:p>
    <w:p w14:paraId="771EDD96" w14:textId="77777777" w:rsidR="008F477F" w:rsidRDefault="008F477F" w:rsidP="008F477F">
      <w:pPr>
        <w:pStyle w:val="Normal1"/>
        <w:jc w:val="center"/>
        <w:rPr>
          <w:color w:val="000000"/>
          <w:szCs w:val="24"/>
        </w:rPr>
      </w:pPr>
    </w:p>
    <w:p w14:paraId="7627AB31" w14:textId="77777777" w:rsidR="008F477F" w:rsidRDefault="008F477F" w:rsidP="008F477F">
      <w:pPr>
        <w:pStyle w:val="Normal1"/>
        <w:jc w:val="center"/>
        <w:rPr>
          <w:color w:val="000000"/>
          <w:szCs w:val="24"/>
        </w:rPr>
      </w:pPr>
      <w:r>
        <w:rPr>
          <w:color w:val="000000"/>
          <w:szCs w:val="24"/>
        </w:rPr>
        <w:t>Fui presente:</w:t>
      </w:r>
    </w:p>
    <w:p w14:paraId="6ADF5FA0" w14:textId="77777777" w:rsidR="008F477F" w:rsidRDefault="008F477F" w:rsidP="008F477F">
      <w:pPr>
        <w:pStyle w:val="Normal1"/>
        <w:jc w:val="center"/>
        <w:rPr>
          <w:color w:val="000000"/>
          <w:szCs w:val="24"/>
        </w:rPr>
      </w:pPr>
    </w:p>
    <w:p w14:paraId="16645B76" w14:textId="77777777" w:rsidR="008F477F" w:rsidRDefault="008F477F" w:rsidP="008F477F">
      <w:pPr>
        <w:pStyle w:val="Normal1"/>
        <w:jc w:val="center"/>
        <w:rPr>
          <w:color w:val="000000"/>
          <w:szCs w:val="24"/>
        </w:rPr>
      </w:pPr>
    </w:p>
    <w:p w14:paraId="23158BB8" w14:textId="77777777" w:rsidR="008F477F" w:rsidRDefault="008F477F" w:rsidP="008F477F">
      <w:pPr>
        <w:pStyle w:val="Normal1"/>
        <w:jc w:val="center"/>
        <w:rPr>
          <w:color w:val="000000"/>
          <w:sz w:val="20"/>
        </w:rPr>
      </w:pPr>
      <w:r>
        <w:rPr>
          <w:color w:val="000000"/>
          <w:sz w:val="20"/>
        </w:rPr>
        <w:t>(Assinado Eletronicamente)</w:t>
      </w:r>
    </w:p>
    <w:p w14:paraId="0C9DE11F" w14:textId="77777777" w:rsidR="008F477F" w:rsidRDefault="008F477F" w:rsidP="008F477F">
      <w:pPr>
        <w:pStyle w:val="Normal1"/>
        <w:jc w:val="center"/>
        <w:rPr>
          <w:color w:val="000000"/>
          <w:szCs w:val="24"/>
        </w:rPr>
      </w:pPr>
      <w:r>
        <w:rPr>
          <w:color w:val="000000"/>
          <w:szCs w:val="24"/>
        </w:rPr>
        <w:t>CRISTINA MACHADO DA COSTA E SILVA</w:t>
      </w:r>
    </w:p>
    <w:p w14:paraId="1FD21C7C" w14:textId="77777777" w:rsidR="008F477F" w:rsidRDefault="008F477F" w:rsidP="008F477F">
      <w:pPr>
        <w:pStyle w:val="Normal1"/>
        <w:jc w:val="center"/>
        <w:rPr>
          <w:color w:val="000000"/>
          <w:szCs w:val="24"/>
        </w:rPr>
      </w:pPr>
      <w:r>
        <w:rPr>
          <w:color w:val="000000"/>
          <w:szCs w:val="24"/>
        </w:rPr>
        <w:t>Procuradora-Geral</w:t>
      </w:r>
    </w:p>
    <w:p w14:paraId="5A9B79B1" w14:textId="77777777" w:rsidR="00383BD1" w:rsidRPr="00956937" w:rsidRDefault="00383BD1" w:rsidP="008F477F">
      <w:pPr>
        <w:pStyle w:val="Normal1"/>
        <w:jc w:val="both"/>
        <w:rPr>
          <w:color w:val="000000"/>
          <w:szCs w:val="24"/>
        </w:rPr>
      </w:pPr>
    </w:p>
    <w:p w14:paraId="1998616E" w14:textId="77777777" w:rsidR="00584355" w:rsidRPr="008639E2" w:rsidRDefault="00584355" w:rsidP="00584355">
      <w:pPr>
        <w:pStyle w:val="Normal1"/>
        <w:widowControl w:val="0"/>
        <w:tabs>
          <w:tab w:val="left" w:pos="1134"/>
        </w:tabs>
        <w:autoSpaceDE w:val="0"/>
        <w:autoSpaceDN w:val="0"/>
        <w:jc w:val="both"/>
        <w:rPr>
          <w:szCs w:val="24"/>
        </w:rPr>
      </w:pPr>
    </w:p>
    <w:p w14:paraId="05DE828B" w14:textId="77777777" w:rsidR="00AA4BFB" w:rsidRPr="009D0DEC" w:rsidRDefault="00AA4BFB" w:rsidP="009D0DEC">
      <w:pPr>
        <w:pStyle w:val="TCU-Epgrafe"/>
        <w:tabs>
          <w:tab w:val="left" w:pos="1134"/>
        </w:tabs>
        <w:ind w:left="0"/>
        <w:rPr>
          <w:i/>
        </w:rPr>
      </w:pPr>
    </w:p>
    <w:sectPr w:rsidR="00AA4BFB" w:rsidRPr="009D0DEC">
      <w:headerReference w:type="default" r:id="rId12"/>
      <w:footerReference w:type="default" r:id="rId13"/>
      <w:pgSz w:w="11906" w:h="16838" w:code="9"/>
      <w:pgMar w:top="1671" w:right="567" w:bottom="851" w:left="1418" w:header="85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00CBF" w14:textId="77777777" w:rsidR="00902CD5" w:rsidRDefault="00902CD5" w:rsidP="00ED5179">
      <w:r>
        <w:separator/>
      </w:r>
    </w:p>
  </w:endnote>
  <w:endnote w:type="continuationSeparator" w:id="0">
    <w:p w14:paraId="20684539" w14:textId="77777777" w:rsidR="00902CD5" w:rsidRDefault="00902CD5" w:rsidP="00ED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Univer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AC2" w14:textId="77777777" w:rsidR="009D0DEC" w:rsidRDefault="009D0DEC">
    <w:pPr>
      <w:pStyle w:val="Rodap"/>
      <w:jc w:val="right"/>
    </w:pPr>
    <w:r>
      <w:fldChar w:fldCharType="begin"/>
    </w:r>
    <w:r>
      <w:instrText xml:space="preserve"> PAGE   \* MERGEFORMAT </w:instrText>
    </w:r>
    <w:r>
      <w:fldChar w:fldCharType="separate"/>
    </w:r>
    <w:r w:rsidR="0014398C">
      <w:rPr>
        <w:noProof/>
      </w:rPr>
      <w:t>2</w:t>
    </w:r>
    <w:r>
      <w:fldChar w:fldCharType="end"/>
    </w:r>
  </w:p>
  <w:p w14:paraId="44A97A1F" w14:textId="77777777" w:rsidR="009D0DEC" w:rsidRDefault="009D0DEC" w:rsidP="00D702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A668E" w14:textId="77777777" w:rsidR="00902CD5" w:rsidRDefault="00902CD5" w:rsidP="00ED5179">
      <w:r>
        <w:separator/>
      </w:r>
    </w:p>
  </w:footnote>
  <w:footnote w:type="continuationSeparator" w:id="0">
    <w:p w14:paraId="51E413FD" w14:textId="77777777" w:rsidR="00902CD5" w:rsidRDefault="00902CD5" w:rsidP="00ED5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7A597" w14:textId="77777777" w:rsidR="009D0DEC" w:rsidRDefault="00E045C6" w:rsidP="00842D06">
    <w:pPr>
      <w:pStyle w:val="Cabealho"/>
    </w:pPr>
    <w:r>
      <w:rPr>
        <w:noProof/>
      </w:rPr>
      <w:drawing>
        <wp:anchor distT="0" distB="0" distL="114300" distR="114300" simplePos="0" relativeHeight="251659264" behindDoc="0" locked="0" layoutInCell="1" allowOverlap="1" wp14:anchorId="483D6FD4" wp14:editId="77F7E929">
          <wp:simplePos x="0" y="0"/>
          <wp:positionH relativeFrom="column">
            <wp:posOffset>23495</wp:posOffset>
          </wp:positionH>
          <wp:positionV relativeFrom="paragraph">
            <wp:posOffset>-47625</wp:posOffset>
          </wp:positionV>
          <wp:extent cx="638175" cy="552450"/>
          <wp:effectExtent l="0" t="0" r="0" b="0"/>
          <wp:wrapThrough wrapText="bothSides">
            <wp:wrapPolygon edited="0">
              <wp:start x="0" y="0"/>
              <wp:lineTo x="0" y="20855"/>
              <wp:lineTo x="21278" y="20855"/>
              <wp:lineTo x="21278"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84421" w14:textId="77777777" w:rsidR="009D0DEC" w:rsidRPr="00B41043" w:rsidRDefault="009D0DEC" w:rsidP="00842D06">
    <w:pPr>
      <w:pStyle w:val="Cabealho"/>
      <w:tabs>
        <w:tab w:val="clear" w:pos="8504"/>
        <w:tab w:val="right" w:pos="9923"/>
      </w:tabs>
      <w:rPr>
        <w:rFonts w:ascii="Times New (W1)" w:hAnsi="Times New (W1)"/>
        <w:sz w:val="22"/>
      </w:rPr>
    </w:pPr>
    <w:r>
      <w:t xml:space="preserve">                      </w:t>
    </w:r>
    <w:r w:rsidRPr="00E027B1">
      <w:rPr>
        <w:rFonts w:ascii="Arial Black" w:hAnsi="Arial Black"/>
        <w:b/>
        <w:sz w:val="18"/>
        <w:szCs w:val="18"/>
      </w:rPr>
      <w:t>TRIBUNAL DE CONTAS DA UNIÃO</w:t>
    </w:r>
    <w:r w:rsidRPr="00B41043">
      <w:rPr>
        <w:rFonts w:ascii="Times New (W1)" w:hAnsi="Times New (W1)"/>
        <w:b/>
        <w:sz w:val="22"/>
      </w:rPr>
      <w:tab/>
    </w:r>
    <w:r w:rsidRPr="00E027B1">
      <w:rPr>
        <w:rFonts w:ascii="Arial" w:hAnsi="Arial" w:cs="Arial"/>
        <w:sz w:val="18"/>
        <w:szCs w:val="18"/>
      </w:rPr>
      <w:t>TC 029.248/2016-7</w:t>
    </w:r>
  </w:p>
  <w:p w14:paraId="26FAA19F" w14:textId="77777777" w:rsidR="009D0DEC" w:rsidRPr="00842D06" w:rsidRDefault="009D0DEC" w:rsidP="00842D06">
    <w:pPr>
      <w:pStyle w:val="Cabealho"/>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6E8639A"/>
    <w:name w:val="Outline"/>
    <w:lvl w:ilvl="0">
      <w:start w:val="12"/>
      <w:numFmt w:val="decimal"/>
      <w:pStyle w:val="Relatrio"/>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4CE5322D"/>
    <w:multiLevelType w:val="hybridMultilevel"/>
    <w:tmpl w:val="4BD22EE2"/>
    <w:lvl w:ilvl="0" w:tplc="00000000">
      <w:start w:val="14"/>
      <w:numFmt w:val="decimal"/>
      <w:pStyle w:val="TCU-Ac-itens1a8"/>
      <w:lvlText w:val="%1."/>
      <w:lvlJc w:val="left"/>
      <w:pPr>
        <w:tabs>
          <w:tab w:val="num" w:pos="1134"/>
        </w:tabs>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15:restartNumberingAfterBreak="0">
    <w:nsid w:val="53A942E9"/>
    <w:multiLevelType w:val="hybridMultilevel"/>
    <w:tmpl w:val="86608B1C"/>
    <w:lvl w:ilvl="0" w:tplc="00000000">
      <w:start w:val="1"/>
      <w:numFmt w:val="lowerLetter"/>
      <w:lvlText w:val="%1)"/>
      <w:lvlJc w:val="left"/>
      <w:pPr>
        <w:ind w:left="1494" w:hanging="360"/>
      </w:pPr>
      <w:rPr>
        <w:rFonts w:cs="Times New Roman"/>
      </w:rPr>
    </w:lvl>
    <w:lvl w:ilvl="1" w:tplc="00000001">
      <w:start w:val="1"/>
      <w:numFmt w:val="lowerLetter"/>
      <w:lvlText w:val="%2."/>
      <w:lvlJc w:val="left"/>
      <w:pPr>
        <w:ind w:left="2214" w:hanging="360"/>
      </w:pPr>
      <w:rPr>
        <w:rFonts w:cs="Times New Roman"/>
      </w:rPr>
    </w:lvl>
    <w:lvl w:ilvl="2" w:tplc="00000002">
      <w:start w:val="1"/>
      <w:numFmt w:val="lowerRoman"/>
      <w:lvlText w:val="%3."/>
      <w:lvlJc w:val="right"/>
      <w:pPr>
        <w:ind w:left="2934" w:hanging="180"/>
      </w:pPr>
      <w:rPr>
        <w:rFonts w:cs="Times New Roman"/>
      </w:rPr>
    </w:lvl>
    <w:lvl w:ilvl="3" w:tplc="00000003">
      <w:start w:val="1"/>
      <w:numFmt w:val="decimal"/>
      <w:lvlText w:val="%4."/>
      <w:lvlJc w:val="left"/>
      <w:pPr>
        <w:ind w:left="3654" w:hanging="360"/>
      </w:pPr>
      <w:rPr>
        <w:rFonts w:cs="Times New Roman"/>
      </w:rPr>
    </w:lvl>
    <w:lvl w:ilvl="4" w:tplc="00000004">
      <w:start w:val="1"/>
      <w:numFmt w:val="lowerLetter"/>
      <w:lvlText w:val="%5."/>
      <w:lvlJc w:val="left"/>
      <w:pPr>
        <w:ind w:left="4374" w:hanging="360"/>
      </w:pPr>
      <w:rPr>
        <w:rFonts w:cs="Times New Roman"/>
      </w:rPr>
    </w:lvl>
    <w:lvl w:ilvl="5" w:tplc="00000005">
      <w:start w:val="1"/>
      <w:numFmt w:val="lowerRoman"/>
      <w:lvlText w:val="%6."/>
      <w:lvlJc w:val="right"/>
      <w:pPr>
        <w:ind w:left="5094" w:hanging="180"/>
      </w:pPr>
      <w:rPr>
        <w:rFonts w:cs="Times New Roman"/>
      </w:rPr>
    </w:lvl>
    <w:lvl w:ilvl="6" w:tplc="00000006">
      <w:start w:val="1"/>
      <w:numFmt w:val="decimal"/>
      <w:lvlText w:val="%7."/>
      <w:lvlJc w:val="left"/>
      <w:pPr>
        <w:ind w:left="5814" w:hanging="360"/>
      </w:pPr>
      <w:rPr>
        <w:rFonts w:cs="Times New Roman"/>
      </w:rPr>
    </w:lvl>
    <w:lvl w:ilvl="7" w:tplc="00000007">
      <w:start w:val="1"/>
      <w:numFmt w:val="lowerLetter"/>
      <w:lvlText w:val="%8."/>
      <w:lvlJc w:val="left"/>
      <w:pPr>
        <w:ind w:left="6534" w:hanging="360"/>
      </w:pPr>
      <w:rPr>
        <w:rFonts w:cs="Times New Roman"/>
      </w:rPr>
    </w:lvl>
    <w:lvl w:ilvl="8" w:tplc="00000008">
      <w:start w:val="1"/>
      <w:numFmt w:val="lowerRoman"/>
      <w:lvlText w:val="%9."/>
      <w:lvlJc w:val="right"/>
      <w:pPr>
        <w:ind w:left="7254" w:hanging="180"/>
      </w:pPr>
      <w:rPr>
        <w:rFonts w:cs="Times New Roman"/>
      </w:rPr>
    </w:lvl>
  </w:abstractNum>
  <w:abstractNum w:abstractNumId="3" w15:restartNumberingAfterBreak="0">
    <w:nsid w:val="78D55EDA"/>
    <w:multiLevelType w:val="hybridMultilevel"/>
    <w:tmpl w:val="72382BF0"/>
    <w:lvl w:ilvl="0" w:tplc="00000000">
      <w:start w:val="1"/>
      <w:numFmt w:val="lowerLetter"/>
      <w:pStyle w:val="listadeinformaes"/>
      <w:lvlText w:val="%1)"/>
      <w:lvlJc w:val="left"/>
      <w:pPr>
        <w:ind w:left="1494" w:hanging="360"/>
      </w:pPr>
      <w:rPr>
        <w:rFonts w:cs="Times New Roman"/>
      </w:rPr>
    </w:lvl>
    <w:lvl w:ilvl="1" w:tplc="00000001">
      <w:start w:val="1"/>
      <w:numFmt w:val="lowerLetter"/>
      <w:lvlText w:val="%2."/>
      <w:lvlJc w:val="left"/>
      <w:pPr>
        <w:ind w:left="2574" w:hanging="360"/>
      </w:pPr>
      <w:rPr>
        <w:rFonts w:cs="Times New Roman"/>
      </w:rPr>
    </w:lvl>
    <w:lvl w:ilvl="2" w:tplc="00000002">
      <w:start w:val="1"/>
      <w:numFmt w:val="lowerRoman"/>
      <w:lvlText w:val="%3."/>
      <w:lvlJc w:val="right"/>
      <w:pPr>
        <w:ind w:left="3294" w:hanging="180"/>
      </w:pPr>
      <w:rPr>
        <w:rFonts w:cs="Times New Roman"/>
      </w:rPr>
    </w:lvl>
    <w:lvl w:ilvl="3" w:tplc="00000003">
      <w:start w:val="1"/>
      <w:numFmt w:val="decimal"/>
      <w:lvlText w:val="%4."/>
      <w:lvlJc w:val="left"/>
      <w:pPr>
        <w:ind w:left="4014" w:hanging="360"/>
      </w:pPr>
      <w:rPr>
        <w:rFonts w:cs="Times New Roman"/>
      </w:rPr>
    </w:lvl>
    <w:lvl w:ilvl="4" w:tplc="00000004">
      <w:start w:val="1"/>
      <w:numFmt w:val="lowerLetter"/>
      <w:lvlText w:val="%5."/>
      <w:lvlJc w:val="left"/>
      <w:pPr>
        <w:ind w:left="4734" w:hanging="360"/>
      </w:pPr>
      <w:rPr>
        <w:rFonts w:cs="Times New Roman"/>
      </w:rPr>
    </w:lvl>
    <w:lvl w:ilvl="5" w:tplc="00000005">
      <w:start w:val="1"/>
      <w:numFmt w:val="lowerRoman"/>
      <w:lvlText w:val="%6."/>
      <w:lvlJc w:val="right"/>
      <w:pPr>
        <w:ind w:left="5454" w:hanging="180"/>
      </w:pPr>
      <w:rPr>
        <w:rFonts w:cs="Times New Roman"/>
      </w:rPr>
    </w:lvl>
    <w:lvl w:ilvl="6" w:tplc="00000006">
      <w:start w:val="1"/>
      <w:numFmt w:val="decimal"/>
      <w:lvlText w:val="%7."/>
      <w:lvlJc w:val="left"/>
      <w:pPr>
        <w:ind w:left="6174" w:hanging="360"/>
      </w:pPr>
      <w:rPr>
        <w:rFonts w:cs="Times New Roman"/>
      </w:rPr>
    </w:lvl>
    <w:lvl w:ilvl="7" w:tplc="00000007">
      <w:start w:val="1"/>
      <w:numFmt w:val="lowerLetter"/>
      <w:lvlText w:val="%8."/>
      <w:lvlJc w:val="left"/>
      <w:pPr>
        <w:ind w:left="6894" w:hanging="360"/>
      </w:pPr>
      <w:rPr>
        <w:rFonts w:cs="Times New Roman"/>
      </w:rPr>
    </w:lvl>
    <w:lvl w:ilvl="8" w:tplc="00000008">
      <w:start w:val="1"/>
      <w:numFmt w:val="lowerRoman"/>
      <w:lvlText w:val="%9."/>
      <w:lvlJc w:val="right"/>
      <w:pPr>
        <w:ind w:left="7614" w:hanging="180"/>
      </w:pPr>
      <w:rPr>
        <w:rFonts w:cs="Times New Roman"/>
      </w:rPr>
    </w:lvl>
  </w:abstractNum>
  <w:num w:numId="1">
    <w:abstractNumId w:val="0"/>
  </w:num>
  <w:num w:numId="2">
    <w:abstractNumId w:val="3"/>
  </w:num>
  <w:num w:numId="3">
    <w:abstractNumId w:val="3"/>
    <w:lvlOverride w:ilvl="0">
      <w:startOverride w:val="1"/>
    </w:lvlOverride>
  </w:num>
  <w:num w:numId="4">
    <w:abstractNumId w:val="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NormalStyleForList/>
    <w:useAltKinsokuLineBreakRules/>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ED5179"/>
    <w:rsid w:val="00067819"/>
    <w:rsid w:val="00072D06"/>
    <w:rsid w:val="000F2444"/>
    <w:rsid w:val="0013330D"/>
    <w:rsid w:val="0013773E"/>
    <w:rsid w:val="00142D83"/>
    <w:rsid w:val="0014398C"/>
    <w:rsid w:val="00177D47"/>
    <w:rsid w:val="00192CA8"/>
    <w:rsid w:val="001A0F92"/>
    <w:rsid w:val="001A55BB"/>
    <w:rsid w:val="001A636B"/>
    <w:rsid w:val="001D00C5"/>
    <w:rsid w:val="001F4538"/>
    <w:rsid w:val="001F54E2"/>
    <w:rsid w:val="0020622A"/>
    <w:rsid w:val="00234034"/>
    <w:rsid w:val="002526AB"/>
    <w:rsid w:val="00256B0C"/>
    <w:rsid w:val="00295550"/>
    <w:rsid w:val="002961A3"/>
    <w:rsid w:val="002C7FDD"/>
    <w:rsid w:val="002E380E"/>
    <w:rsid w:val="00327A3D"/>
    <w:rsid w:val="0033110C"/>
    <w:rsid w:val="00344ECE"/>
    <w:rsid w:val="00383BD1"/>
    <w:rsid w:val="0039071C"/>
    <w:rsid w:val="003E35D7"/>
    <w:rsid w:val="003F6210"/>
    <w:rsid w:val="0040496D"/>
    <w:rsid w:val="00426096"/>
    <w:rsid w:val="00445CBC"/>
    <w:rsid w:val="005150A7"/>
    <w:rsid w:val="005264AF"/>
    <w:rsid w:val="00532988"/>
    <w:rsid w:val="00540BCC"/>
    <w:rsid w:val="005510CA"/>
    <w:rsid w:val="00584355"/>
    <w:rsid w:val="005A2E89"/>
    <w:rsid w:val="006006C2"/>
    <w:rsid w:val="006779C0"/>
    <w:rsid w:val="00703C89"/>
    <w:rsid w:val="007250BA"/>
    <w:rsid w:val="007404E0"/>
    <w:rsid w:val="007948FB"/>
    <w:rsid w:val="007F103F"/>
    <w:rsid w:val="008048F0"/>
    <w:rsid w:val="008148A5"/>
    <w:rsid w:val="00842D06"/>
    <w:rsid w:val="0086374D"/>
    <w:rsid w:val="008639E2"/>
    <w:rsid w:val="008659BF"/>
    <w:rsid w:val="0088255F"/>
    <w:rsid w:val="00896F2A"/>
    <w:rsid w:val="008C3D62"/>
    <w:rsid w:val="008D43AA"/>
    <w:rsid w:val="008F0439"/>
    <w:rsid w:val="008F477F"/>
    <w:rsid w:val="00902CD5"/>
    <w:rsid w:val="00924297"/>
    <w:rsid w:val="00935B2B"/>
    <w:rsid w:val="009429CF"/>
    <w:rsid w:val="00956937"/>
    <w:rsid w:val="0095776C"/>
    <w:rsid w:val="00991087"/>
    <w:rsid w:val="009B0538"/>
    <w:rsid w:val="009C1CD2"/>
    <w:rsid w:val="009C38B6"/>
    <w:rsid w:val="009D0DEC"/>
    <w:rsid w:val="009D4DFC"/>
    <w:rsid w:val="009E41D1"/>
    <w:rsid w:val="009F2172"/>
    <w:rsid w:val="00A14B5A"/>
    <w:rsid w:val="00A205EC"/>
    <w:rsid w:val="00A513B2"/>
    <w:rsid w:val="00A64B75"/>
    <w:rsid w:val="00A9242D"/>
    <w:rsid w:val="00AA4BD9"/>
    <w:rsid w:val="00AA4BFB"/>
    <w:rsid w:val="00AB2D19"/>
    <w:rsid w:val="00AB7BF8"/>
    <w:rsid w:val="00AD3C90"/>
    <w:rsid w:val="00B41043"/>
    <w:rsid w:val="00BA5E9C"/>
    <w:rsid w:val="00BD55F7"/>
    <w:rsid w:val="00BE719D"/>
    <w:rsid w:val="00BF2730"/>
    <w:rsid w:val="00BF581A"/>
    <w:rsid w:val="00C013E3"/>
    <w:rsid w:val="00C04BE2"/>
    <w:rsid w:val="00C237DD"/>
    <w:rsid w:val="00C23E2C"/>
    <w:rsid w:val="00C35594"/>
    <w:rsid w:val="00C72771"/>
    <w:rsid w:val="00C92822"/>
    <w:rsid w:val="00C96FBD"/>
    <w:rsid w:val="00CD5906"/>
    <w:rsid w:val="00CE382D"/>
    <w:rsid w:val="00D1244C"/>
    <w:rsid w:val="00D31C0A"/>
    <w:rsid w:val="00D32800"/>
    <w:rsid w:val="00D40D88"/>
    <w:rsid w:val="00D501DA"/>
    <w:rsid w:val="00D702D9"/>
    <w:rsid w:val="00D720A2"/>
    <w:rsid w:val="00D75CE4"/>
    <w:rsid w:val="00DC4B60"/>
    <w:rsid w:val="00DD065C"/>
    <w:rsid w:val="00DD5873"/>
    <w:rsid w:val="00DE0343"/>
    <w:rsid w:val="00DF00F7"/>
    <w:rsid w:val="00DF69E6"/>
    <w:rsid w:val="00E027B1"/>
    <w:rsid w:val="00E03E24"/>
    <w:rsid w:val="00E045C6"/>
    <w:rsid w:val="00E102DC"/>
    <w:rsid w:val="00E55A1D"/>
    <w:rsid w:val="00E93506"/>
    <w:rsid w:val="00E964BF"/>
    <w:rsid w:val="00EA61D7"/>
    <w:rsid w:val="00EB4D72"/>
    <w:rsid w:val="00EC3F30"/>
    <w:rsid w:val="00ED5179"/>
    <w:rsid w:val="00EF3978"/>
    <w:rsid w:val="00F0239A"/>
    <w:rsid w:val="00F2091E"/>
    <w:rsid w:val="00F24798"/>
    <w:rsid w:val="00F26DD0"/>
    <w:rsid w:val="00F330F3"/>
    <w:rsid w:val="00F41BF6"/>
    <w:rsid w:val="00F5286C"/>
    <w:rsid w:val="00F819A7"/>
    <w:rsid w:val="00F87C96"/>
    <w:rsid w:val="00FC2C70"/>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8D25A8"/>
  <w14:defaultImageDpi w14:val="0"/>
  <w15:docId w15:val="{ADB0DF99-4FE7-4556-9A8A-3CBFCE02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pt-BR" w:eastAsia="pt-BR" w:bidi="ar-SA"/>
      </w:rPr>
    </w:rPrDefault>
    <w:pPrDefault>
      <w:pPr>
        <w:spacing w:after="160" w:line="259" w:lineRule="auto"/>
      </w:pPr>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uiPriority="1" w:qFormat="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13773E"/>
    <w:pPr>
      <w:spacing w:after="0" w:line="240" w:lineRule="auto"/>
    </w:pPr>
    <w:rPr>
      <w:rFonts w:ascii="Times New Roman" w:hAnsi="Times New Roman" w:cs="Times New Roman"/>
      <w:sz w:val="24"/>
      <w:lang w:eastAsia="en-US"/>
    </w:rPr>
  </w:style>
  <w:style w:type="paragraph" w:styleId="Ttulo1">
    <w:name w:val="heading 1"/>
    <w:basedOn w:val="Normal"/>
    <w:next w:val="Normal"/>
    <w:link w:val="Ttulo1Char"/>
    <w:uiPriority w:val="9"/>
    <w:qFormat/>
    <w:rsid w:val="00BF2730"/>
    <w:pPr>
      <w:keepNext/>
      <w:keepLines/>
      <w:outlineLvl w:val="0"/>
    </w:pPr>
    <w:rPr>
      <w:b/>
      <w:bCs/>
      <w:color w:val="365F91"/>
      <w:szCs w:val="28"/>
    </w:rPr>
  </w:style>
  <w:style w:type="paragraph" w:styleId="Ttulo3">
    <w:name w:val="heading 3"/>
    <w:basedOn w:val="Normal"/>
    <w:next w:val="Normal"/>
    <w:link w:val="Ttulo3Char"/>
    <w:uiPriority w:val="9"/>
    <w:qFormat/>
    <w:rsid w:val="009D0DEC"/>
    <w:pPr>
      <w:keepNext/>
      <w:keepLines/>
      <w:spacing w:before="40"/>
      <w:outlineLvl w:val="2"/>
    </w:pPr>
    <w:rPr>
      <w:rFonts w:ascii="Cambria" w:hAnsi="Cambria"/>
      <w:color w:val="243F60"/>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F2730"/>
    <w:rPr>
      <w:rFonts w:ascii="Times New Roman" w:hAnsi="Times New Roman" w:cs="Times New Roman"/>
      <w:b/>
      <w:bCs/>
      <w:color w:val="365F91"/>
      <w:sz w:val="28"/>
      <w:szCs w:val="28"/>
    </w:rPr>
  </w:style>
  <w:style w:type="character" w:customStyle="1" w:styleId="Ttulo3Char">
    <w:name w:val="Título 3 Char"/>
    <w:basedOn w:val="Fontepargpadro"/>
    <w:link w:val="Ttulo3"/>
    <w:uiPriority w:val="9"/>
    <w:semiHidden/>
    <w:locked/>
    <w:rsid w:val="009D0DEC"/>
    <w:rPr>
      <w:rFonts w:ascii="Cambria" w:hAnsi="Cambria" w:cs="Times New Roman"/>
      <w:color w:val="243F60"/>
      <w:sz w:val="24"/>
      <w:szCs w:val="24"/>
    </w:rPr>
  </w:style>
  <w:style w:type="paragraph" w:styleId="Cabealho">
    <w:name w:val="header"/>
    <w:basedOn w:val="Normal"/>
    <w:link w:val="CabealhoChar"/>
    <w:uiPriority w:val="99"/>
    <w:semiHidden/>
    <w:unhideWhenUsed/>
    <w:rsid w:val="00ED5179"/>
    <w:pPr>
      <w:tabs>
        <w:tab w:val="center" w:pos="4252"/>
        <w:tab w:val="right" w:pos="8504"/>
      </w:tabs>
    </w:pPr>
  </w:style>
  <w:style w:type="character" w:customStyle="1" w:styleId="CabealhoChar">
    <w:name w:val="Cabeçalho Char"/>
    <w:basedOn w:val="Fontepargpadro"/>
    <w:link w:val="Cabealho"/>
    <w:uiPriority w:val="99"/>
    <w:semiHidden/>
    <w:locked/>
    <w:rsid w:val="00ED5179"/>
    <w:rPr>
      <w:rFonts w:cs="Times New Roman"/>
    </w:rPr>
  </w:style>
  <w:style w:type="paragraph" w:styleId="Rodap">
    <w:name w:val="footer"/>
    <w:basedOn w:val="Normal"/>
    <w:link w:val="RodapChar"/>
    <w:uiPriority w:val="99"/>
    <w:unhideWhenUsed/>
    <w:rsid w:val="00ED5179"/>
    <w:pPr>
      <w:tabs>
        <w:tab w:val="center" w:pos="4252"/>
        <w:tab w:val="right" w:pos="8504"/>
      </w:tabs>
    </w:pPr>
  </w:style>
  <w:style w:type="character" w:customStyle="1" w:styleId="RodapChar">
    <w:name w:val="Rodapé Char"/>
    <w:basedOn w:val="Fontepargpadro"/>
    <w:link w:val="Rodap"/>
    <w:uiPriority w:val="99"/>
    <w:locked/>
    <w:rsid w:val="00ED5179"/>
    <w:rPr>
      <w:rFonts w:cs="Times New Roman"/>
    </w:rPr>
  </w:style>
  <w:style w:type="paragraph" w:styleId="Textodebalo">
    <w:name w:val="Balloon Text"/>
    <w:basedOn w:val="Normal"/>
    <w:link w:val="TextodebaloChar"/>
    <w:uiPriority w:val="99"/>
    <w:semiHidden/>
    <w:unhideWhenUsed/>
    <w:rsid w:val="00ED5179"/>
    <w:rPr>
      <w:rFonts w:ascii="Tahoma" w:hAnsi="Tahoma" w:cs="Tahoma"/>
      <w:sz w:val="16"/>
      <w:szCs w:val="16"/>
    </w:rPr>
  </w:style>
  <w:style w:type="character" w:customStyle="1" w:styleId="TextodebaloChar">
    <w:name w:val="Texto de balão Char"/>
    <w:basedOn w:val="Fontepargpadro"/>
    <w:link w:val="Textodebalo"/>
    <w:uiPriority w:val="99"/>
    <w:semiHidden/>
    <w:locked/>
    <w:rsid w:val="00ED5179"/>
    <w:rPr>
      <w:rFonts w:ascii="Tahoma" w:hAnsi="Tahoma" w:cs="Tahoma"/>
      <w:sz w:val="16"/>
      <w:szCs w:val="16"/>
    </w:rPr>
  </w:style>
  <w:style w:type="paragraph" w:customStyle="1" w:styleId="TCU-Epgrafe">
    <w:name w:val="TCU - Epígrafe"/>
    <w:basedOn w:val="Normal"/>
    <w:rsid w:val="00BF2730"/>
    <w:pPr>
      <w:ind w:left="2835"/>
      <w:jc w:val="both"/>
    </w:pPr>
    <w:rPr>
      <w:szCs w:val="20"/>
      <w:lang w:eastAsia="pt-BR"/>
    </w:rPr>
  </w:style>
  <w:style w:type="paragraph" w:styleId="SemEspaamento">
    <w:name w:val="No Spacing"/>
    <w:uiPriority w:val="1"/>
    <w:qFormat/>
    <w:rsid w:val="00BF2730"/>
    <w:pPr>
      <w:spacing w:after="0" w:line="240" w:lineRule="auto"/>
    </w:pPr>
    <w:rPr>
      <w:rFonts w:cs="Times New Roman"/>
      <w:sz w:val="24"/>
      <w:lang w:eastAsia="en-US"/>
    </w:rPr>
  </w:style>
  <w:style w:type="paragraph" w:styleId="Ttulo">
    <w:name w:val="Title"/>
    <w:basedOn w:val="Normal"/>
    <w:next w:val="Normal"/>
    <w:link w:val="TtuloChar"/>
    <w:uiPriority w:val="10"/>
    <w:qFormat/>
    <w:rsid w:val="00BF2730"/>
    <w:pPr>
      <w:pBdr>
        <w:bottom w:val="single" w:sz="8" w:space="4" w:color="4F81BD"/>
      </w:pBdr>
      <w:contextualSpacing/>
    </w:pPr>
    <w:rPr>
      <w:color w:val="17365D"/>
      <w:spacing w:val="5"/>
      <w:kern w:val="28"/>
      <w:szCs w:val="52"/>
    </w:rPr>
  </w:style>
  <w:style w:type="character" w:customStyle="1" w:styleId="TtuloChar">
    <w:name w:val="Título Char"/>
    <w:basedOn w:val="Fontepargpadro"/>
    <w:link w:val="Ttulo"/>
    <w:uiPriority w:val="10"/>
    <w:locked/>
    <w:rsid w:val="00BF2730"/>
    <w:rPr>
      <w:rFonts w:ascii="Times New Roman" w:hAnsi="Times New Roman" w:cs="Times New Roman"/>
      <w:color w:val="17365D"/>
      <w:spacing w:val="5"/>
      <w:kern w:val="28"/>
      <w:sz w:val="52"/>
      <w:szCs w:val="52"/>
    </w:rPr>
  </w:style>
  <w:style w:type="paragraph" w:styleId="Subttulo">
    <w:name w:val="Subtitle"/>
    <w:basedOn w:val="Normal"/>
    <w:next w:val="Normal"/>
    <w:link w:val="SubttuloChar"/>
    <w:uiPriority w:val="11"/>
    <w:qFormat/>
    <w:rsid w:val="00BF2730"/>
    <w:pPr>
      <w:numPr>
        <w:ilvl w:val="1"/>
      </w:numPr>
    </w:pPr>
    <w:rPr>
      <w:i/>
      <w:iCs/>
      <w:color w:val="4F81BD"/>
      <w:spacing w:val="15"/>
      <w:szCs w:val="24"/>
    </w:rPr>
  </w:style>
  <w:style w:type="character" w:customStyle="1" w:styleId="SubttuloChar">
    <w:name w:val="Subtítulo Char"/>
    <w:basedOn w:val="Fontepargpadro"/>
    <w:link w:val="Subttulo"/>
    <w:uiPriority w:val="11"/>
    <w:locked/>
    <w:rsid w:val="00BF2730"/>
    <w:rPr>
      <w:rFonts w:ascii="Times New Roman" w:hAnsi="Times New Roman" w:cs="Times New Roman"/>
      <w:i/>
      <w:iCs/>
      <w:color w:val="4F81BD"/>
      <w:spacing w:val="15"/>
      <w:sz w:val="24"/>
      <w:szCs w:val="24"/>
    </w:rPr>
  </w:style>
  <w:style w:type="paragraph" w:customStyle="1" w:styleId="TCU-Centralizado">
    <w:name w:val="TCU - Centralizado"/>
    <w:basedOn w:val="Normal"/>
    <w:qFormat/>
    <w:rsid w:val="009E41D1"/>
    <w:pPr>
      <w:jc w:val="center"/>
    </w:pPr>
    <w:rPr>
      <w:szCs w:val="24"/>
    </w:rPr>
  </w:style>
  <w:style w:type="paragraph" w:customStyle="1" w:styleId="TCU-RelVoto-1">
    <w:name w:val="TCU - Rel/Voto - 1º §"/>
    <w:basedOn w:val="Normal"/>
    <w:qFormat/>
    <w:rsid w:val="009E41D1"/>
    <w:pPr>
      <w:spacing w:after="160"/>
      <w:ind w:firstLine="1134"/>
      <w:jc w:val="both"/>
    </w:pPr>
  </w:style>
  <w:style w:type="paragraph" w:customStyle="1" w:styleId="TCU-Ac-item9-">
    <w:name w:val="TCU - Ac - item 9 - §§"/>
    <w:basedOn w:val="TCU-RelVoto-1"/>
    <w:qFormat/>
    <w:rsid w:val="009E41D1"/>
    <w:pPr>
      <w:spacing w:after="0"/>
    </w:pPr>
  </w:style>
  <w:style w:type="paragraph" w:customStyle="1" w:styleId="TCU-RelVoto-demais">
    <w:name w:val="TCU - Rel/Voto - demais §§"/>
    <w:basedOn w:val="Normal"/>
    <w:qFormat/>
    <w:rsid w:val="009E41D1"/>
    <w:pPr>
      <w:tabs>
        <w:tab w:val="left" w:pos="1134"/>
      </w:tabs>
      <w:spacing w:after="160"/>
      <w:jc w:val="both"/>
    </w:pPr>
  </w:style>
  <w:style w:type="paragraph" w:customStyle="1" w:styleId="TCU-Ac-itens1a8">
    <w:name w:val="TCU -   Ac - itens 1 a 8"/>
    <w:basedOn w:val="TCU-RelVoto-demais"/>
    <w:qFormat/>
    <w:rsid w:val="009E41D1"/>
    <w:pPr>
      <w:numPr>
        <w:numId w:val="5"/>
      </w:numPr>
      <w:tabs>
        <w:tab w:val="clear" w:pos="1134"/>
      </w:tabs>
      <w:spacing w:after="0"/>
    </w:pPr>
  </w:style>
  <w:style w:type="paragraph" w:customStyle="1" w:styleId="TCU-Sumrio">
    <w:name w:val="TCU - Sumário"/>
    <w:basedOn w:val="Normal"/>
    <w:qFormat/>
    <w:rsid w:val="009E41D1"/>
    <w:pPr>
      <w:ind w:left="5103"/>
      <w:jc w:val="both"/>
    </w:pPr>
    <w:rPr>
      <w:b/>
    </w:rPr>
  </w:style>
  <w:style w:type="paragraph" w:customStyle="1" w:styleId="TCU-Transcrio">
    <w:name w:val="TCU - Transcrição"/>
    <w:basedOn w:val="Normal"/>
    <w:qFormat/>
    <w:rsid w:val="009E41D1"/>
    <w:pPr>
      <w:spacing w:after="120"/>
      <w:ind w:left="284" w:firstLine="567"/>
      <w:jc w:val="both"/>
    </w:pPr>
    <w:rPr>
      <w:i/>
    </w:rPr>
  </w:style>
  <w:style w:type="paragraph" w:customStyle="1" w:styleId="TCU-Ac-item9-1Linha">
    <w:name w:val="TCU -  Ac - item 9 - 1ª Linha"/>
    <w:basedOn w:val="TCU-RelVoto-demais"/>
    <w:qFormat/>
    <w:rsid w:val="0013773E"/>
  </w:style>
  <w:style w:type="table" w:customStyle="1" w:styleId="TableNormal0">
    <w:name w:val="Table Normal_0"/>
    <w:uiPriority w:val="2"/>
    <w:semiHidden/>
    <w:unhideWhenUsed/>
    <w:qFormat/>
    <w:rsid w:val="00AA4BFB"/>
    <w:pPr>
      <w:widowControl w:val="0"/>
      <w:autoSpaceDE w:val="0"/>
      <w:autoSpaceDN w:val="0"/>
      <w:spacing w:after="0" w:line="240" w:lineRule="auto"/>
    </w:pPr>
    <w:rPr>
      <w:rFonts w:cs="Times New Roman"/>
      <w:lang w:val="en-US" w:eastAsia="en-US"/>
    </w:rPr>
    <w:tblPr>
      <w:tblCellMar>
        <w:top w:w="0" w:type="dxa"/>
        <w:left w:w="0" w:type="dxa"/>
        <w:bottom w:w="0" w:type="dxa"/>
        <w:right w:w="0" w:type="dxa"/>
      </w:tblCellMar>
    </w:tblPr>
  </w:style>
  <w:style w:type="paragraph" w:styleId="Corpodetexto">
    <w:name w:val="Body Text"/>
    <w:basedOn w:val="Normal"/>
    <w:link w:val="CorpodetextoChar"/>
    <w:uiPriority w:val="1"/>
    <w:qFormat/>
    <w:rsid w:val="00AA4BFB"/>
    <w:pPr>
      <w:widowControl w:val="0"/>
      <w:autoSpaceDE w:val="0"/>
      <w:autoSpaceDN w:val="0"/>
      <w:jc w:val="both"/>
    </w:pPr>
    <w:rPr>
      <w:szCs w:val="24"/>
      <w:lang w:val="en-US"/>
    </w:rPr>
  </w:style>
  <w:style w:type="character" w:customStyle="1" w:styleId="CorpodetextoChar">
    <w:name w:val="Corpo de texto Char"/>
    <w:basedOn w:val="Fontepargpadro"/>
    <w:link w:val="Corpodetexto"/>
    <w:uiPriority w:val="1"/>
    <w:locked/>
    <w:rsid w:val="00AA4BFB"/>
    <w:rPr>
      <w:rFonts w:ascii="Times New Roman" w:hAnsi="Times New Roman" w:cs="Times New Roman"/>
      <w:sz w:val="24"/>
      <w:szCs w:val="24"/>
      <w:lang w:val="en-US" w:eastAsia="x-none"/>
    </w:rPr>
  </w:style>
  <w:style w:type="paragraph" w:styleId="PargrafodaLista">
    <w:name w:val="List Paragraph"/>
    <w:basedOn w:val="Normal"/>
    <w:uiPriority w:val="1"/>
    <w:qFormat/>
    <w:rsid w:val="00AA4BFB"/>
    <w:pPr>
      <w:widowControl w:val="0"/>
      <w:autoSpaceDE w:val="0"/>
      <w:autoSpaceDN w:val="0"/>
      <w:spacing w:before="114"/>
      <w:ind w:left="127"/>
      <w:jc w:val="both"/>
    </w:pPr>
    <w:rPr>
      <w:sz w:val="22"/>
      <w:lang w:val="en-US"/>
    </w:rPr>
  </w:style>
  <w:style w:type="paragraph" w:customStyle="1" w:styleId="TableParagraph">
    <w:name w:val="Table Paragraph"/>
    <w:basedOn w:val="Normal"/>
    <w:uiPriority w:val="1"/>
    <w:qFormat/>
    <w:rsid w:val="00AA4BFB"/>
    <w:pPr>
      <w:widowControl w:val="0"/>
      <w:autoSpaceDE w:val="0"/>
      <w:autoSpaceDN w:val="0"/>
    </w:pPr>
    <w:rPr>
      <w:sz w:val="22"/>
      <w:lang w:val="en-US"/>
    </w:rPr>
  </w:style>
  <w:style w:type="table" w:styleId="Tabelacomgrade">
    <w:name w:val="Table Grid"/>
    <w:basedOn w:val="Tabelanormal"/>
    <w:uiPriority w:val="59"/>
    <w:rsid w:val="009D0DEC"/>
    <w:pPr>
      <w:widowControl w:val="0"/>
      <w:spacing w:after="0" w:line="240" w:lineRule="auto"/>
    </w:pPr>
    <w:rPr>
      <w:rFonts w:ascii="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latrio">
    <w:name w:val="Relatório"/>
    <w:basedOn w:val="Normal"/>
    <w:autoRedefine/>
    <w:qFormat/>
    <w:rsid w:val="009D0DEC"/>
    <w:pPr>
      <w:numPr>
        <w:numId w:val="1"/>
      </w:numPr>
      <w:tabs>
        <w:tab w:val="left" w:pos="432"/>
      </w:tabs>
      <w:spacing w:before="120"/>
      <w:jc w:val="both"/>
    </w:pPr>
    <w:rPr>
      <w:szCs w:val="24"/>
      <w:lang w:eastAsia="ar-SA"/>
    </w:rPr>
  </w:style>
  <w:style w:type="paragraph" w:styleId="Legenda">
    <w:name w:val="caption"/>
    <w:basedOn w:val="Normal"/>
    <w:next w:val="Normal"/>
    <w:uiPriority w:val="35"/>
    <w:qFormat/>
    <w:rsid w:val="009D0DEC"/>
    <w:pPr>
      <w:suppressAutoHyphens/>
      <w:spacing w:before="120"/>
      <w:jc w:val="center"/>
    </w:pPr>
    <w:rPr>
      <w:bCs/>
      <w:szCs w:val="18"/>
      <w:lang w:eastAsia="ar-SA"/>
    </w:rPr>
  </w:style>
  <w:style w:type="paragraph" w:customStyle="1" w:styleId="transcrio">
    <w:name w:val="transcrição"/>
    <w:basedOn w:val="PargrafodaLista"/>
    <w:qFormat/>
    <w:rsid w:val="009D0DEC"/>
    <w:pPr>
      <w:widowControl/>
      <w:suppressAutoHyphens/>
      <w:autoSpaceDE/>
      <w:autoSpaceDN/>
      <w:spacing w:before="120"/>
      <w:ind w:left="1134"/>
    </w:pPr>
    <w:rPr>
      <w:szCs w:val="20"/>
      <w:lang w:val="pt-BR" w:eastAsia="ar-SA"/>
    </w:rPr>
  </w:style>
  <w:style w:type="paragraph" w:customStyle="1" w:styleId="listadeinformaes">
    <w:name w:val="lista de informações"/>
    <w:basedOn w:val="PargrafodaLista"/>
    <w:autoRedefine/>
    <w:qFormat/>
    <w:rsid w:val="009D0DEC"/>
    <w:pPr>
      <w:widowControl/>
      <w:numPr>
        <w:numId w:val="2"/>
      </w:numPr>
      <w:suppressAutoHyphens/>
      <w:autoSpaceDE/>
      <w:autoSpaceDN/>
      <w:spacing w:before="60"/>
    </w:pPr>
    <w:rPr>
      <w:sz w:val="24"/>
      <w:szCs w:val="20"/>
      <w:lang w:val="pt-BR" w:eastAsia="ar-SA"/>
    </w:rPr>
  </w:style>
  <w:style w:type="character" w:styleId="Hyperlink">
    <w:name w:val="Hyperlink"/>
    <w:basedOn w:val="Fontepargpadro"/>
    <w:uiPriority w:val="99"/>
    <w:unhideWhenUsed/>
    <w:rsid w:val="001A636B"/>
    <w:rPr>
      <w:rFonts w:cs="Times New Roman"/>
      <w:color w:val="0000FF"/>
      <w:u w:val="single"/>
    </w:rPr>
  </w:style>
  <w:style w:type="paragraph" w:customStyle="1" w:styleId="tabela">
    <w:name w:val="tabela"/>
    <w:basedOn w:val="Normal"/>
    <w:qFormat/>
    <w:rsid w:val="001A636B"/>
    <w:pPr>
      <w:jc w:val="center"/>
    </w:pPr>
    <w:rPr>
      <w:szCs w:val="20"/>
      <w:lang w:eastAsia="pt-BR"/>
    </w:rPr>
  </w:style>
  <w:style w:type="paragraph" w:customStyle="1" w:styleId="Listadeinformaescorreto">
    <w:name w:val="Lista de informações correto"/>
    <w:basedOn w:val="PargrafodaLista"/>
    <w:qFormat/>
    <w:rsid w:val="001A636B"/>
    <w:pPr>
      <w:keepNext/>
      <w:widowControl/>
      <w:tabs>
        <w:tab w:val="left" w:pos="1134"/>
      </w:tabs>
      <w:autoSpaceDE/>
      <w:autoSpaceDN/>
      <w:spacing w:before="60"/>
      <w:ind w:left="0"/>
      <w:outlineLvl w:val="0"/>
    </w:pPr>
    <w:rPr>
      <w:sz w:val="24"/>
      <w:szCs w:val="20"/>
      <w:lang w:val="pt-BR" w:eastAsia="pt-BR"/>
    </w:rPr>
  </w:style>
  <w:style w:type="paragraph" w:customStyle="1" w:styleId="Header0">
    <w:name w:val="Header_0"/>
    <w:basedOn w:val="Normal0"/>
    <w:link w:val="CabealhoChar0"/>
    <w:uiPriority w:val="99"/>
    <w:semiHidden/>
    <w:unhideWhenUsed/>
    <w:rsid w:val="00ED5179"/>
    <w:pPr>
      <w:tabs>
        <w:tab w:val="center" w:pos="4252"/>
        <w:tab w:val="right" w:pos="8504"/>
      </w:tabs>
    </w:pPr>
  </w:style>
  <w:style w:type="paragraph" w:customStyle="1" w:styleId="Normal0">
    <w:name w:val="Normal_0"/>
    <w:qFormat/>
    <w:rsid w:val="009E4455"/>
    <w:pPr>
      <w:spacing w:after="0" w:line="240" w:lineRule="auto"/>
    </w:pPr>
    <w:rPr>
      <w:rFonts w:ascii="Times New Roman" w:hAnsi="Times New Roman" w:cs="Times New Roman"/>
      <w:sz w:val="24"/>
      <w:lang w:eastAsia="en-US"/>
    </w:rPr>
  </w:style>
  <w:style w:type="character" w:customStyle="1" w:styleId="CabealhoChar0">
    <w:name w:val="Cabeçalho Char_0"/>
    <w:basedOn w:val="Fontepargpadro"/>
    <w:link w:val="Header0"/>
    <w:uiPriority w:val="99"/>
    <w:semiHidden/>
    <w:locked/>
    <w:rsid w:val="00ED5179"/>
    <w:rPr>
      <w:rFonts w:cs="Times New Roman"/>
    </w:rPr>
  </w:style>
  <w:style w:type="paragraph" w:customStyle="1" w:styleId="Footer0">
    <w:name w:val="Footer_0"/>
    <w:basedOn w:val="Normal0"/>
    <w:link w:val="RodapChar0"/>
    <w:uiPriority w:val="99"/>
    <w:unhideWhenUsed/>
    <w:rsid w:val="00ED5179"/>
    <w:pPr>
      <w:tabs>
        <w:tab w:val="center" w:pos="4252"/>
        <w:tab w:val="right" w:pos="8504"/>
      </w:tabs>
    </w:pPr>
  </w:style>
  <w:style w:type="character" w:customStyle="1" w:styleId="RodapChar0">
    <w:name w:val="Rodapé Char_0"/>
    <w:basedOn w:val="Fontepargpadro"/>
    <w:link w:val="Footer0"/>
    <w:uiPriority w:val="99"/>
    <w:locked/>
    <w:rsid w:val="00ED5179"/>
    <w:rPr>
      <w:rFonts w:cs="Times New Roman"/>
    </w:rPr>
  </w:style>
  <w:style w:type="paragraph" w:customStyle="1" w:styleId="TCU-Epgrafe0">
    <w:name w:val="TCU - Epígrafe_0"/>
    <w:basedOn w:val="Normal0"/>
    <w:rsid w:val="00365409"/>
    <w:pPr>
      <w:ind w:left="2835"/>
      <w:jc w:val="both"/>
    </w:pPr>
    <w:rPr>
      <w:szCs w:val="20"/>
      <w:lang w:eastAsia="pt-BR"/>
    </w:rPr>
  </w:style>
  <w:style w:type="paragraph" w:customStyle="1" w:styleId="BodyText0">
    <w:name w:val="Body Text_0"/>
    <w:basedOn w:val="Normal0"/>
    <w:link w:val="CorpodetextoChar0"/>
    <w:uiPriority w:val="99"/>
    <w:semiHidden/>
    <w:rsid w:val="001F54E2"/>
    <w:pPr>
      <w:jc w:val="both"/>
    </w:pPr>
    <w:rPr>
      <w:szCs w:val="20"/>
      <w:lang w:eastAsia="pt-BR"/>
    </w:rPr>
  </w:style>
  <w:style w:type="character" w:customStyle="1" w:styleId="CorpodetextoChar0">
    <w:name w:val="Corpo de texto Char_0"/>
    <w:basedOn w:val="Fontepargpadro"/>
    <w:link w:val="BodyText0"/>
    <w:uiPriority w:val="99"/>
    <w:semiHidden/>
    <w:locked/>
    <w:rsid w:val="001F54E2"/>
    <w:rPr>
      <w:rFonts w:ascii="Times New Roman" w:hAnsi="Times New Roman" w:cs="Times New Roman"/>
      <w:sz w:val="20"/>
      <w:szCs w:val="20"/>
      <w:lang w:val="x-none" w:eastAsia="pt-BR"/>
    </w:rPr>
  </w:style>
  <w:style w:type="paragraph" w:customStyle="1" w:styleId="Header1">
    <w:name w:val="Header_1"/>
    <w:basedOn w:val="Normal1"/>
    <w:link w:val="CabealhoChar1"/>
    <w:uiPriority w:val="99"/>
    <w:semiHidden/>
    <w:unhideWhenUsed/>
    <w:rsid w:val="00ED5179"/>
    <w:pPr>
      <w:tabs>
        <w:tab w:val="center" w:pos="4252"/>
        <w:tab w:val="right" w:pos="8504"/>
      </w:tabs>
    </w:pPr>
  </w:style>
  <w:style w:type="paragraph" w:customStyle="1" w:styleId="Normal1">
    <w:name w:val="Normal_1"/>
    <w:qFormat/>
    <w:rsid w:val="006C36C4"/>
    <w:pPr>
      <w:spacing w:after="0" w:line="240" w:lineRule="auto"/>
    </w:pPr>
    <w:rPr>
      <w:rFonts w:ascii="Times New Roman" w:hAnsi="Times New Roman" w:cs="Times New Roman"/>
      <w:sz w:val="24"/>
      <w:lang w:eastAsia="en-US"/>
    </w:rPr>
  </w:style>
  <w:style w:type="character" w:customStyle="1" w:styleId="CabealhoChar1">
    <w:name w:val="Cabeçalho Char_1"/>
    <w:basedOn w:val="Fontepargpadro"/>
    <w:link w:val="Header1"/>
    <w:uiPriority w:val="99"/>
    <w:semiHidden/>
    <w:locked/>
    <w:rsid w:val="00ED5179"/>
    <w:rPr>
      <w:rFonts w:cs="Times New Roman"/>
    </w:rPr>
  </w:style>
  <w:style w:type="paragraph" w:customStyle="1" w:styleId="Footer1">
    <w:name w:val="Footer_1"/>
    <w:basedOn w:val="Normal1"/>
    <w:link w:val="RodapChar1"/>
    <w:uiPriority w:val="99"/>
    <w:unhideWhenUsed/>
    <w:rsid w:val="00ED5179"/>
    <w:pPr>
      <w:tabs>
        <w:tab w:val="center" w:pos="4252"/>
        <w:tab w:val="right" w:pos="8504"/>
      </w:tabs>
    </w:pPr>
  </w:style>
  <w:style w:type="character" w:customStyle="1" w:styleId="RodapChar1">
    <w:name w:val="Rodapé Char_1"/>
    <w:basedOn w:val="Fontepargpadro"/>
    <w:link w:val="Footer1"/>
    <w:uiPriority w:val="99"/>
    <w:locked/>
    <w:rsid w:val="00ED5179"/>
    <w:rPr>
      <w:rFonts w:cs="Times New Roman"/>
    </w:rPr>
  </w:style>
  <w:style w:type="paragraph" w:customStyle="1" w:styleId="TCU-Epgrafe1">
    <w:name w:val="TCU - Epígrafe_1"/>
    <w:basedOn w:val="Normal1"/>
    <w:rsid w:val="00D47D13"/>
    <w:pPr>
      <w:ind w:left="2835"/>
      <w:jc w:val="both"/>
    </w:pPr>
    <w:rPr>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cu.gov.br/acorda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C142AB13BA254D8E85215DCC04D352" ma:contentTypeVersion="14" ma:contentTypeDescription="Create a new document." ma:contentTypeScope="" ma:versionID="57af10161db105ec9d6bb242ed657fc7">
  <xsd:schema xmlns:xsd="http://www.w3.org/2001/XMLSchema" xmlns:xs="http://www.w3.org/2001/XMLSchema" xmlns:p="http://schemas.microsoft.com/office/2006/metadata/properties" xmlns:ns3="0b65bf4a-2ea6-45d9-b2c8-90f76ea8ac86" xmlns:ns4="35d879a0-a7c7-440b-a5fe-00eb0a80934e" targetNamespace="http://schemas.microsoft.com/office/2006/metadata/properties" ma:root="true" ma:fieldsID="96f2a1f96fc2587bec21e1693a58fb51" ns3:_="" ns4:_="">
    <xsd:import namespace="0b65bf4a-2ea6-45d9-b2c8-90f76ea8ac86"/>
    <xsd:import namespace="35d879a0-a7c7-440b-a5fe-00eb0a8093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5bf4a-2ea6-45d9-b2c8-90f76ea8a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d879a0-a7c7-440b-a5fe-00eb0a8093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09E9A-89F6-41B8-BEFB-C5D6F7ABE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5bf4a-2ea6-45d9-b2c8-90f76ea8ac86"/>
    <ds:schemaRef ds:uri="35d879a0-a7c7-440b-a5fe-00eb0a809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A4B40-7DB5-408E-A7D9-092CDA4DECA2}">
  <ds:schemaRefs>
    <ds:schemaRef ds:uri="http://schemas.microsoft.com/sharepoint/v3/contenttype/forms"/>
  </ds:schemaRefs>
</ds:datastoreItem>
</file>

<file path=customXml/itemProps3.xml><?xml version="1.0" encoding="utf-8"?>
<ds:datastoreItem xmlns:ds="http://schemas.openxmlformats.org/officeDocument/2006/customXml" ds:itemID="{42ECF350-F752-472B-8F7C-F8C4DFC61852}">
  <ds:schemaRefs>
    <ds:schemaRef ds:uri="http://schemas.microsoft.com/office/2006/documentManagement/types"/>
    <ds:schemaRef ds:uri="http://purl.org/dc/terms/"/>
    <ds:schemaRef ds:uri="35d879a0-a7c7-440b-a5fe-00eb0a80934e"/>
    <ds:schemaRef ds:uri="http://www.w3.org/XML/1998/namespace"/>
    <ds:schemaRef ds:uri="http://schemas.microsoft.com/office/infopath/2007/PartnerControls"/>
    <ds:schemaRef ds:uri="http://purl.org/dc/dcmitype/"/>
    <ds:schemaRef ds:uri="http://purl.org/dc/elements/1.1/"/>
    <ds:schemaRef ds:uri="0b65bf4a-2ea6-45d9-b2c8-90f76ea8ac86"/>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1A0F165-47F8-441E-BB83-2B2230F3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6190</Words>
  <Characters>33428</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TCU</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Maia Vieira</dc:creator>
  <cp:keywords/>
  <dc:description/>
  <cp:lastModifiedBy>Rafael Augusto Ribeiro</cp:lastModifiedBy>
  <cp:revision>2</cp:revision>
  <cp:lastPrinted>2018-07-27T17:20:00Z</cp:lastPrinted>
  <dcterms:created xsi:type="dcterms:W3CDTF">2021-07-28T17:12:00Z</dcterms:created>
  <dcterms:modified xsi:type="dcterms:W3CDTF">2021-07-28T17:12:00Z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0x0101009FC142AB13BA254D8E85215DCC04D352</vt:lpwstr>
  </property>
</Properties>
</file>